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F0B85">
      <w:pPr>
        <w:spacing w:line="360" w:lineRule="auto"/>
        <w:jc w:val="center"/>
        <w:rPr>
          <w:rFonts w:ascii="宋体" w:hAnsi="宋体" w:cs="宋体"/>
          <w:b/>
          <w:bCs/>
          <w:color w:val="auto"/>
          <w:spacing w:val="164"/>
          <w:sz w:val="48"/>
          <w:szCs w:val="48"/>
        </w:rPr>
      </w:pPr>
      <w:bookmarkStart w:id="0" w:name="_Toc517793373"/>
      <w:bookmarkStart w:id="1" w:name="_Toc23676"/>
      <w:bookmarkStart w:id="2" w:name="_Toc4396"/>
      <w:bookmarkStart w:id="3" w:name="_Toc26566"/>
      <w:bookmarkStart w:id="4" w:name="_Toc471818670"/>
      <w:bookmarkStart w:id="5" w:name="_Toc517793378"/>
      <w:bookmarkStart w:id="6" w:name="_Toc6348"/>
    </w:p>
    <w:p w14:paraId="14CA4CA5">
      <w:pPr>
        <w:spacing w:line="360" w:lineRule="auto"/>
        <w:jc w:val="center"/>
        <w:rPr>
          <w:rFonts w:ascii="宋体" w:hAnsi="宋体" w:cs="宋体"/>
          <w:b/>
          <w:bCs/>
          <w:color w:val="auto"/>
          <w:spacing w:val="164"/>
          <w:sz w:val="48"/>
          <w:szCs w:val="48"/>
        </w:rPr>
      </w:pPr>
      <w:bookmarkStart w:id="201" w:name="_GoBack"/>
      <w:bookmarkEnd w:id="201"/>
    </w:p>
    <w:p w14:paraId="58D8B6E3">
      <w:pPr>
        <w:spacing w:line="360" w:lineRule="auto"/>
        <w:jc w:val="center"/>
        <w:rPr>
          <w:rFonts w:ascii="宋体" w:hAnsi="宋体" w:cs="宋体"/>
          <w:b/>
          <w:bCs/>
          <w:color w:val="auto"/>
          <w:spacing w:val="51"/>
          <w:sz w:val="72"/>
          <w:szCs w:val="72"/>
        </w:rPr>
      </w:pPr>
      <w:r>
        <w:rPr>
          <w:rFonts w:hint="eastAsia" w:ascii="宋体" w:hAnsi="宋体" w:cs="宋体"/>
          <w:b/>
          <w:bCs/>
          <w:color w:val="auto"/>
          <w:spacing w:val="51"/>
          <w:sz w:val="72"/>
          <w:szCs w:val="72"/>
        </w:rPr>
        <w:t>溧阳市政府采购</w:t>
      </w:r>
    </w:p>
    <w:p w14:paraId="34E5F2E3">
      <w:pPr>
        <w:spacing w:line="360" w:lineRule="auto"/>
        <w:jc w:val="center"/>
        <w:rPr>
          <w:rFonts w:ascii="宋体" w:hAnsi="宋体" w:cs="宋体"/>
          <w:b/>
          <w:bCs/>
          <w:color w:val="auto"/>
          <w:sz w:val="44"/>
          <w:szCs w:val="44"/>
        </w:rPr>
      </w:pPr>
      <w:r>
        <w:rPr>
          <w:rFonts w:hint="eastAsia" w:ascii="宋体" w:hAnsi="宋体" w:cs="宋体"/>
          <w:b/>
          <w:bCs/>
          <w:color w:val="auto"/>
          <w:spacing w:val="170"/>
          <w:sz w:val="44"/>
          <w:szCs w:val="44"/>
        </w:rPr>
        <w:t xml:space="preserve"> 征集文件（服务类）</w:t>
      </w:r>
    </w:p>
    <w:p w14:paraId="19089160">
      <w:pPr>
        <w:pStyle w:val="4"/>
        <w:numPr>
          <w:ilvl w:val="1"/>
          <w:numId w:val="0"/>
        </w:numPr>
        <w:ind w:firstLine="3534"/>
        <w:jc w:val="both"/>
        <w:rPr>
          <w:rFonts w:ascii="宋体" w:hAnsi="宋体" w:eastAsia="宋体" w:cs="宋体"/>
          <w:color w:val="auto"/>
          <w:sz w:val="44"/>
          <w:szCs w:val="44"/>
        </w:rPr>
      </w:pPr>
    </w:p>
    <w:p w14:paraId="5FDD22C6">
      <w:pPr>
        <w:spacing w:line="800" w:lineRule="exact"/>
        <w:jc w:val="center"/>
        <w:rPr>
          <w:rFonts w:ascii="宋体" w:hAnsi="宋体" w:cs="宋体"/>
          <w:b/>
          <w:bCs/>
          <w:color w:val="auto"/>
          <w:sz w:val="52"/>
          <w:szCs w:val="52"/>
        </w:rPr>
      </w:pPr>
      <w:r>
        <w:rPr>
          <w:rFonts w:hint="eastAsia" w:ascii="宋体" w:hAnsi="宋体" w:cs="宋体"/>
          <w:b/>
          <w:bCs/>
          <w:color w:val="auto"/>
          <w:sz w:val="44"/>
          <w:szCs w:val="44"/>
        </w:rPr>
        <w:t>封闭式框架协议</w:t>
      </w:r>
    </w:p>
    <w:p w14:paraId="58ED5277">
      <w:pPr>
        <w:spacing w:line="800" w:lineRule="exact"/>
        <w:rPr>
          <w:rFonts w:ascii="宋体" w:hAnsi="宋体" w:cs="宋体"/>
          <w:bCs/>
          <w:color w:val="auto"/>
          <w:sz w:val="30"/>
          <w:szCs w:val="30"/>
        </w:rPr>
      </w:pPr>
    </w:p>
    <w:p w14:paraId="661293C0">
      <w:pPr>
        <w:spacing w:line="800" w:lineRule="exact"/>
        <w:ind w:firstLine="840"/>
        <w:jc w:val="left"/>
        <w:rPr>
          <w:rFonts w:hint="eastAsia" w:ascii="宋体" w:hAnsi="宋体" w:eastAsia="宋体" w:cs="宋体"/>
          <w:color w:val="auto"/>
          <w:sz w:val="28"/>
          <w:szCs w:val="28"/>
          <w:lang w:eastAsia="zh-CN"/>
        </w:rPr>
      </w:pPr>
      <w:r>
        <w:rPr>
          <w:rFonts w:hint="eastAsia" w:ascii="宋体" w:hAnsi="宋体" w:cs="宋体"/>
          <w:b/>
          <w:bCs/>
          <w:color w:val="auto"/>
          <w:sz w:val="28"/>
          <w:szCs w:val="28"/>
        </w:rPr>
        <w:t>项目编号</w:t>
      </w:r>
      <w:r>
        <w:rPr>
          <w:rFonts w:hint="eastAsia" w:ascii="宋体" w:hAnsi="宋体" w:cs="宋体"/>
          <w:color w:val="auto"/>
          <w:sz w:val="28"/>
          <w:szCs w:val="28"/>
        </w:rPr>
        <w:t>：</w:t>
      </w:r>
      <w:r>
        <w:rPr>
          <w:rFonts w:hint="eastAsia" w:ascii="宋体" w:hAnsi="宋体" w:cs="宋体"/>
          <w:color w:val="auto"/>
          <w:sz w:val="28"/>
          <w:szCs w:val="28"/>
          <w:lang w:eastAsia="zh-CN"/>
        </w:rPr>
        <w:t>******</w:t>
      </w:r>
    </w:p>
    <w:p w14:paraId="55493279">
      <w:pPr>
        <w:spacing w:line="800" w:lineRule="exact"/>
        <w:jc w:val="left"/>
        <w:rPr>
          <w:rFonts w:hint="eastAsia" w:ascii="宋体" w:hAnsi="宋体" w:eastAsia="宋体" w:cs="宋体"/>
          <w:bCs/>
          <w:color w:val="auto"/>
          <w:sz w:val="28"/>
          <w:szCs w:val="28"/>
          <w:lang w:eastAsia="zh-CN"/>
        </w:rPr>
      </w:pPr>
      <w:r>
        <w:rPr>
          <w:rFonts w:hint="eastAsia" w:ascii="宋体" w:hAnsi="宋体" w:cs="宋体"/>
          <w:bCs/>
          <w:color w:val="auto"/>
          <w:sz w:val="28"/>
          <w:szCs w:val="28"/>
        </w:rPr>
        <w:t xml:space="preserve">      </w:t>
      </w:r>
      <w:r>
        <w:rPr>
          <w:rFonts w:hint="eastAsia" w:ascii="宋体" w:hAnsi="宋体" w:cs="宋体"/>
          <w:b/>
          <w:color w:val="auto"/>
          <w:sz w:val="28"/>
          <w:szCs w:val="28"/>
        </w:rPr>
        <w:t>项目名称</w:t>
      </w:r>
      <w:r>
        <w:rPr>
          <w:rFonts w:hint="eastAsia" w:ascii="宋体" w:hAnsi="宋体" w:cs="宋体"/>
          <w:bCs/>
          <w:color w:val="auto"/>
          <w:sz w:val="28"/>
          <w:szCs w:val="28"/>
        </w:rPr>
        <w:t>：</w:t>
      </w:r>
      <w:r>
        <w:rPr>
          <w:rFonts w:hint="eastAsia" w:ascii="宋体" w:hAnsi="宋体" w:cs="宋体"/>
          <w:bCs/>
          <w:color w:val="auto"/>
          <w:sz w:val="28"/>
          <w:szCs w:val="28"/>
          <w:lang w:eastAsia="zh-CN"/>
        </w:rPr>
        <w:t>2025-2027年度溧阳市党政机关、事业单位和团体组织公务车辆定点维修服务框架协议采购</w:t>
      </w:r>
    </w:p>
    <w:p w14:paraId="607FA397">
      <w:pPr>
        <w:tabs>
          <w:tab w:val="left" w:pos="6449"/>
        </w:tabs>
        <w:spacing w:line="800" w:lineRule="exact"/>
        <w:ind w:firstLine="840"/>
        <w:jc w:val="left"/>
        <w:rPr>
          <w:rFonts w:hint="eastAsia" w:ascii="宋体" w:hAnsi="宋体" w:cs="宋体"/>
          <w:bCs/>
          <w:color w:val="auto"/>
          <w:sz w:val="28"/>
          <w:szCs w:val="28"/>
          <w:lang w:val="en-US" w:eastAsia="zh-CN"/>
        </w:rPr>
      </w:pPr>
      <w:r>
        <w:rPr>
          <w:rFonts w:hint="eastAsia" w:ascii="宋体" w:hAnsi="宋体" w:cs="宋体"/>
          <w:b/>
          <w:color w:val="auto"/>
          <w:sz w:val="28"/>
          <w:szCs w:val="28"/>
        </w:rPr>
        <w:t>征集人名称：</w:t>
      </w:r>
      <w:r>
        <w:rPr>
          <w:rFonts w:hint="eastAsia" w:ascii="宋体" w:hAnsi="宋体" w:cs="宋体"/>
          <w:bCs/>
          <w:color w:val="auto"/>
          <w:sz w:val="28"/>
          <w:szCs w:val="28"/>
          <w:lang w:val="en-US" w:eastAsia="zh-CN"/>
        </w:rPr>
        <w:t>溧阳市政府采购中心</w:t>
      </w:r>
    </w:p>
    <w:p w14:paraId="38F0F661">
      <w:pPr>
        <w:tabs>
          <w:tab w:val="left" w:pos="6449"/>
        </w:tabs>
        <w:spacing w:line="800" w:lineRule="exact"/>
        <w:ind w:firstLine="840"/>
        <w:jc w:val="left"/>
        <w:rPr>
          <w:rFonts w:hint="default" w:ascii="宋体" w:hAnsi="宋体" w:cs="宋体"/>
          <w:bCs/>
          <w:color w:val="auto"/>
          <w:sz w:val="28"/>
          <w:szCs w:val="28"/>
          <w:lang w:val="en-US" w:eastAsia="zh-CN"/>
        </w:rPr>
      </w:pPr>
      <w:r>
        <w:rPr>
          <w:rFonts w:hint="eastAsia" w:ascii="宋体" w:hAnsi="宋体" w:cs="宋体"/>
          <w:b/>
          <w:bCs w:val="0"/>
          <w:color w:val="auto"/>
          <w:sz w:val="28"/>
          <w:szCs w:val="28"/>
          <w:lang w:val="en-US" w:eastAsia="zh-CN"/>
        </w:rPr>
        <w:t>采购人名称：</w:t>
      </w:r>
      <w:r>
        <w:rPr>
          <w:rFonts w:hint="eastAsia" w:ascii="宋体" w:hAnsi="宋体" w:cs="宋体"/>
          <w:bCs/>
          <w:color w:val="auto"/>
          <w:sz w:val="28"/>
          <w:szCs w:val="28"/>
          <w:lang w:val="en-US" w:eastAsia="zh-CN"/>
        </w:rPr>
        <w:t>溧阳市机关事务管理中心</w:t>
      </w:r>
    </w:p>
    <w:p w14:paraId="7316282E">
      <w:pPr>
        <w:spacing w:line="360" w:lineRule="auto"/>
        <w:rPr>
          <w:rFonts w:ascii="宋体" w:hAnsi="宋体" w:cs="宋体"/>
          <w:b/>
          <w:color w:val="auto"/>
          <w:sz w:val="28"/>
          <w:szCs w:val="28"/>
        </w:rPr>
      </w:pPr>
      <w:r>
        <w:rPr>
          <w:rFonts w:hint="eastAsia" w:ascii="宋体" w:hAnsi="宋体" w:cs="宋体"/>
          <w:b/>
          <w:color w:val="auto"/>
          <w:sz w:val="28"/>
          <w:szCs w:val="28"/>
        </w:rPr>
        <w:t xml:space="preserve">      </w:t>
      </w:r>
    </w:p>
    <w:p w14:paraId="03A45783">
      <w:pPr>
        <w:spacing w:line="360" w:lineRule="auto"/>
        <w:rPr>
          <w:rFonts w:ascii="宋体" w:hAnsi="宋体" w:cs="宋体"/>
          <w:b/>
          <w:color w:val="auto"/>
          <w:sz w:val="28"/>
          <w:szCs w:val="28"/>
        </w:rPr>
      </w:pPr>
    </w:p>
    <w:p w14:paraId="767E9FB4">
      <w:pPr>
        <w:pStyle w:val="2"/>
        <w:rPr>
          <w:color w:val="auto"/>
        </w:rPr>
      </w:pPr>
    </w:p>
    <w:p w14:paraId="1EF8D404">
      <w:pPr>
        <w:spacing w:line="360" w:lineRule="auto"/>
        <w:jc w:val="center"/>
        <w:rPr>
          <w:rFonts w:ascii="宋体" w:hAnsi="宋体" w:cs="宋体"/>
          <w:bCs/>
          <w:color w:val="auto"/>
          <w:sz w:val="28"/>
          <w:szCs w:val="28"/>
        </w:rPr>
      </w:pPr>
      <w:r>
        <w:rPr>
          <w:rFonts w:hint="eastAsia" w:ascii="宋体" w:hAnsi="宋体" w:cs="宋体"/>
          <w:bCs/>
          <w:color w:val="auto"/>
          <w:sz w:val="28"/>
          <w:szCs w:val="28"/>
        </w:rPr>
        <w:t>溧阳市政府采购中心</w:t>
      </w:r>
    </w:p>
    <w:p w14:paraId="7EB238B5">
      <w:pPr>
        <w:jc w:val="center"/>
        <w:rPr>
          <w:rFonts w:ascii="宋体" w:hAnsi="宋体" w:cs="宋体"/>
          <w:color w:val="auto"/>
          <w:sz w:val="30"/>
          <w:szCs w:val="30"/>
        </w:rPr>
      </w:pPr>
      <w:bookmarkStart w:id="7" w:name="OLE_LINK3"/>
      <w:bookmarkStart w:id="8" w:name="OLE_LINK2"/>
      <w:bookmarkStart w:id="9" w:name="OLE_LINK4"/>
      <w:bookmarkStart w:id="10" w:name="OLE_LINK1"/>
      <w:r>
        <w:rPr>
          <w:rFonts w:hint="eastAsia" w:ascii="宋体" w:hAnsi="宋体" w:cs="宋体"/>
          <w:color w:val="auto"/>
          <w:sz w:val="30"/>
          <w:szCs w:val="30"/>
        </w:rPr>
        <w:t>2025年</w:t>
      </w:r>
      <w:r>
        <w:rPr>
          <w:rFonts w:hint="eastAsia" w:ascii="宋体" w:hAnsi="宋体" w:cs="宋体"/>
          <w:color w:val="auto"/>
          <w:sz w:val="30"/>
          <w:szCs w:val="30"/>
          <w:lang w:val="en-US" w:eastAsia="zh-CN"/>
        </w:rPr>
        <w:t>6</w:t>
      </w:r>
      <w:r>
        <w:rPr>
          <w:rFonts w:hint="eastAsia" w:ascii="宋体" w:hAnsi="宋体" w:cs="宋体"/>
          <w:color w:val="auto"/>
          <w:sz w:val="30"/>
          <w:szCs w:val="30"/>
        </w:rPr>
        <w:t>月</w:t>
      </w:r>
    </w:p>
    <w:p w14:paraId="03869604">
      <w:pPr>
        <w:jc w:val="center"/>
        <w:rPr>
          <w:rFonts w:ascii="宋体" w:hAnsi="宋体" w:cs="宋体"/>
          <w:color w:val="auto"/>
          <w:sz w:val="30"/>
          <w:szCs w:val="30"/>
        </w:rPr>
      </w:pPr>
    </w:p>
    <w:p w14:paraId="0B87372C">
      <w:pPr>
        <w:jc w:val="left"/>
        <w:outlineLvl w:val="0"/>
        <w:rPr>
          <w:rFonts w:ascii="宋体" w:hAnsi="宋体" w:cs="方正小标宋简体"/>
          <w:b/>
          <w:bCs/>
          <w:color w:val="auto"/>
          <w:sz w:val="28"/>
          <w:szCs w:val="28"/>
        </w:rPr>
      </w:pPr>
      <w:r>
        <w:rPr>
          <w:rFonts w:hint="eastAsia" w:ascii="宋体" w:hAnsi="宋体" w:cs="宋体"/>
          <w:color w:val="auto"/>
          <w:sz w:val="30"/>
          <w:szCs w:val="30"/>
        </w:rPr>
        <w:br w:type="page" w:clear="all"/>
      </w:r>
      <w:r>
        <w:rPr>
          <w:rFonts w:hint="eastAsia" w:ascii="宋体" w:hAnsi="宋体" w:cs="方正小标宋简体"/>
          <w:b/>
          <w:bCs/>
          <w:color w:val="auto"/>
          <w:sz w:val="28"/>
          <w:szCs w:val="28"/>
        </w:rPr>
        <w:t>目录</w:t>
      </w:r>
    </w:p>
    <w:p w14:paraId="25E7E24D">
      <w:pPr>
        <w:jc w:val="left"/>
        <w:outlineLvl w:val="0"/>
        <w:rPr>
          <w:rFonts w:ascii="宋体" w:hAnsi="宋体" w:cs="方正小标宋简体"/>
          <w:color w:val="auto"/>
          <w:sz w:val="28"/>
          <w:szCs w:val="28"/>
        </w:rPr>
      </w:pPr>
    </w:p>
    <w:p w14:paraId="71C7160D">
      <w:pPr>
        <w:jc w:val="left"/>
        <w:outlineLvl w:val="0"/>
        <w:rPr>
          <w:rFonts w:ascii="宋体" w:hAnsi="宋体" w:cs="方正小标宋简体"/>
          <w:color w:val="auto"/>
          <w:sz w:val="28"/>
          <w:szCs w:val="28"/>
        </w:rPr>
      </w:pPr>
      <w:r>
        <w:rPr>
          <w:color w:val="auto"/>
        </w:rPr>
        <w:fldChar w:fldCharType="begin"/>
      </w:r>
      <w:r>
        <w:rPr>
          <w:color w:val="auto"/>
        </w:rPr>
        <w:instrText xml:space="preserve"> HYPERLINK \l "_Toc5725" \o "#_Toc5725" </w:instrText>
      </w:r>
      <w:r>
        <w:rPr>
          <w:color w:val="auto"/>
        </w:rPr>
        <w:fldChar w:fldCharType="separate"/>
      </w:r>
      <w:r>
        <w:rPr>
          <w:rFonts w:hint="eastAsia" w:ascii="宋体" w:hAnsi="宋体" w:cs="方正小标宋简体"/>
          <w:color w:val="auto"/>
          <w:sz w:val="28"/>
          <w:szCs w:val="28"/>
        </w:rPr>
        <w:t>第一部分 投标邀请</w:t>
      </w:r>
      <w:r>
        <w:rPr>
          <w:rFonts w:hint="eastAsia" w:ascii="宋体" w:hAnsi="宋体" w:cs="方正小标宋简体"/>
          <w:color w:val="auto"/>
          <w:sz w:val="28"/>
          <w:szCs w:val="28"/>
        </w:rPr>
        <w:fldChar w:fldCharType="end"/>
      </w:r>
    </w:p>
    <w:p w14:paraId="4431C274">
      <w:pPr>
        <w:jc w:val="left"/>
        <w:outlineLvl w:val="0"/>
        <w:rPr>
          <w:rFonts w:ascii="宋体" w:hAnsi="宋体" w:cs="方正小标宋简体"/>
          <w:color w:val="auto"/>
          <w:sz w:val="28"/>
          <w:szCs w:val="28"/>
        </w:rPr>
      </w:pPr>
      <w:r>
        <w:rPr>
          <w:color w:val="auto"/>
        </w:rPr>
        <w:fldChar w:fldCharType="begin"/>
      </w:r>
      <w:r>
        <w:rPr>
          <w:color w:val="auto"/>
        </w:rPr>
        <w:instrText xml:space="preserve"> HYPERLINK \l "_Toc11125" \o "#_Toc11125" </w:instrText>
      </w:r>
      <w:r>
        <w:rPr>
          <w:color w:val="auto"/>
        </w:rPr>
        <w:fldChar w:fldCharType="separate"/>
      </w:r>
      <w:r>
        <w:rPr>
          <w:rFonts w:hint="eastAsia" w:ascii="宋体" w:hAnsi="宋体" w:cs="方正小标宋简体"/>
          <w:color w:val="auto"/>
          <w:sz w:val="28"/>
          <w:szCs w:val="28"/>
        </w:rPr>
        <w:t>第二部分 投标人须知前附表</w:t>
      </w:r>
      <w:r>
        <w:rPr>
          <w:rFonts w:hint="eastAsia" w:ascii="宋体" w:hAnsi="宋体" w:cs="方正小标宋简体"/>
          <w:color w:val="auto"/>
          <w:sz w:val="28"/>
          <w:szCs w:val="28"/>
        </w:rPr>
        <w:fldChar w:fldCharType="end"/>
      </w:r>
    </w:p>
    <w:p w14:paraId="1CAC53D6">
      <w:pPr>
        <w:jc w:val="left"/>
        <w:outlineLvl w:val="0"/>
        <w:rPr>
          <w:rFonts w:ascii="宋体" w:hAnsi="宋体" w:cs="方正小标宋简体"/>
          <w:color w:val="auto"/>
          <w:sz w:val="28"/>
          <w:szCs w:val="28"/>
        </w:rPr>
      </w:pPr>
      <w:r>
        <w:rPr>
          <w:color w:val="auto"/>
        </w:rPr>
        <w:fldChar w:fldCharType="begin"/>
      </w:r>
      <w:r>
        <w:rPr>
          <w:color w:val="auto"/>
        </w:rPr>
        <w:instrText xml:space="preserve"> HYPERLINK \l "_Toc808" \o "#_Toc808" </w:instrText>
      </w:r>
      <w:r>
        <w:rPr>
          <w:color w:val="auto"/>
        </w:rPr>
        <w:fldChar w:fldCharType="separate"/>
      </w:r>
      <w:r>
        <w:rPr>
          <w:rFonts w:hint="eastAsia" w:ascii="宋体" w:hAnsi="宋体" w:cs="方正小标宋简体"/>
          <w:color w:val="auto"/>
          <w:sz w:val="28"/>
          <w:szCs w:val="28"/>
        </w:rPr>
        <w:t>第三部分 投标人须知</w:t>
      </w:r>
      <w:r>
        <w:rPr>
          <w:rFonts w:hint="eastAsia" w:ascii="宋体" w:hAnsi="宋体" w:cs="方正小标宋简体"/>
          <w:color w:val="auto"/>
          <w:sz w:val="28"/>
          <w:szCs w:val="28"/>
        </w:rPr>
        <w:fldChar w:fldCharType="end"/>
      </w:r>
    </w:p>
    <w:p w14:paraId="14466DB1">
      <w:pPr>
        <w:jc w:val="left"/>
        <w:outlineLvl w:val="0"/>
        <w:rPr>
          <w:rFonts w:ascii="宋体" w:hAnsi="宋体" w:cs="方正小标宋简体"/>
          <w:color w:val="auto"/>
          <w:sz w:val="28"/>
          <w:szCs w:val="28"/>
        </w:rPr>
      </w:pPr>
      <w:r>
        <w:rPr>
          <w:color w:val="auto"/>
        </w:rPr>
        <w:fldChar w:fldCharType="begin"/>
      </w:r>
      <w:r>
        <w:rPr>
          <w:color w:val="auto"/>
        </w:rPr>
        <w:instrText xml:space="preserve"> HYPERLINK \l "_Toc22728" \o "#_Toc22728" </w:instrText>
      </w:r>
      <w:r>
        <w:rPr>
          <w:color w:val="auto"/>
        </w:rPr>
        <w:fldChar w:fldCharType="separate"/>
      </w:r>
      <w:r>
        <w:rPr>
          <w:rFonts w:hint="eastAsia" w:ascii="宋体" w:hAnsi="宋体" w:cs="方正小标宋简体"/>
          <w:color w:val="auto"/>
          <w:sz w:val="28"/>
          <w:szCs w:val="28"/>
        </w:rPr>
        <w:t>第四部分 采购需求</w:t>
      </w:r>
      <w:r>
        <w:rPr>
          <w:rFonts w:hint="eastAsia" w:ascii="宋体" w:hAnsi="宋体" w:cs="方正小标宋简体"/>
          <w:color w:val="auto"/>
          <w:sz w:val="28"/>
          <w:szCs w:val="28"/>
        </w:rPr>
        <w:fldChar w:fldCharType="end"/>
      </w:r>
    </w:p>
    <w:p w14:paraId="7C288E50">
      <w:pPr>
        <w:jc w:val="left"/>
        <w:outlineLvl w:val="0"/>
        <w:rPr>
          <w:rFonts w:ascii="宋体" w:hAnsi="宋体" w:cs="方正小标宋简体"/>
          <w:color w:val="auto"/>
          <w:sz w:val="28"/>
          <w:szCs w:val="28"/>
        </w:rPr>
      </w:pPr>
      <w:r>
        <w:rPr>
          <w:color w:val="auto"/>
        </w:rPr>
        <w:fldChar w:fldCharType="begin"/>
      </w:r>
      <w:r>
        <w:rPr>
          <w:color w:val="auto"/>
        </w:rPr>
        <w:instrText xml:space="preserve"> HYPERLINK \l "_Toc7340" \o "#_Toc7340" </w:instrText>
      </w:r>
      <w:r>
        <w:rPr>
          <w:color w:val="auto"/>
        </w:rPr>
        <w:fldChar w:fldCharType="separate"/>
      </w:r>
      <w:r>
        <w:rPr>
          <w:rFonts w:hint="eastAsia" w:ascii="宋体" w:hAnsi="宋体" w:cs="方正小标宋简体"/>
          <w:color w:val="auto"/>
          <w:sz w:val="28"/>
          <w:szCs w:val="28"/>
        </w:rPr>
        <w:t>第五部分 评标方法和评标标准</w:t>
      </w:r>
      <w:r>
        <w:rPr>
          <w:rFonts w:hint="eastAsia" w:ascii="宋体" w:hAnsi="宋体" w:cs="方正小标宋简体"/>
          <w:color w:val="auto"/>
          <w:sz w:val="28"/>
          <w:szCs w:val="28"/>
        </w:rPr>
        <w:fldChar w:fldCharType="end"/>
      </w:r>
    </w:p>
    <w:p w14:paraId="080AD07E">
      <w:pPr>
        <w:jc w:val="left"/>
        <w:outlineLvl w:val="0"/>
        <w:rPr>
          <w:rFonts w:ascii="宋体" w:hAnsi="宋体" w:cs="方正小标宋简体"/>
          <w:color w:val="auto"/>
          <w:sz w:val="28"/>
          <w:szCs w:val="28"/>
        </w:rPr>
      </w:pPr>
      <w:r>
        <w:rPr>
          <w:color w:val="auto"/>
        </w:rPr>
        <w:fldChar w:fldCharType="begin"/>
      </w:r>
      <w:r>
        <w:rPr>
          <w:color w:val="auto"/>
        </w:rPr>
        <w:instrText xml:space="preserve"> HYPERLINK \l "_Toc12777" \o "#_Toc12777" </w:instrText>
      </w:r>
      <w:r>
        <w:rPr>
          <w:color w:val="auto"/>
        </w:rPr>
        <w:fldChar w:fldCharType="separate"/>
      </w:r>
      <w:r>
        <w:rPr>
          <w:rFonts w:hint="eastAsia" w:ascii="宋体" w:hAnsi="宋体" w:cs="方正小标宋简体"/>
          <w:color w:val="auto"/>
          <w:sz w:val="28"/>
          <w:szCs w:val="28"/>
        </w:rPr>
        <w:t>第六部分 框架</w:t>
      </w:r>
      <w:r>
        <w:rPr>
          <w:rFonts w:hint="eastAsia" w:ascii="宋体" w:hAnsi="宋体" w:cs="方正小标宋简体"/>
          <w:color w:val="auto"/>
          <w:sz w:val="28"/>
          <w:szCs w:val="28"/>
        </w:rPr>
        <w:fldChar w:fldCharType="end"/>
      </w:r>
      <w:r>
        <w:rPr>
          <w:rFonts w:hint="eastAsia" w:ascii="宋体" w:hAnsi="宋体" w:cs="方正小标宋简体"/>
          <w:color w:val="auto"/>
          <w:sz w:val="28"/>
          <w:szCs w:val="28"/>
        </w:rPr>
        <w:t>协议（范本）</w:t>
      </w:r>
    </w:p>
    <w:p w14:paraId="7A4D06E6">
      <w:pPr>
        <w:jc w:val="left"/>
        <w:outlineLvl w:val="0"/>
        <w:rPr>
          <w:rFonts w:ascii="宋体" w:hAnsi="宋体" w:cs="方正小标宋简体"/>
          <w:color w:val="auto"/>
          <w:sz w:val="28"/>
          <w:szCs w:val="28"/>
        </w:rPr>
      </w:pPr>
      <w:r>
        <w:rPr>
          <w:color w:val="auto"/>
        </w:rPr>
        <w:fldChar w:fldCharType="begin"/>
      </w:r>
      <w:r>
        <w:rPr>
          <w:color w:val="auto"/>
        </w:rPr>
        <w:instrText xml:space="preserve"> HYPERLINK \l "_Toc483" \o "#_Toc483" </w:instrText>
      </w:r>
      <w:r>
        <w:rPr>
          <w:color w:val="auto"/>
        </w:rPr>
        <w:fldChar w:fldCharType="separate"/>
      </w:r>
      <w:r>
        <w:rPr>
          <w:rFonts w:hint="eastAsia" w:ascii="宋体" w:hAnsi="宋体" w:cs="方正小标宋简体"/>
          <w:color w:val="auto"/>
          <w:sz w:val="28"/>
          <w:szCs w:val="28"/>
        </w:rPr>
        <w:t>第七部分 投标文件组成</w:t>
      </w:r>
      <w:r>
        <w:rPr>
          <w:rFonts w:hint="eastAsia" w:ascii="宋体" w:hAnsi="宋体" w:cs="方正小标宋简体"/>
          <w:color w:val="auto"/>
          <w:sz w:val="28"/>
          <w:szCs w:val="28"/>
        </w:rPr>
        <w:fldChar w:fldCharType="end"/>
      </w:r>
    </w:p>
    <w:p w14:paraId="3BA451F5">
      <w:pPr>
        <w:spacing w:line="720" w:lineRule="auto"/>
        <w:rPr>
          <w:rFonts w:ascii="宋体" w:hAnsi="宋体" w:cs="宋体"/>
          <w:color w:val="auto"/>
          <w:sz w:val="30"/>
          <w:szCs w:val="30"/>
        </w:rPr>
      </w:pPr>
    </w:p>
    <w:p w14:paraId="3E480708">
      <w:pPr>
        <w:pStyle w:val="2"/>
        <w:rPr>
          <w:rFonts w:ascii="宋体" w:hAnsi="宋体" w:cs="宋体"/>
          <w:color w:val="auto"/>
          <w:lang w:val="en-US"/>
        </w:rPr>
      </w:pPr>
    </w:p>
    <w:p w14:paraId="2AB692DF">
      <w:pPr>
        <w:spacing w:line="460" w:lineRule="exact"/>
        <w:jc w:val="center"/>
        <w:rPr>
          <w:rFonts w:ascii="宋体" w:hAnsi="宋体" w:cs="宋体"/>
          <w:b/>
          <w:bCs/>
          <w:color w:val="auto"/>
          <w:sz w:val="28"/>
          <w:szCs w:val="28"/>
        </w:rPr>
        <w:sectPr>
          <w:headerReference r:id="rId3" w:type="default"/>
          <w:footerReference r:id="rId4" w:type="default"/>
          <w:pgSz w:w="11906" w:h="16838"/>
          <w:pgMar w:top="1440" w:right="1134" w:bottom="1134" w:left="1134" w:header="510" w:footer="992" w:gutter="0"/>
          <w:pgNumType w:start="1"/>
          <w:cols w:space="720" w:num="1"/>
          <w:docGrid w:linePitch="360" w:charSpace="0"/>
        </w:sectPr>
      </w:pPr>
    </w:p>
    <w:p w14:paraId="0500BC2D">
      <w:pPr>
        <w:pStyle w:val="3"/>
        <w:rPr>
          <w:rFonts w:cs="宋体"/>
          <w:color w:val="auto"/>
          <w:sz w:val="28"/>
          <w:szCs w:val="28"/>
        </w:rPr>
      </w:pPr>
      <w:bookmarkStart w:id="11" w:name="_Toc16555"/>
      <w:bookmarkStart w:id="12" w:name="_Toc20084"/>
      <w:bookmarkStart w:id="13" w:name="_Toc5725"/>
      <w:bookmarkStart w:id="14" w:name="_Toc548"/>
      <w:bookmarkStart w:id="15" w:name="_Toc16103"/>
      <w:r>
        <w:rPr>
          <w:rFonts w:hint="eastAsia" w:cs="宋体"/>
          <w:color w:val="auto"/>
          <w:sz w:val="28"/>
          <w:szCs w:val="28"/>
        </w:rPr>
        <w:t>第一部分  投标邀请</w:t>
      </w:r>
      <w:bookmarkEnd w:id="11"/>
      <w:bookmarkEnd w:id="12"/>
      <w:bookmarkEnd w:id="13"/>
      <w:bookmarkEnd w:id="14"/>
      <w:bookmarkEnd w:id="15"/>
    </w:p>
    <w:p w14:paraId="5B8F3A66">
      <w:pPr>
        <w:rPr>
          <w:color w:val="auto"/>
        </w:rPr>
      </w:pPr>
    </w:p>
    <w:p w14:paraId="259BFDAD">
      <w:pPr>
        <w:spacing w:line="360" w:lineRule="auto"/>
        <w:ind w:firstLine="420"/>
        <w:rPr>
          <w:rFonts w:ascii="宋体" w:hAnsi="宋体" w:cs="宋体"/>
          <w:color w:val="auto"/>
          <w:szCs w:val="21"/>
        </w:rPr>
      </w:pPr>
      <w:r>
        <w:rPr>
          <w:rFonts w:hint="eastAsia" w:ascii="宋体" w:hAnsi="宋体" w:cs="宋体"/>
          <w:color w:val="auto"/>
          <w:szCs w:val="21"/>
        </w:rPr>
        <w:t>受溧阳市机关事务管理中心委托，溧阳市政府采购中心(以下简称采购中心)就2025-2027年度溧阳市党政机关、事业单位和团体组织</w:t>
      </w:r>
      <w:r>
        <w:rPr>
          <w:rFonts w:hint="eastAsia" w:ascii="宋体" w:hAnsi="宋体" w:cs="宋体"/>
          <w:color w:val="auto"/>
          <w:szCs w:val="21"/>
          <w:lang w:eastAsia="zh-CN"/>
        </w:rPr>
        <w:t>公务车辆定点维修服务</w:t>
      </w:r>
      <w:r>
        <w:rPr>
          <w:rFonts w:hint="eastAsia" w:ascii="宋体" w:hAnsi="宋体" w:cs="宋体"/>
          <w:color w:val="auto"/>
          <w:szCs w:val="21"/>
        </w:rPr>
        <w:t>项目进行国内公开征集，邀请合格投标人提交投标文件。</w:t>
      </w:r>
    </w:p>
    <w:p w14:paraId="5D2B2479">
      <w:pPr>
        <w:spacing w:line="360" w:lineRule="auto"/>
        <w:rPr>
          <w:rFonts w:ascii="宋体" w:hAnsi="宋体" w:cs="宋体"/>
          <w:b/>
          <w:color w:val="auto"/>
          <w:szCs w:val="21"/>
        </w:rPr>
      </w:pPr>
      <w:bookmarkStart w:id="16" w:name="_Toc517793358"/>
      <w:r>
        <w:rPr>
          <w:rFonts w:hint="eastAsia" w:ascii="宋体" w:hAnsi="宋体" w:cs="宋体"/>
          <w:b/>
          <w:color w:val="auto"/>
          <w:szCs w:val="21"/>
        </w:rPr>
        <w:t>一、</w:t>
      </w:r>
      <w:bookmarkEnd w:id="16"/>
      <w:bookmarkStart w:id="17" w:name="_Toc517793359"/>
      <w:r>
        <w:rPr>
          <w:rFonts w:hint="eastAsia" w:ascii="宋体" w:hAnsi="宋体" w:cs="宋体"/>
          <w:b/>
          <w:color w:val="auto"/>
          <w:szCs w:val="21"/>
        </w:rPr>
        <w:t>项目基本情况</w:t>
      </w:r>
      <w:bookmarkEnd w:id="17"/>
      <w:bookmarkStart w:id="18" w:name="_Toc517793360"/>
    </w:p>
    <w:p w14:paraId="59B61A50">
      <w:pPr>
        <w:spacing w:line="360" w:lineRule="auto"/>
        <w:ind w:firstLine="420"/>
        <w:rPr>
          <w:rFonts w:hint="eastAsia" w:ascii="宋体" w:hAnsi="宋体" w:eastAsia="宋体" w:cs="宋体"/>
          <w:bCs/>
          <w:color w:val="auto"/>
          <w:szCs w:val="22"/>
          <w:lang w:eastAsia="zh-CN"/>
        </w:rPr>
      </w:pPr>
      <w:r>
        <w:rPr>
          <w:rFonts w:hint="eastAsia" w:ascii="宋体" w:hAnsi="宋体" w:cs="宋体"/>
          <w:bCs/>
          <w:color w:val="auto"/>
          <w:szCs w:val="22"/>
        </w:rPr>
        <w:t>1．项目编号：</w:t>
      </w:r>
      <w:r>
        <w:rPr>
          <w:rFonts w:hint="eastAsia" w:ascii="宋体" w:hAnsi="宋体" w:cs="宋体"/>
          <w:bCs/>
          <w:color w:val="auto"/>
          <w:szCs w:val="22"/>
          <w:lang w:eastAsia="zh-CN"/>
        </w:rPr>
        <w:t>******</w:t>
      </w:r>
    </w:p>
    <w:p w14:paraId="1ECC77AD">
      <w:pPr>
        <w:spacing w:line="360" w:lineRule="auto"/>
        <w:ind w:firstLine="420"/>
        <w:rPr>
          <w:rFonts w:hint="eastAsia" w:ascii="宋体" w:hAnsi="宋体" w:eastAsia="宋体" w:cs="宋体"/>
          <w:bCs/>
          <w:color w:val="auto"/>
          <w:szCs w:val="22"/>
          <w:lang w:eastAsia="zh-CN"/>
        </w:rPr>
      </w:pPr>
      <w:r>
        <w:rPr>
          <w:rFonts w:hint="eastAsia" w:ascii="宋体" w:hAnsi="宋体" w:cs="宋体"/>
          <w:bCs/>
          <w:color w:val="auto"/>
          <w:szCs w:val="22"/>
        </w:rPr>
        <w:t>2．项目名称</w:t>
      </w:r>
      <w:r>
        <w:rPr>
          <w:rFonts w:hint="eastAsia"/>
          <w:color w:val="auto"/>
        </w:rPr>
        <w:t>：</w:t>
      </w:r>
      <w:r>
        <w:rPr>
          <w:rFonts w:hint="eastAsia" w:ascii="宋体" w:hAnsi="宋体" w:cs="宋体"/>
          <w:bCs/>
          <w:color w:val="auto"/>
          <w:szCs w:val="22"/>
          <w:lang w:eastAsia="zh-CN"/>
        </w:rPr>
        <w:t>2025-2027年度溧阳市党政机关、事业单位和团体组织公务车辆定点维修服务框架协议采购</w:t>
      </w:r>
    </w:p>
    <w:p w14:paraId="717AD0CE">
      <w:pPr>
        <w:spacing w:line="360" w:lineRule="auto"/>
        <w:ind w:firstLine="420"/>
        <w:rPr>
          <w:rFonts w:ascii="宋体" w:hAnsi="宋体" w:cs="宋体"/>
          <w:bCs/>
          <w:color w:val="auto"/>
          <w:szCs w:val="22"/>
        </w:rPr>
      </w:pPr>
      <w:r>
        <w:rPr>
          <w:rFonts w:hint="eastAsia" w:ascii="宋体" w:hAnsi="宋体" w:cs="宋体"/>
          <w:bCs/>
          <w:color w:val="auto"/>
          <w:szCs w:val="22"/>
        </w:rPr>
        <w:t>3．最高限制单价：详见“第四部分 采购需求”</w:t>
      </w:r>
    </w:p>
    <w:p w14:paraId="2758D7C2">
      <w:pPr>
        <w:spacing w:line="360" w:lineRule="auto"/>
        <w:ind w:firstLine="420"/>
        <w:rPr>
          <w:rFonts w:ascii="宋体" w:hAnsi="宋体" w:cs="宋体"/>
          <w:bCs/>
          <w:color w:val="auto"/>
          <w:szCs w:val="22"/>
        </w:rPr>
      </w:pPr>
      <w:r>
        <w:rPr>
          <w:rFonts w:hint="eastAsia" w:ascii="宋体" w:hAnsi="宋体" w:cs="宋体"/>
          <w:bCs/>
          <w:color w:val="auto"/>
          <w:szCs w:val="22"/>
        </w:rPr>
        <w:t>4．采购项目分包情况</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410"/>
        <w:gridCol w:w="810"/>
        <w:gridCol w:w="1684"/>
        <w:gridCol w:w="1965"/>
      </w:tblGrid>
      <w:tr w14:paraId="21E0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14:paraId="0973F5E3">
            <w:pPr>
              <w:jc w:val="center"/>
              <w:rPr>
                <w:rFonts w:ascii="宋体" w:hAnsi="宋体" w:cs="宋体"/>
                <w:color w:val="auto"/>
                <w:spacing w:val="8"/>
                <w:szCs w:val="21"/>
              </w:rPr>
            </w:pPr>
            <w:r>
              <w:rPr>
                <w:rFonts w:hint="eastAsia" w:ascii="宋体" w:hAnsi="宋体" w:cs="宋体"/>
                <w:color w:val="auto"/>
                <w:spacing w:val="8"/>
                <w:szCs w:val="21"/>
              </w:rPr>
              <w:t>包号</w:t>
            </w:r>
          </w:p>
        </w:tc>
        <w:tc>
          <w:tcPr>
            <w:tcW w:w="4410" w:type="dxa"/>
            <w:noWrap w:val="0"/>
            <w:vAlign w:val="center"/>
          </w:tcPr>
          <w:p w14:paraId="615985B3">
            <w:pPr>
              <w:jc w:val="center"/>
              <w:rPr>
                <w:rFonts w:ascii="宋体" w:hAnsi="宋体" w:cs="宋体"/>
                <w:color w:val="auto"/>
                <w:spacing w:val="8"/>
                <w:szCs w:val="21"/>
              </w:rPr>
            </w:pPr>
            <w:r>
              <w:rPr>
                <w:rFonts w:hint="eastAsia" w:ascii="宋体" w:hAnsi="宋体" w:cs="宋体"/>
                <w:color w:val="auto"/>
                <w:spacing w:val="8"/>
                <w:szCs w:val="21"/>
              </w:rPr>
              <w:t>服务名称</w:t>
            </w:r>
          </w:p>
        </w:tc>
        <w:tc>
          <w:tcPr>
            <w:tcW w:w="810" w:type="dxa"/>
            <w:noWrap w:val="0"/>
            <w:vAlign w:val="center"/>
          </w:tcPr>
          <w:p w14:paraId="72D7623D">
            <w:pPr>
              <w:jc w:val="center"/>
              <w:rPr>
                <w:rFonts w:ascii="宋体" w:hAnsi="宋体" w:cs="宋体"/>
                <w:color w:val="auto"/>
                <w:spacing w:val="8"/>
                <w:szCs w:val="21"/>
              </w:rPr>
            </w:pPr>
            <w:r>
              <w:rPr>
                <w:rFonts w:hint="eastAsia" w:ascii="宋体" w:hAnsi="宋体" w:cs="宋体"/>
                <w:color w:val="auto"/>
                <w:spacing w:val="8"/>
                <w:szCs w:val="21"/>
              </w:rPr>
              <w:t>数量</w:t>
            </w:r>
          </w:p>
        </w:tc>
        <w:tc>
          <w:tcPr>
            <w:tcW w:w="1684" w:type="dxa"/>
            <w:noWrap w:val="0"/>
            <w:vAlign w:val="center"/>
          </w:tcPr>
          <w:p w14:paraId="52A39293">
            <w:pPr>
              <w:jc w:val="center"/>
              <w:rPr>
                <w:rFonts w:ascii="宋体" w:hAnsi="宋体" w:cs="宋体"/>
                <w:color w:val="auto"/>
                <w:spacing w:val="8"/>
                <w:szCs w:val="21"/>
              </w:rPr>
            </w:pPr>
            <w:r>
              <w:rPr>
                <w:rFonts w:hint="eastAsia" w:ascii="宋体" w:hAnsi="宋体" w:cs="宋体"/>
                <w:color w:val="auto"/>
                <w:spacing w:val="8"/>
                <w:szCs w:val="21"/>
              </w:rPr>
              <w:t>最高限制单价</w:t>
            </w:r>
          </w:p>
        </w:tc>
        <w:tc>
          <w:tcPr>
            <w:tcW w:w="1965" w:type="dxa"/>
            <w:noWrap w:val="0"/>
            <w:vAlign w:val="center"/>
          </w:tcPr>
          <w:p w14:paraId="743D7814">
            <w:pPr>
              <w:jc w:val="center"/>
              <w:rPr>
                <w:rFonts w:ascii="宋体" w:hAnsi="宋体" w:cs="宋体"/>
                <w:color w:val="auto"/>
                <w:spacing w:val="8"/>
                <w:szCs w:val="21"/>
              </w:rPr>
            </w:pPr>
            <w:r>
              <w:rPr>
                <w:rFonts w:hint="eastAsia" w:ascii="宋体" w:hAnsi="宋体" w:cs="宋体"/>
                <w:color w:val="auto"/>
                <w:spacing w:val="8"/>
                <w:szCs w:val="21"/>
              </w:rPr>
              <w:t>简要技术需求或服务要求</w:t>
            </w:r>
          </w:p>
        </w:tc>
      </w:tr>
      <w:tr w14:paraId="0B73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14:paraId="10F7C768">
            <w:pPr>
              <w:jc w:val="center"/>
              <w:rPr>
                <w:rFonts w:ascii="宋体" w:hAnsi="宋体" w:cs="宋体"/>
                <w:color w:val="auto"/>
                <w:spacing w:val="8"/>
                <w:szCs w:val="21"/>
              </w:rPr>
            </w:pPr>
            <w:r>
              <w:rPr>
                <w:rFonts w:ascii="宋体" w:hAnsi="宋体"/>
                <w:color w:val="auto"/>
                <w:spacing w:val="8"/>
                <w:szCs w:val="21"/>
              </w:rPr>
              <w:t>01</w:t>
            </w:r>
          </w:p>
        </w:tc>
        <w:tc>
          <w:tcPr>
            <w:tcW w:w="4410" w:type="dxa"/>
            <w:noWrap w:val="0"/>
            <w:vAlign w:val="center"/>
          </w:tcPr>
          <w:p w14:paraId="57FDE283">
            <w:pPr>
              <w:jc w:val="center"/>
              <w:rPr>
                <w:rFonts w:ascii="宋体" w:hAnsi="宋体" w:cs="宋体"/>
                <w:color w:val="auto"/>
                <w:spacing w:val="8"/>
                <w:szCs w:val="21"/>
              </w:rPr>
            </w:pPr>
            <w:r>
              <w:rPr>
                <w:rFonts w:hint="eastAsia" w:ascii="宋体" w:hAnsi="宋体"/>
                <w:color w:val="auto"/>
                <w:spacing w:val="8"/>
                <w:szCs w:val="21"/>
              </w:rPr>
              <w:t>2025-2027年度溧阳市党政机关、事业单位和团体组织</w:t>
            </w:r>
            <w:r>
              <w:rPr>
                <w:rFonts w:hint="eastAsia" w:ascii="宋体" w:hAnsi="宋体"/>
                <w:color w:val="auto"/>
                <w:spacing w:val="8"/>
                <w:szCs w:val="21"/>
                <w:lang w:eastAsia="zh-CN"/>
              </w:rPr>
              <w:t>公务车辆定点维修服务</w:t>
            </w:r>
          </w:p>
        </w:tc>
        <w:tc>
          <w:tcPr>
            <w:tcW w:w="810" w:type="dxa"/>
            <w:noWrap w:val="0"/>
            <w:vAlign w:val="center"/>
          </w:tcPr>
          <w:p w14:paraId="387E1517">
            <w:pPr>
              <w:jc w:val="center"/>
              <w:rPr>
                <w:rFonts w:ascii="宋体" w:hAnsi="宋体" w:cs="宋体"/>
                <w:color w:val="auto"/>
                <w:spacing w:val="8"/>
                <w:szCs w:val="21"/>
              </w:rPr>
            </w:pPr>
            <w:r>
              <w:rPr>
                <w:rFonts w:ascii="宋体" w:hAnsi="宋体"/>
                <w:color w:val="auto"/>
                <w:spacing w:val="8"/>
                <w:szCs w:val="21"/>
              </w:rPr>
              <w:t>1</w:t>
            </w:r>
          </w:p>
        </w:tc>
        <w:tc>
          <w:tcPr>
            <w:tcW w:w="1684" w:type="dxa"/>
            <w:noWrap w:val="0"/>
            <w:vAlign w:val="center"/>
          </w:tcPr>
          <w:p w14:paraId="765501B7">
            <w:pPr>
              <w:jc w:val="center"/>
              <w:rPr>
                <w:rFonts w:ascii="宋体" w:hAnsi="宋体" w:cs="宋体"/>
                <w:color w:val="auto"/>
                <w:spacing w:val="8"/>
                <w:szCs w:val="21"/>
              </w:rPr>
            </w:pPr>
            <w:r>
              <w:rPr>
                <w:rFonts w:hint="eastAsia" w:ascii="宋体" w:hAnsi="宋体" w:cs="宋体"/>
                <w:color w:val="auto"/>
                <w:spacing w:val="8"/>
                <w:szCs w:val="21"/>
              </w:rPr>
              <w:t>详见“第四部分采购需求”</w:t>
            </w:r>
          </w:p>
        </w:tc>
        <w:tc>
          <w:tcPr>
            <w:tcW w:w="1965" w:type="dxa"/>
            <w:noWrap w:val="0"/>
            <w:vAlign w:val="center"/>
          </w:tcPr>
          <w:p w14:paraId="62D8BA52">
            <w:pPr>
              <w:jc w:val="center"/>
              <w:rPr>
                <w:rFonts w:ascii="宋体" w:hAnsi="宋体" w:cs="宋体"/>
                <w:color w:val="auto"/>
                <w:spacing w:val="8"/>
                <w:szCs w:val="21"/>
              </w:rPr>
            </w:pPr>
            <w:r>
              <w:rPr>
                <w:rFonts w:hint="eastAsia" w:ascii="宋体" w:hAnsi="宋体" w:cs="宋体"/>
                <w:color w:val="auto"/>
                <w:spacing w:val="8"/>
                <w:szCs w:val="21"/>
              </w:rPr>
              <w:t>详见“第四部分采购需求”</w:t>
            </w:r>
          </w:p>
        </w:tc>
      </w:tr>
    </w:tbl>
    <w:p w14:paraId="2B1CE0B9">
      <w:pPr>
        <w:pStyle w:val="16"/>
        <w:rPr>
          <w:color w:val="auto"/>
        </w:rPr>
      </w:pPr>
    </w:p>
    <w:p w14:paraId="27CB328B">
      <w:pPr>
        <w:spacing w:line="360" w:lineRule="auto"/>
        <w:ind w:firstLine="420"/>
        <w:rPr>
          <w:rFonts w:ascii="宋体" w:hAnsi="宋体" w:cs="宋体"/>
          <w:bCs/>
          <w:color w:val="auto"/>
          <w:szCs w:val="22"/>
        </w:rPr>
      </w:pPr>
      <w:r>
        <w:rPr>
          <w:rFonts w:hint="eastAsia" w:ascii="宋体" w:hAnsi="宋体" w:cs="宋体"/>
          <w:bCs/>
          <w:color w:val="auto"/>
          <w:szCs w:val="22"/>
        </w:rPr>
        <w:t>5．适用框架协议的征集人或者服务对象范围：溧阳市2025-2027年度各级党政机关、事业单位和团体组织。</w:t>
      </w:r>
    </w:p>
    <w:p w14:paraId="35FC1C3C">
      <w:pPr>
        <w:spacing w:line="360" w:lineRule="auto"/>
        <w:ind w:firstLine="420"/>
        <w:rPr>
          <w:rFonts w:ascii="宋体" w:hAnsi="宋体" w:cs="宋体"/>
          <w:bCs/>
          <w:color w:val="auto"/>
          <w:szCs w:val="22"/>
        </w:rPr>
      </w:pPr>
      <w:r>
        <w:rPr>
          <w:rFonts w:hint="eastAsia" w:ascii="宋体" w:hAnsi="宋体" w:cs="宋体"/>
          <w:bCs/>
          <w:color w:val="auto"/>
          <w:szCs w:val="22"/>
        </w:rPr>
        <w:t>6．采购方式：封闭式框架协议采购</w:t>
      </w:r>
    </w:p>
    <w:p w14:paraId="011695F0">
      <w:pPr>
        <w:spacing w:line="360" w:lineRule="auto"/>
        <w:ind w:firstLine="420"/>
        <w:rPr>
          <w:rFonts w:ascii="宋体" w:hAnsi="宋体" w:cs="宋体"/>
          <w:bCs/>
          <w:color w:val="auto"/>
          <w:szCs w:val="22"/>
        </w:rPr>
      </w:pPr>
      <w:r>
        <w:rPr>
          <w:rFonts w:hint="eastAsia" w:ascii="宋体" w:hAnsi="宋体" w:cs="宋体"/>
          <w:bCs/>
          <w:color w:val="auto"/>
          <w:szCs w:val="22"/>
        </w:rPr>
        <w:t>7．框架协议的期限：本框架协议签署之日起2年。</w:t>
      </w:r>
      <w:bookmarkEnd w:id="18"/>
    </w:p>
    <w:p w14:paraId="16C9DA11">
      <w:pPr>
        <w:spacing w:line="360" w:lineRule="auto"/>
        <w:rPr>
          <w:rFonts w:ascii="宋体" w:hAnsi="宋体" w:cs="宋体"/>
          <w:bCs/>
          <w:color w:val="auto"/>
          <w:szCs w:val="22"/>
          <w:u w:val="single"/>
        </w:rPr>
      </w:pPr>
      <w:r>
        <w:rPr>
          <w:rFonts w:hint="eastAsia" w:ascii="宋体" w:hAnsi="宋体" w:cs="宋体"/>
          <w:b/>
          <w:color w:val="auto"/>
          <w:szCs w:val="21"/>
        </w:rPr>
        <w:t>二、</w:t>
      </w:r>
      <w:bookmarkStart w:id="19" w:name="_Toc517793362"/>
      <w:r>
        <w:rPr>
          <w:rFonts w:hint="eastAsia" w:ascii="宋体" w:hAnsi="宋体" w:cs="宋体"/>
          <w:b/>
          <w:color w:val="auto"/>
          <w:szCs w:val="21"/>
        </w:rPr>
        <w:t>供应商资格要求（需同时满足）</w:t>
      </w:r>
    </w:p>
    <w:p w14:paraId="099A08BE">
      <w:pPr>
        <w:spacing w:line="360" w:lineRule="auto"/>
        <w:ind w:firstLine="420"/>
        <w:rPr>
          <w:rFonts w:ascii="宋体" w:hAnsi="宋体" w:cs="宋体"/>
          <w:bCs/>
          <w:color w:val="auto"/>
          <w:szCs w:val="22"/>
        </w:rPr>
      </w:pPr>
      <w:bookmarkStart w:id="20" w:name="_Hlk191995445"/>
      <w:r>
        <w:rPr>
          <w:rFonts w:ascii="宋体" w:hAnsi="宋体" w:cs="宋体"/>
          <w:bCs/>
          <w:color w:val="auto"/>
          <w:szCs w:val="22"/>
        </w:rPr>
        <w:t>1</w:t>
      </w:r>
      <w:r>
        <w:rPr>
          <w:rFonts w:hint="eastAsia" w:ascii="宋体" w:hAnsi="宋体" w:cs="宋体"/>
          <w:bCs/>
          <w:color w:val="auto"/>
          <w:szCs w:val="22"/>
        </w:rPr>
        <w:t>．通用资格要求</w:t>
      </w:r>
      <w:r>
        <w:rPr>
          <w:rFonts w:ascii="宋体" w:hAnsi="宋体" w:cs="宋体"/>
          <w:bCs/>
          <w:color w:val="auto"/>
          <w:szCs w:val="22"/>
        </w:rPr>
        <w:t>:</w:t>
      </w:r>
    </w:p>
    <w:p w14:paraId="34B4A421">
      <w:pPr>
        <w:spacing w:line="360" w:lineRule="auto"/>
        <w:ind w:left="420" w:firstLine="420"/>
        <w:rPr>
          <w:rFonts w:ascii="宋体" w:hAnsi="宋体" w:cs="宋体"/>
          <w:bCs/>
          <w:color w:val="auto"/>
          <w:szCs w:val="22"/>
        </w:rPr>
      </w:pPr>
      <w:bookmarkStart w:id="21" w:name="_Hlk191995502"/>
      <w:bookmarkStart w:id="22" w:name="_Hlk191995485"/>
      <w:r>
        <w:rPr>
          <w:rFonts w:ascii="宋体" w:hAnsi="宋体" w:cs="宋体"/>
          <w:bCs/>
          <w:color w:val="auto"/>
          <w:szCs w:val="22"/>
        </w:rPr>
        <w:t>1.1</w:t>
      </w:r>
      <w:r>
        <w:rPr>
          <w:rFonts w:hint="eastAsia" w:ascii="宋体" w:hAnsi="宋体" w:cs="宋体"/>
          <w:bCs/>
          <w:color w:val="auto"/>
          <w:szCs w:val="22"/>
        </w:rPr>
        <w:t>满足《中华人民共和国政府采购法》第二十二条规定。</w:t>
      </w:r>
      <w:bookmarkEnd w:id="21"/>
    </w:p>
    <w:p w14:paraId="00B1C987">
      <w:pPr>
        <w:spacing w:line="360" w:lineRule="auto"/>
        <w:ind w:left="420" w:firstLine="420"/>
        <w:rPr>
          <w:color w:val="auto"/>
        </w:rPr>
      </w:pPr>
      <w:r>
        <w:rPr>
          <w:rFonts w:ascii="宋体" w:hAnsi="宋体" w:cs="宋体"/>
          <w:bCs/>
          <w:color w:val="auto"/>
          <w:szCs w:val="22"/>
        </w:rPr>
        <w:t>1.2</w:t>
      </w:r>
      <w:r>
        <w:rPr>
          <w:rFonts w:hint="eastAsia" w:ascii="宋体" w:hAnsi="宋体" w:cs="宋体"/>
          <w:bCs/>
          <w:color w:val="auto"/>
          <w:szCs w:val="22"/>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15884CC5">
      <w:pPr>
        <w:spacing w:line="360" w:lineRule="auto"/>
        <w:ind w:firstLine="420"/>
        <w:rPr>
          <w:rFonts w:ascii="宋体" w:hAnsi="宋体" w:cs="宋体"/>
          <w:bCs/>
          <w:color w:val="auto"/>
          <w:szCs w:val="22"/>
        </w:rPr>
      </w:pPr>
      <w:r>
        <w:rPr>
          <w:rFonts w:ascii="宋体" w:hAnsi="宋体" w:cs="宋体"/>
          <w:bCs/>
          <w:color w:val="auto"/>
          <w:szCs w:val="22"/>
        </w:rPr>
        <w:t>2</w:t>
      </w:r>
      <w:r>
        <w:rPr>
          <w:rFonts w:hint="eastAsia" w:ascii="宋体" w:hAnsi="宋体" w:cs="宋体"/>
          <w:bCs/>
          <w:color w:val="auto"/>
          <w:szCs w:val="22"/>
        </w:rPr>
        <w:t>．落实政府采购政策需满足的资格要求</w:t>
      </w:r>
      <w:r>
        <w:rPr>
          <w:rFonts w:ascii="宋体" w:hAnsi="宋体" w:cs="宋体"/>
          <w:bCs/>
          <w:color w:val="auto"/>
          <w:szCs w:val="22"/>
        </w:rPr>
        <w:t>:</w:t>
      </w:r>
    </w:p>
    <w:p w14:paraId="37BFC6F4">
      <w:pPr>
        <w:spacing w:line="360" w:lineRule="auto"/>
        <w:ind w:left="420" w:firstLine="420"/>
        <w:rPr>
          <w:rFonts w:ascii="宋体" w:hAnsi="宋体" w:cs="宋体"/>
          <w:bCs/>
          <w:color w:val="auto"/>
          <w:szCs w:val="22"/>
        </w:rPr>
      </w:pPr>
      <w:r>
        <w:rPr>
          <w:rFonts w:ascii="宋体" w:hAnsi="宋体" w:cs="宋体"/>
          <w:bCs/>
          <w:color w:val="auto"/>
          <w:szCs w:val="22"/>
        </w:rPr>
        <w:t>2.1</w:t>
      </w:r>
      <w:r>
        <w:rPr>
          <w:rFonts w:hint="eastAsia" w:ascii="宋体" w:hAnsi="宋体" w:cs="宋体"/>
          <w:bCs/>
          <w:color w:val="auto"/>
          <w:szCs w:val="22"/>
        </w:rPr>
        <w:t>中小企业政策：本项目专门面向中小企业采购。</w:t>
      </w:r>
    </w:p>
    <w:p w14:paraId="2E811E69">
      <w:pPr>
        <w:numPr>
          <w:ilvl w:val="0"/>
          <w:numId w:val="0"/>
        </w:numPr>
        <w:spacing w:line="360" w:lineRule="auto"/>
        <w:ind w:firstLine="420" w:firstLineChars="200"/>
        <w:rPr>
          <w:rFonts w:ascii="宋体" w:hAnsi="宋体" w:cs="宋体"/>
          <w:bCs/>
          <w:color w:val="auto"/>
          <w:szCs w:val="22"/>
        </w:rPr>
      </w:pPr>
      <w:r>
        <w:rPr>
          <w:rFonts w:hint="eastAsia" w:ascii="宋体" w:hAnsi="宋体" w:cs="宋体"/>
          <w:bCs/>
          <w:color w:val="auto"/>
          <w:szCs w:val="22"/>
          <w:lang w:val="en-US" w:eastAsia="zh-CN"/>
        </w:rPr>
        <w:t>3</w:t>
      </w:r>
      <w:r>
        <w:rPr>
          <w:rFonts w:hint="eastAsia" w:ascii="宋体" w:hAnsi="宋体" w:cs="宋体"/>
          <w:bCs/>
          <w:color w:val="auto"/>
          <w:szCs w:val="22"/>
        </w:rPr>
        <w:t>．本项目的特定资格要求</w:t>
      </w:r>
      <w:r>
        <w:rPr>
          <w:rFonts w:ascii="宋体" w:hAnsi="宋体" w:cs="宋体"/>
          <w:bCs/>
          <w:color w:val="auto"/>
          <w:szCs w:val="22"/>
        </w:rPr>
        <w:t>:</w:t>
      </w:r>
    </w:p>
    <w:p w14:paraId="13DFC267">
      <w:pPr>
        <w:spacing w:line="360" w:lineRule="auto"/>
        <w:ind w:left="420" w:firstLine="420"/>
        <w:rPr>
          <w:rFonts w:ascii="宋体" w:hAnsi="宋体" w:cs="宋体"/>
          <w:bCs/>
          <w:color w:val="auto"/>
          <w:szCs w:val="22"/>
        </w:rPr>
      </w:pPr>
      <w:r>
        <w:rPr>
          <w:rFonts w:ascii="宋体" w:hAnsi="宋体" w:cs="宋体"/>
          <w:bCs/>
          <w:color w:val="auto"/>
          <w:szCs w:val="22"/>
        </w:rPr>
        <w:t>3.</w:t>
      </w:r>
      <w:r>
        <w:rPr>
          <w:rFonts w:hint="eastAsia" w:ascii="宋体" w:hAnsi="宋体" w:cs="宋体"/>
          <w:bCs/>
          <w:color w:val="auto"/>
          <w:szCs w:val="22"/>
        </w:rPr>
        <w:t>1申请供应商须在溧阳市范围内具有固定的汽车维修经营场所。</w:t>
      </w:r>
    </w:p>
    <w:p w14:paraId="4F52280B">
      <w:pPr>
        <w:spacing w:line="360" w:lineRule="auto"/>
        <w:ind w:left="420" w:firstLine="420"/>
        <w:rPr>
          <w:rFonts w:ascii="宋体" w:hAnsi="宋体" w:cs="宋体"/>
          <w:bCs/>
          <w:color w:val="auto"/>
          <w:szCs w:val="22"/>
        </w:rPr>
      </w:pPr>
      <w:r>
        <w:rPr>
          <w:rFonts w:ascii="宋体" w:hAnsi="宋体" w:cs="宋体"/>
          <w:bCs/>
          <w:color w:val="auto"/>
          <w:szCs w:val="22"/>
        </w:rPr>
        <w:t>3.</w:t>
      </w:r>
      <w:r>
        <w:rPr>
          <w:rFonts w:hint="eastAsia" w:ascii="宋体" w:hAnsi="宋体" w:cs="宋体"/>
          <w:bCs/>
          <w:color w:val="auto"/>
          <w:szCs w:val="22"/>
        </w:rPr>
        <w:t>2申请供应商须具有溧阳市注册汽车维修营业执照。</w:t>
      </w:r>
    </w:p>
    <w:p w14:paraId="1356A7BD">
      <w:pPr>
        <w:spacing w:line="360" w:lineRule="auto"/>
        <w:ind w:left="420" w:firstLine="420"/>
        <w:rPr>
          <w:rFonts w:hint="eastAsia" w:ascii="宋体" w:hAnsi="宋体" w:eastAsia="宋体" w:cs="宋体"/>
          <w:bCs/>
          <w:color w:val="auto"/>
          <w:szCs w:val="22"/>
          <w:lang w:val="en-US" w:eastAsia="zh-CN"/>
        </w:rPr>
      </w:pPr>
      <w:r>
        <w:rPr>
          <w:rFonts w:hint="eastAsia" w:ascii="宋体" w:hAnsi="宋体" w:cs="宋体"/>
          <w:bCs/>
          <w:color w:val="auto"/>
          <w:szCs w:val="22"/>
        </w:rPr>
        <w:t>3.3申请供应商须具有一类汽车维修资格（品牌汽车4S店可放宽至二类汽车维修资格）。</w:t>
      </w:r>
    </w:p>
    <w:p w14:paraId="2923F58D">
      <w:pPr>
        <w:spacing w:line="360" w:lineRule="auto"/>
        <w:ind w:left="420" w:firstLine="420"/>
        <w:rPr>
          <w:rFonts w:ascii="宋体" w:hAnsi="宋体" w:cs="宋体"/>
          <w:bCs/>
          <w:color w:val="auto"/>
          <w:szCs w:val="22"/>
        </w:rPr>
      </w:pPr>
      <w:r>
        <w:rPr>
          <w:rFonts w:ascii="宋体" w:hAnsi="宋体" w:cs="宋体"/>
          <w:bCs/>
          <w:color w:val="auto"/>
          <w:szCs w:val="22"/>
        </w:rPr>
        <w:t>3.</w:t>
      </w:r>
      <w:r>
        <w:rPr>
          <w:rFonts w:hint="eastAsia" w:ascii="宋体" w:hAnsi="宋体" w:cs="宋体"/>
          <w:bCs/>
          <w:color w:val="auto"/>
          <w:szCs w:val="22"/>
          <w:lang w:val="en-US" w:eastAsia="zh-CN"/>
        </w:rPr>
        <w:t>4</w:t>
      </w:r>
      <w:r>
        <w:rPr>
          <w:rFonts w:hint="eastAsia" w:ascii="宋体" w:hAnsi="宋体" w:cs="宋体"/>
          <w:bCs/>
          <w:color w:val="auto"/>
          <w:szCs w:val="22"/>
        </w:rPr>
        <w:t>本项目不接受联合体投标。</w:t>
      </w:r>
      <w:bookmarkEnd w:id="20"/>
      <w:bookmarkEnd w:id="22"/>
    </w:p>
    <w:p w14:paraId="32731853">
      <w:pPr>
        <w:spacing w:line="360" w:lineRule="auto"/>
        <w:rPr>
          <w:rFonts w:ascii="宋体" w:hAnsi="宋体" w:cs="宋体"/>
          <w:b/>
          <w:color w:val="auto"/>
          <w:szCs w:val="21"/>
        </w:rPr>
      </w:pPr>
      <w:r>
        <w:rPr>
          <w:rFonts w:hint="eastAsia" w:ascii="宋体" w:hAnsi="宋体" w:cs="宋体"/>
          <w:b/>
          <w:color w:val="auto"/>
          <w:szCs w:val="21"/>
        </w:rPr>
        <w:t>三、获取征集文件</w:t>
      </w:r>
    </w:p>
    <w:p w14:paraId="20254BBD">
      <w:pPr>
        <w:spacing w:line="360" w:lineRule="auto"/>
        <w:ind w:firstLine="420"/>
        <w:rPr>
          <w:rFonts w:ascii="宋体" w:hAnsi="宋体" w:cs="宋体"/>
          <w:bCs/>
          <w:color w:val="auto"/>
          <w:szCs w:val="22"/>
        </w:rPr>
      </w:pPr>
      <w:r>
        <w:rPr>
          <w:rFonts w:ascii="宋体" w:hAnsi="宋体" w:cs="宋体"/>
          <w:bCs/>
          <w:color w:val="auto"/>
          <w:szCs w:val="22"/>
        </w:rPr>
        <w:t>1</w:t>
      </w:r>
      <w:r>
        <w:rPr>
          <w:rFonts w:hint="eastAsia" w:ascii="宋体" w:hAnsi="宋体" w:cs="宋体"/>
          <w:bCs/>
          <w:color w:val="auto"/>
          <w:szCs w:val="22"/>
        </w:rPr>
        <w:t>．时间：自征集公告发布之日起5个工作日。</w:t>
      </w:r>
    </w:p>
    <w:p w14:paraId="6966988D">
      <w:pPr>
        <w:spacing w:line="360" w:lineRule="auto"/>
        <w:ind w:firstLine="420"/>
        <w:rPr>
          <w:rFonts w:ascii="宋体" w:hAnsi="宋体" w:cs="宋体"/>
          <w:color w:val="auto"/>
          <w:szCs w:val="21"/>
        </w:rPr>
      </w:pPr>
      <w:r>
        <w:rPr>
          <w:rFonts w:hint="eastAsia" w:ascii="宋体" w:hAnsi="宋体" w:cs="宋体"/>
          <w:color w:val="auto"/>
          <w:szCs w:val="21"/>
        </w:rPr>
        <w:t xml:space="preserve">2．方式：供应商登陆江苏政府采购网，在网站首页点击“苏采云”→使用CA锁登录系统（新用户需进行“平台用户注册”）→“项目参与”进行登记，在“可参与项目”中选择“我要参与”，参与成功后到“已参与项目”界面中找到该项目下载文件并进行操作。                                                                          </w:t>
      </w:r>
    </w:p>
    <w:p w14:paraId="7A922D67">
      <w:pPr>
        <w:spacing w:line="360" w:lineRule="auto"/>
        <w:rPr>
          <w:rFonts w:ascii="宋体" w:hAnsi="宋体" w:cs="宋体"/>
          <w:b/>
          <w:color w:val="auto"/>
          <w:szCs w:val="21"/>
        </w:rPr>
      </w:pPr>
      <w:r>
        <w:rPr>
          <w:rFonts w:hint="eastAsia" w:ascii="宋体" w:hAnsi="宋体" w:cs="宋体"/>
          <w:b/>
          <w:color w:val="auto"/>
          <w:szCs w:val="21"/>
        </w:rPr>
        <w:t>四、提交（上传）投标文件截止时间、开标时间和地点</w:t>
      </w:r>
    </w:p>
    <w:p w14:paraId="27B73766">
      <w:pPr>
        <w:spacing w:line="360" w:lineRule="auto"/>
        <w:ind w:firstLine="420"/>
        <w:rPr>
          <w:rFonts w:ascii="宋体" w:hAnsi="宋体" w:cs="宋体"/>
          <w:color w:val="auto"/>
          <w:szCs w:val="21"/>
        </w:rPr>
      </w:pPr>
      <w:bookmarkStart w:id="23" w:name="_Hlk191996150"/>
      <w:r>
        <w:rPr>
          <w:rFonts w:hint="eastAsia" w:ascii="宋体" w:hAnsi="宋体" w:cs="宋体"/>
          <w:color w:val="auto"/>
          <w:szCs w:val="21"/>
        </w:rPr>
        <w:t>1．</w:t>
      </w:r>
      <w:bookmarkEnd w:id="23"/>
      <w:r>
        <w:rPr>
          <w:rFonts w:hint="eastAsia" w:ascii="宋体" w:hAnsi="宋体" w:cs="宋体"/>
          <w:color w:val="auto"/>
          <w:szCs w:val="21"/>
        </w:rPr>
        <w:t>提交（上传）投标文件截止时间、开标时间：</w:t>
      </w:r>
      <w:r>
        <w:rPr>
          <w:rFonts w:ascii="宋体" w:hAnsi="宋体" w:cs="宋体"/>
          <w:color w:val="auto"/>
          <w:szCs w:val="21"/>
        </w:rPr>
        <w:t xml:space="preserve">2025 </w:t>
      </w:r>
      <w:r>
        <w:rPr>
          <w:rFonts w:hint="eastAsia" w:ascii="宋体" w:hAnsi="宋体" w:cs="宋体"/>
          <w:color w:val="auto"/>
          <w:szCs w:val="21"/>
        </w:rPr>
        <w:t xml:space="preserve">年 </w:t>
      </w:r>
      <w:r>
        <w:rPr>
          <w:rFonts w:hint="eastAsia" w:ascii="宋体" w:hAnsi="宋体" w:cs="宋体"/>
          <w:color w:val="auto"/>
          <w:szCs w:val="21"/>
          <w:lang w:val="en-US" w:eastAsia="zh-CN"/>
        </w:rPr>
        <w:t>6</w:t>
      </w:r>
      <w:r>
        <w:rPr>
          <w:rFonts w:hint="eastAsia" w:ascii="宋体" w:hAnsi="宋体" w:cs="宋体"/>
          <w:color w:val="auto"/>
          <w:szCs w:val="21"/>
        </w:rPr>
        <w:t xml:space="preserve"> 月 </w:t>
      </w:r>
      <w:r>
        <w:rPr>
          <w:rFonts w:hint="eastAsia" w:ascii="宋体" w:hAnsi="宋体" w:cs="宋体"/>
          <w:color w:val="auto"/>
          <w:szCs w:val="21"/>
          <w:lang w:val="en-US" w:eastAsia="zh-CN"/>
        </w:rPr>
        <w:t>1</w:t>
      </w:r>
      <w:r>
        <w:rPr>
          <w:rFonts w:ascii="宋体" w:hAnsi="宋体" w:cs="宋体"/>
          <w:color w:val="auto"/>
          <w:szCs w:val="21"/>
        </w:rPr>
        <w:t xml:space="preserve">8 </w:t>
      </w:r>
      <w:r>
        <w:rPr>
          <w:rFonts w:hint="eastAsia" w:ascii="宋体" w:hAnsi="宋体" w:cs="宋体"/>
          <w:color w:val="auto"/>
          <w:szCs w:val="21"/>
        </w:rPr>
        <w:t>日</w:t>
      </w:r>
      <w:r>
        <w:rPr>
          <w:rFonts w:ascii="宋体" w:hAnsi="宋体" w:cs="宋体"/>
          <w:color w:val="auto"/>
          <w:szCs w:val="21"/>
        </w:rPr>
        <w:t>09</w:t>
      </w:r>
      <w:r>
        <w:rPr>
          <w:rFonts w:hint="eastAsia" w:ascii="宋体" w:hAnsi="宋体" w:cs="宋体"/>
          <w:color w:val="auto"/>
          <w:szCs w:val="21"/>
        </w:rPr>
        <w:t>时</w:t>
      </w:r>
      <w:r>
        <w:rPr>
          <w:rFonts w:ascii="宋体" w:hAnsi="宋体" w:cs="宋体"/>
          <w:color w:val="auto"/>
          <w:szCs w:val="21"/>
        </w:rPr>
        <w:t>00</w:t>
      </w:r>
      <w:r>
        <w:rPr>
          <w:rFonts w:hint="eastAsia" w:ascii="宋体" w:hAnsi="宋体" w:cs="宋体"/>
          <w:color w:val="auto"/>
          <w:szCs w:val="21"/>
        </w:rPr>
        <w:t>分（北京时间）。投标截止时间后上传的投标文件将被拒收，在规定时间内上传的投标文件不符合相关规定要求的也将被拒收。</w:t>
      </w:r>
    </w:p>
    <w:p w14:paraId="03A316E3">
      <w:pPr>
        <w:spacing w:line="360" w:lineRule="auto"/>
        <w:ind w:firstLine="420"/>
        <w:rPr>
          <w:rFonts w:ascii="宋体" w:hAnsi="宋体" w:cs="宋体"/>
          <w:color w:val="auto"/>
          <w:szCs w:val="21"/>
        </w:rPr>
      </w:pPr>
      <w:r>
        <w:rPr>
          <w:rFonts w:hint="eastAsia" w:ascii="宋体" w:hAnsi="宋体" w:cs="宋体"/>
          <w:color w:val="auto"/>
          <w:szCs w:val="21"/>
        </w:rPr>
        <w:t>2.地点：本项目采用远程“不见面”开标方式，无需到现场提交。网址：</w:t>
      </w:r>
      <w:r>
        <w:rPr>
          <w:rFonts w:ascii="宋体" w:hAnsi="宋体" w:cs="宋体"/>
          <w:color w:val="auto"/>
          <w:szCs w:val="21"/>
        </w:rPr>
        <w:t>http://jszfcg.jscz.gov.cn/jszc/login</w:t>
      </w:r>
      <w:r>
        <w:rPr>
          <w:rFonts w:hint="eastAsia" w:ascii="宋体" w:hAnsi="宋体" w:cs="宋体"/>
          <w:color w:val="auto"/>
          <w:szCs w:val="21"/>
        </w:rPr>
        <w:t>，其他规定详见本章“六、其他补充事宜”中规定。</w:t>
      </w:r>
    </w:p>
    <w:p w14:paraId="0C4D59C2">
      <w:pPr>
        <w:spacing w:line="360" w:lineRule="auto"/>
        <w:rPr>
          <w:rFonts w:ascii="宋体" w:hAnsi="宋体" w:cs="宋体"/>
          <w:b/>
          <w:color w:val="auto"/>
          <w:szCs w:val="21"/>
        </w:rPr>
      </w:pPr>
      <w:r>
        <w:rPr>
          <w:rFonts w:hint="eastAsia" w:ascii="宋体" w:hAnsi="宋体" w:cs="宋体"/>
          <w:b/>
          <w:color w:val="auto"/>
          <w:szCs w:val="21"/>
        </w:rPr>
        <w:t>五、公告期限</w:t>
      </w:r>
    </w:p>
    <w:p w14:paraId="696F76F6">
      <w:pPr>
        <w:spacing w:line="360" w:lineRule="auto"/>
        <w:ind w:firstLine="420"/>
        <w:rPr>
          <w:rFonts w:ascii="宋体" w:hAnsi="宋体" w:cs="宋体"/>
          <w:color w:val="auto"/>
          <w:szCs w:val="21"/>
        </w:rPr>
      </w:pPr>
      <w:r>
        <w:rPr>
          <w:rFonts w:hint="eastAsia" w:ascii="宋体" w:hAnsi="宋体" w:cs="宋体"/>
          <w:color w:val="auto"/>
          <w:szCs w:val="21"/>
        </w:rPr>
        <w:t>征集公告及征集文件公告期限为自本公告发布之日起</w:t>
      </w:r>
      <w:r>
        <w:rPr>
          <w:rFonts w:ascii="宋体" w:hAnsi="宋体" w:cs="宋体"/>
          <w:color w:val="auto"/>
          <w:szCs w:val="21"/>
        </w:rPr>
        <w:t>5</w:t>
      </w:r>
      <w:r>
        <w:rPr>
          <w:rFonts w:hint="eastAsia" w:ascii="宋体" w:hAnsi="宋体" w:cs="宋体"/>
          <w:color w:val="auto"/>
          <w:szCs w:val="21"/>
        </w:rPr>
        <w:t>个工作日。</w:t>
      </w:r>
    </w:p>
    <w:p w14:paraId="70BB1926">
      <w:pPr>
        <w:spacing w:line="360" w:lineRule="auto"/>
        <w:rPr>
          <w:rFonts w:ascii="宋体" w:hAnsi="宋体" w:cs="宋体"/>
          <w:b/>
          <w:color w:val="auto"/>
          <w:szCs w:val="21"/>
        </w:rPr>
      </w:pPr>
      <w:r>
        <w:rPr>
          <w:rFonts w:hint="eastAsia" w:ascii="宋体" w:hAnsi="宋体" w:cs="宋体"/>
          <w:b/>
          <w:color w:val="auto"/>
          <w:szCs w:val="21"/>
        </w:rPr>
        <w:t>六、其他补充事宜</w:t>
      </w:r>
    </w:p>
    <w:p w14:paraId="574CF0C4">
      <w:pPr>
        <w:pBdr>
          <w:top w:val="none" w:color="000000" w:sz="0" w:space="0"/>
          <w:left w:val="none" w:color="000000" w:sz="0" w:space="0"/>
          <w:bottom w:val="none" w:color="000000" w:sz="0" w:space="0"/>
          <w:right w:val="none" w:color="000000" w:sz="0" w:space="0"/>
        </w:pBdr>
        <w:tabs>
          <w:tab w:val="left" w:pos="900"/>
        </w:tabs>
        <w:spacing w:before="0" w:after="0" w:line="559" w:lineRule="atLeast"/>
        <w:ind w:left="0" w:right="0" w:firstLine="480"/>
        <w:rPr>
          <w:color w:val="auto"/>
        </w:rPr>
      </w:pPr>
      <w:r>
        <w:rPr>
          <w:rFonts w:ascii="宋体" w:hAnsi="宋体" w:eastAsia="宋体" w:cs="宋体"/>
          <w:color w:val="auto"/>
          <w:sz w:val="24"/>
        </w:rPr>
        <w:t>1.根据省财政厅《关于更换全省政府采购交易系统CA数字证书和电子签章的通知》（苏财购〔2023〕101号），“苏采云”政府采购交易系统（以下简称苏采云系统）的CA数字证书、电子签章已更换为江苏省电子政务证书认证中心C A和方正国际软件（北京）有限公司电子签章。如果投标人通过苏采云系统参与政府采购项目，需要更换CA数字证书和电子签章。具体办理指南和操作手册见链接：http://www.ccgp-jiangsu.gov.cn/jiangsu/zlxz/ee/ee3a4bc5a3454aa2b0d9312230633ce9.html。</w:t>
      </w:r>
    </w:p>
    <w:p w14:paraId="5A8E54D9">
      <w:pPr>
        <w:pBdr>
          <w:top w:val="none" w:color="000000" w:sz="0" w:space="0"/>
          <w:left w:val="none" w:color="000000" w:sz="0" w:space="0"/>
          <w:bottom w:val="none" w:color="000000" w:sz="0" w:space="0"/>
          <w:right w:val="none" w:color="000000" w:sz="0" w:space="0"/>
        </w:pBdr>
        <w:tabs>
          <w:tab w:val="left" w:pos="900"/>
        </w:tabs>
        <w:spacing w:before="0" w:after="0" w:line="559" w:lineRule="atLeast"/>
        <w:ind w:left="0" w:right="0" w:firstLine="480"/>
        <w:jc w:val="both"/>
        <w:rPr>
          <w:color w:val="auto"/>
        </w:rPr>
      </w:pPr>
      <w:r>
        <w:rPr>
          <w:rFonts w:ascii="宋体" w:hAnsi="宋体" w:eastAsia="宋体" w:cs="宋体"/>
          <w:color w:val="auto"/>
          <w:sz w:val="24"/>
        </w:rPr>
        <w:t>领取CA和办理电子签章（请至常州市锦绣路2号常州市政务服务中心1-1号楼四楼大厅CA办理窗口办理，窗口联系电话0519-85588120，其他联系方式见《苏采云系统供应商操作手册》（以下简称《操作手册》））、进行注册并按《操作手册》要求制作、上传电子投标文件。</w:t>
      </w:r>
    </w:p>
    <w:p w14:paraId="3C5E0475">
      <w:pPr>
        <w:pBdr>
          <w:top w:val="none" w:color="000000" w:sz="0" w:space="0"/>
          <w:left w:val="none" w:color="000000" w:sz="0" w:space="0"/>
          <w:bottom w:val="none" w:color="000000" w:sz="0" w:space="0"/>
          <w:right w:val="none" w:color="000000" w:sz="0" w:space="0"/>
        </w:pBdr>
        <w:tabs>
          <w:tab w:val="left" w:pos="900"/>
        </w:tabs>
        <w:spacing w:before="0" w:after="0" w:line="559" w:lineRule="atLeast"/>
        <w:ind w:left="0" w:right="0" w:firstLine="480"/>
        <w:jc w:val="both"/>
        <w:rPr>
          <w:color w:val="auto"/>
        </w:rPr>
      </w:pPr>
      <w:r>
        <w:rPr>
          <w:rFonts w:ascii="宋体" w:hAnsi="宋体" w:eastAsia="宋体" w:cs="宋体"/>
          <w:color w:val="auto"/>
          <w:sz w:val="24"/>
        </w:rPr>
        <w:t>2. 有关本次招标的事项若存在变动或修改，敬请及时关注溧阳市政府采购中心在“江苏政府采购网”、“常州市政府采购网”发布的更正公告。</w:t>
      </w:r>
    </w:p>
    <w:p w14:paraId="3805E929">
      <w:pPr>
        <w:pBdr>
          <w:top w:val="none" w:color="000000" w:sz="0" w:space="0"/>
          <w:left w:val="none" w:color="000000" w:sz="0" w:space="0"/>
          <w:bottom w:val="none" w:color="000000" w:sz="0" w:space="0"/>
          <w:right w:val="none" w:color="000000" w:sz="0" w:space="0"/>
        </w:pBdr>
        <w:tabs>
          <w:tab w:val="left" w:pos="900"/>
        </w:tabs>
        <w:spacing w:before="0" w:after="0" w:line="559" w:lineRule="atLeast"/>
        <w:ind w:left="0" w:right="0" w:firstLine="480"/>
        <w:jc w:val="both"/>
        <w:rPr>
          <w:color w:val="auto"/>
        </w:rPr>
      </w:pPr>
      <w:r>
        <w:rPr>
          <w:rFonts w:ascii="宋体" w:hAnsi="宋体" w:eastAsia="宋体" w:cs="宋体"/>
          <w:color w:val="auto"/>
          <w:sz w:val="24"/>
        </w:rPr>
        <w:t>3. 本次招标不收取投标保证金。</w:t>
      </w:r>
    </w:p>
    <w:p w14:paraId="6A9A4CBA">
      <w:pPr>
        <w:spacing w:line="360" w:lineRule="auto"/>
        <w:rPr>
          <w:rFonts w:ascii="宋体" w:hAnsi="宋体" w:cs="宋体"/>
          <w:color w:val="auto"/>
          <w:szCs w:val="21"/>
        </w:rPr>
      </w:pPr>
    </w:p>
    <w:p w14:paraId="7F353BBD">
      <w:pPr>
        <w:pStyle w:val="324"/>
        <w:spacing w:before="0" w:after="0"/>
        <w:ind w:left="0" w:firstLine="0"/>
        <w:rPr>
          <w:rFonts w:ascii="宋体" w:hAnsi="宋体" w:cs="宋体"/>
          <w:b/>
          <w:bCs/>
          <w:color w:val="auto"/>
          <w:lang w:val="zh-CN"/>
        </w:rPr>
      </w:pPr>
      <w:r>
        <w:rPr>
          <w:rFonts w:hint="eastAsia" w:ascii="宋体" w:hAnsi="宋体" w:cs="宋体"/>
          <w:b/>
          <w:bCs/>
          <w:color w:val="auto"/>
          <w:lang w:val="zh-CN"/>
        </w:rPr>
        <w:t>七、对本次征集向征集人提出询问，请按以下方式联系。</w:t>
      </w:r>
    </w:p>
    <w:p w14:paraId="720420CE">
      <w:pPr>
        <w:spacing w:line="400" w:lineRule="exact"/>
        <w:ind w:firstLine="420"/>
        <w:rPr>
          <w:rFonts w:hint="default" w:ascii="宋体" w:hAnsi="宋体" w:eastAsia="宋体" w:cs="宋体"/>
          <w:color w:val="auto"/>
          <w:szCs w:val="21"/>
          <w:lang w:val="en-US" w:eastAsia="zh-CN"/>
        </w:rPr>
      </w:pPr>
      <w:r>
        <w:rPr>
          <w:rFonts w:hint="eastAsia" w:ascii="宋体" w:hAnsi="宋体" w:cs="宋体"/>
          <w:color w:val="auto"/>
          <w:szCs w:val="21"/>
          <w:lang w:val="en-US" w:eastAsia="zh-CN"/>
        </w:rPr>
        <w:t>征集人：溧阳市政府采购中心</w:t>
      </w:r>
    </w:p>
    <w:p w14:paraId="3CBD80AD">
      <w:pPr>
        <w:spacing w:line="400" w:lineRule="exact"/>
        <w:ind w:firstLine="420"/>
        <w:rPr>
          <w:rFonts w:ascii="宋体" w:hAnsi="宋体" w:cs="宋体"/>
          <w:color w:val="auto"/>
          <w:szCs w:val="21"/>
        </w:rPr>
      </w:pPr>
      <w:r>
        <w:rPr>
          <w:rFonts w:ascii="宋体" w:hAnsi="宋体" w:cs="宋体"/>
          <w:color w:val="auto"/>
          <w:szCs w:val="21"/>
        </w:rPr>
        <w:t>地址：江苏省常州市溧阳市</w:t>
      </w:r>
      <w:r>
        <w:rPr>
          <w:rFonts w:hint="eastAsia" w:ascii="宋体" w:hAnsi="宋体" w:cs="宋体"/>
          <w:color w:val="auto"/>
          <w:szCs w:val="21"/>
          <w:lang w:val="en-US" w:eastAsia="zh-CN"/>
        </w:rPr>
        <w:t>琴园路</w:t>
      </w:r>
      <w:r>
        <w:rPr>
          <w:rFonts w:ascii="宋体" w:hAnsi="宋体" w:cs="宋体"/>
          <w:color w:val="auto"/>
          <w:szCs w:val="21"/>
        </w:rPr>
        <w:t>8号</w:t>
      </w:r>
    </w:p>
    <w:p w14:paraId="0DFA92E4">
      <w:pPr>
        <w:spacing w:line="400" w:lineRule="exact"/>
        <w:ind w:firstLine="420"/>
        <w:rPr>
          <w:rFonts w:hint="default" w:eastAsia="宋体"/>
          <w:color w:val="auto"/>
          <w:lang w:val="en-US" w:eastAsia="zh-CN"/>
        </w:rPr>
      </w:pPr>
      <w:r>
        <w:rPr>
          <w:rFonts w:ascii="宋体" w:hAnsi="宋体" w:cs="宋体"/>
          <w:color w:val="auto"/>
          <w:szCs w:val="21"/>
        </w:rPr>
        <w:t>联系人：</w:t>
      </w:r>
    </w:p>
    <w:p w14:paraId="5682B786">
      <w:pPr>
        <w:spacing w:line="400" w:lineRule="exact"/>
        <w:ind w:firstLine="420"/>
        <w:rPr>
          <w:rFonts w:ascii="宋体" w:hAnsi="宋体" w:cs="宋体"/>
          <w:color w:val="auto"/>
          <w:szCs w:val="21"/>
        </w:rPr>
      </w:pPr>
      <w:r>
        <w:rPr>
          <w:rFonts w:ascii="宋体" w:hAnsi="宋体" w:cs="宋体"/>
          <w:color w:val="auto"/>
          <w:szCs w:val="21"/>
        </w:rPr>
        <w:t>联系电话：0519-87216894</w:t>
      </w:r>
    </w:p>
    <w:p w14:paraId="4757D811">
      <w:pPr>
        <w:spacing w:line="400" w:lineRule="exact"/>
        <w:ind w:firstLine="420"/>
        <w:rPr>
          <w:rFonts w:ascii="宋体" w:hAnsi="宋体" w:cs="宋体"/>
          <w:color w:val="auto"/>
          <w:szCs w:val="21"/>
        </w:rPr>
      </w:pPr>
      <w:r>
        <w:rPr>
          <w:rFonts w:hint="eastAsia" w:ascii="宋体" w:hAnsi="宋体" w:cs="宋体"/>
          <w:color w:val="auto"/>
          <w:szCs w:val="21"/>
        </w:rPr>
        <w:t>电子化招投标技术支持电话：0519-85588210</w:t>
      </w:r>
    </w:p>
    <w:bookmarkEnd w:id="7"/>
    <w:bookmarkEnd w:id="8"/>
    <w:bookmarkEnd w:id="9"/>
    <w:bookmarkEnd w:id="10"/>
    <w:bookmarkEnd w:id="19"/>
    <w:p w14:paraId="41AD35EE">
      <w:pPr>
        <w:tabs>
          <w:tab w:val="left" w:pos="7924"/>
        </w:tabs>
        <w:ind w:firstLine="3092"/>
        <w:jc w:val="left"/>
        <w:rPr>
          <w:rStyle w:val="314"/>
          <w:rFonts w:cs="宋体"/>
          <w:color w:val="auto"/>
          <w:sz w:val="28"/>
          <w:szCs w:val="28"/>
        </w:rPr>
      </w:pPr>
      <w:bookmarkStart w:id="24" w:name="_Toc7653"/>
      <w:bookmarkStart w:id="25" w:name="_Toc29535"/>
      <w:bookmarkStart w:id="26" w:name="_Toc2993"/>
      <w:bookmarkStart w:id="27" w:name="_Toc11125"/>
      <w:bookmarkStart w:id="28" w:name="_Toc27772"/>
    </w:p>
    <w:p w14:paraId="5B6604C8">
      <w:pPr>
        <w:tabs>
          <w:tab w:val="left" w:pos="7924"/>
        </w:tabs>
        <w:ind w:firstLine="3092"/>
        <w:jc w:val="left"/>
        <w:rPr>
          <w:rStyle w:val="314"/>
          <w:rFonts w:cs="宋体"/>
          <w:color w:val="auto"/>
          <w:sz w:val="28"/>
          <w:szCs w:val="28"/>
        </w:rPr>
      </w:pPr>
    </w:p>
    <w:p w14:paraId="7D06E651">
      <w:pPr>
        <w:tabs>
          <w:tab w:val="left" w:pos="7924"/>
        </w:tabs>
        <w:ind w:firstLine="3092"/>
        <w:jc w:val="left"/>
        <w:rPr>
          <w:rStyle w:val="314"/>
          <w:rFonts w:cs="宋体"/>
          <w:color w:val="auto"/>
          <w:sz w:val="28"/>
          <w:szCs w:val="28"/>
        </w:rPr>
      </w:pPr>
    </w:p>
    <w:p w14:paraId="4CE6A735">
      <w:pPr>
        <w:tabs>
          <w:tab w:val="left" w:pos="7924"/>
        </w:tabs>
        <w:ind w:firstLine="3092"/>
        <w:jc w:val="left"/>
        <w:rPr>
          <w:rStyle w:val="314"/>
          <w:rFonts w:cs="宋体"/>
          <w:color w:val="auto"/>
          <w:sz w:val="28"/>
          <w:szCs w:val="28"/>
        </w:rPr>
        <w:sectPr>
          <w:headerReference r:id="rId5" w:type="default"/>
          <w:footerReference r:id="rId6" w:type="default"/>
          <w:pgSz w:w="11906" w:h="16838"/>
          <w:pgMar w:top="1440" w:right="1134" w:bottom="1440" w:left="1134" w:header="680" w:footer="992" w:gutter="0"/>
          <w:cols w:space="720" w:num="1"/>
          <w:docGrid w:linePitch="360" w:charSpace="0"/>
        </w:sectPr>
      </w:pPr>
    </w:p>
    <w:p w14:paraId="7AA378CD">
      <w:pPr>
        <w:tabs>
          <w:tab w:val="left" w:pos="7924"/>
        </w:tabs>
        <w:ind w:firstLine="3092"/>
        <w:jc w:val="left"/>
        <w:rPr>
          <w:rFonts w:ascii="宋体" w:hAnsi="宋体" w:cs="宋体"/>
          <w:color w:val="auto"/>
        </w:rPr>
      </w:pPr>
      <w:r>
        <w:rPr>
          <w:rStyle w:val="314"/>
          <w:rFonts w:hint="eastAsia" w:cs="宋体"/>
          <w:color w:val="auto"/>
          <w:sz w:val="28"/>
          <w:szCs w:val="28"/>
        </w:rPr>
        <w:t>第二部分  投标人须知前附表</w:t>
      </w:r>
      <w:bookmarkEnd w:id="24"/>
      <w:bookmarkEnd w:id="25"/>
      <w:bookmarkEnd w:id="26"/>
      <w:bookmarkEnd w:id="27"/>
      <w:bookmarkEnd w:id="28"/>
      <w:r>
        <w:rPr>
          <w:rFonts w:hint="eastAsia" w:ascii="宋体" w:hAnsi="宋体" w:cs="宋体"/>
          <w:b/>
          <w:bCs/>
          <w:color w:val="auto"/>
          <w:sz w:val="28"/>
          <w:szCs w:val="28"/>
        </w:rPr>
        <w:tab/>
      </w:r>
    </w:p>
    <w:tbl>
      <w:tblPr>
        <w:tblStyle w:val="4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605"/>
        <w:gridCol w:w="6346"/>
      </w:tblGrid>
      <w:tr w14:paraId="4E65E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709" w:type="dxa"/>
            <w:noWrap w:val="0"/>
            <w:vAlign w:val="center"/>
          </w:tcPr>
          <w:p w14:paraId="460706F7">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2605" w:type="dxa"/>
            <w:noWrap w:val="0"/>
            <w:vAlign w:val="center"/>
          </w:tcPr>
          <w:p w14:paraId="0CE25567">
            <w:pPr>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346" w:type="dxa"/>
            <w:noWrap w:val="0"/>
            <w:vAlign w:val="center"/>
          </w:tcPr>
          <w:p w14:paraId="73D80482">
            <w:pPr>
              <w:ind w:firstLine="2951"/>
              <w:rPr>
                <w:rFonts w:ascii="宋体" w:hAnsi="宋体" w:cs="宋体"/>
                <w:color w:val="auto"/>
                <w:szCs w:val="21"/>
              </w:rPr>
            </w:pPr>
            <w:r>
              <w:rPr>
                <w:rFonts w:hint="eastAsia" w:ascii="宋体" w:hAnsi="宋体" w:cs="宋体"/>
                <w:b/>
                <w:bCs/>
                <w:color w:val="auto"/>
                <w:szCs w:val="21"/>
              </w:rPr>
              <w:t>内容</w:t>
            </w:r>
          </w:p>
        </w:tc>
      </w:tr>
      <w:tr w14:paraId="0C8F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709" w:type="dxa"/>
            <w:noWrap w:val="0"/>
            <w:vAlign w:val="center"/>
          </w:tcPr>
          <w:p w14:paraId="73539A94">
            <w:pPr>
              <w:spacing w:line="400" w:lineRule="exact"/>
              <w:jc w:val="center"/>
              <w:rPr>
                <w:rFonts w:ascii="宋体" w:hAnsi="宋体" w:cs="宋体"/>
                <w:color w:val="auto"/>
                <w:szCs w:val="21"/>
              </w:rPr>
            </w:pPr>
            <w:r>
              <w:rPr>
                <w:rFonts w:hint="eastAsia" w:ascii="宋体" w:hAnsi="宋体" w:cs="宋体"/>
                <w:color w:val="auto"/>
                <w:szCs w:val="21"/>
              </w:rPr>
              <w:t>1</w:t>
            </w:r>
          </w:p>
        </w:tc>
        <w:tc>
          <w:tcPr>
            <w:tcW w:w="2605" w:type="dxa"/>
            <w:noWrap w:val="0"/>
            <w:vAlign w:val="center"/>
          </w:tcPr>
          <w:p w14:paraId="47CB3946">
            <w:pPr>
              <w:spacing w:line="400" w:lineRule="exact"/>
              <w:jc w:val="center"/>
              <w:rPr>
                <w:rFonts w:ascii="宋体" w:hAnsi="宋体" w:cs="宋体"/>
                <w:color w:val="auto"/>
                <w:szCs w:val="21"/>
              </w:rPr>
            </w:pPr>
            <w:r>
              <w:rPr>
                <w:rFonts w:hint="eastAsia" w:ascii="宋体" w:hAnsi="宋体" w:cs="宋体"/>
                <w:color w:val="auto"/>
                <w:szCs w:val="21"/>
              </w:rPr>
              <w:t>征集人名称</w:t>
            </w:r>
          </w:p>
        </w:tc>
        <w:tc>
          <w:tcPr>
            <w:tcW w:w="6346" w:type="dxa"/>
            <w:noWrap w:val="0"/>
            <w:vAlign w:val="center"/>
          </w:tcPr>
          <w:p w14:paraId="5AF604AC">
            <w:pPr>
              <w:spacing w:line="400" w:lineRule="exact"/>
              <w:rPr>
                <w:rFonts w:hint="default" w:ascii="宋体" w:hAnsi="宋体" w:eastAsia="宋体" w:cs="宋体"/>
                <w:color w:val="auto"/>
                <w:szCs w:val="21"/>
                <w:lang w:val="en-US" w:eastAsia="zh-CN"/>
              </w:rPr>
            </w:pPr>
            <w:r>
              <w:rPr>
                <w:rFonts w:hint="eastAsia" w:ascii="宋体" w:hAnsi="宋体" w:cs="宋体"/>
                <w:b/>
                <w:color w:val="auto"/>
                <w:szCs w:val="22"/>
              </w:rPr>
              <w:t>溧阳市</w:t>
            </w:r>
            <w:r>
              <w:rPr>
                <w:rFonts w:hint="eastAsia" w:ascii="宋体" w:hAnsi="宋体" w:cs="宋体"/>
                <w:b/>
                <w:color w:val="auto"/>
                <w:szCs w:val="22"/>
                <w:lang w:val="en-US" w:eastAsia="zh-CN"/>
              </w:rPr>
              <w:t>政府采购中心</w:t>
            </w:r>
          </w:p>
        </w:tc>
      </w:tr>
      <w:tr w14:paraId="3FB39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709" w:type="dxa"/>
            <w:noWrap w:val="0"/>
            <w:vAlign w:val="center"/>
          </w:tcPr>
          <w:p w14:paraId="46C2388D">
            <w:pPr>
              <w:spacing w:line="400" w:lineRule="exact"/>
              <w:jc w:val="center"/>
              <w:rPr>
                <w:rFonts w:ascii="宋体" w:hAnsi="宋体" w:cs="宋体"/>
                <w:color w:val="auto"/>
                <w:szCs w:val="21"/>
              </w:rPr>
            </w:pPr>
            <w:r>
              <w:rPr>
                <w:rFonts w:hint="eastAsia" w:ascii="宋体" w:hAnsi="宋体" w:cs="宋体"/>
                <w:color w:val="auto"/>
                <w:szCs w:val="21"/>
              </w:rPr>
              <w:t>2</w:t>
            </w:r>
          </w:p>
        </w:tc>
        <w:tc>
          <w:tcPr>
            <w:tcW w:w="2605" w:type="dxa"/>
            <w:noWrap w:val="0"/>
            <w:vAlign w:val="center"/>
          </w:tcPr>
          <w:p w14:paraId="0365BE28">
            <w:pPr>
              <w:spacing w:line="400" w:lineRule="exact"/>
              <w:jc w:val="center"/>
              <w:rPr>
                <w:rFonts w:ascii="宋体" w:hAnsi="宋体" w:cs="宋体"/>
                <w:color w:val="auto"/>
                <w:szCs w:val="21"/>
              </w:rPr>
            </w:pPr>
            <w:r>
              <w:rPr>
                <w:rFonts w:hint="eastAsia" w:ascii="宋体" w:hAnsi="宋体" w:cs="宋体"/>
                <w:bCs/>
                <w:color w:val="auto"/>
                <w:szCs w:val="21"/>
              </w:rPr>
              <w:t>是否有</w:t>
            </w:r>
            <w:r>
              <w:rPr>
                <w:rFonts w:hint="eastAsia" w:ascii="宋体" w:hAnsi="宋体" w:cs="宋体"/>
                <w:color w:val="auto"/>
                <w:szCs w:val="21"/>
              </w:rPr>
              <w:t>最高限制单价</w:t>
            </w:r>
          </w:p>
        </w:tc>
        <w:tc>
          <w:tcPr>
            <w:tcW w:w="6346" w:type="dxa"/>
            <w:noWrap w:val="0"/>
            <w:vAlign w:val="center"/>
          </w:tcPr>
          <w:p w14:paraId="77BF65D9">
            <w:pPr>
              <w:rPr>
                <w:rFonts w:ascii="宋体" w:hAnsi="宋体" w:cs="宋体"/>
                <w:color w:val="auto"/>
                <w:szCs w:val="21"/>
              </w:rPr>
            </w:pPr>
            <w:r>
              <w:rPr>
                <w:rFonts w:hint="eastAsia" w:ascii="宋体" w:hAnsi="宋体" w:cs="宋体"/>
                <w:color w:val="auto"/>
                <w:szCs w:val="21"/>
              </w:rPr>
              <w:t>0≤投标下浮率≤100%</w:t>
            </w:r>
          </w:p>
        </w:tc>
      </w:tr>
      <w:tr w14:paraId="5394C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709" w:type="dxa"/>
            <w:noWrap w:val="0"/>
            <w:vAlign w:val="center"/>
          </w:tcPr>
          <w:p w14:paraId="21C2A61A">
            <w:pPr>
              <w:spacing w:line="400" w:lineRule="exact"/>
              <w:jc w:val="center"/>
              <w:rPr>
                <w:rFonts w:ascii="宋体" w:hAnsi="宋体" w:cs="宋体"/>
                <w:color w:val="auto"/>
                <w:szCs w:val="21"/>
              </w:rPr>
            </w:pPr>
            <w:r>
              <w:rPr>
                <w:rFonts w:hint="eastAsia" w:ascii="宋体" w:hAnsi="宋体" w:cs="宋体"/>
                <w:color w:val="auto"/>
                <w:szCs w:val="21"/>
              </w:rPr>
              <w:t>3</w:t>
            </w:r>
          </w:p>
        </w:tc>
        <w:tc>
          <w:tcPr>
            <w:tcW w:w="2605" w:type="dxa"/>
            <w:noWrap w:val="0"/>
            <w:vAlign w:val="center"/>
          </w:tcPr>
          <w:p w14:paraId="0D1741FD">
            <w:pPr>
              <w:spacing w:line="400" w:lineRule="exact"/>
              <w:jc w:val="center"/>
              <w:rPr>
                <w:rFonts w:ascii="宋体" w:hAnsi="宋体" w:cs="宋体"/>
                <w:color w:val="auto"/>
                <w:szCs w:val="21"/>
              </w:rPr>
            </w:pPr>
            <w:r>
              <w:rPr>
                <w:rFonts w:hint="eastAsia" w:ascii="宋体" w:hAnsi="宋体" w:cs="宋体"/>
                <w:bCs/>
                <w:color w:val="auto"/>
                <w:szCs w:val="21"/>
              </w:rPr>
              <w:t>是否接受分支机构参与投标</w:t>
            </w:r>
          </w:p>
        </w:tc>
        <w:tc>
          <w:tcPr>
            <w:tcW w:w="6346" w:type="dxa"/>
            <w:noWrap w:val="0"/>
            <w:vAlign w:val="center"/>
          </w:tcPr>
          <w:p w14:paraId="5F4D8423">
            <w:pPr>
              <w:spacing w:line="460" w:lineRule="exact"/>
              <w:rPr>
                <w:rFonts w:ascii="宋体" w:hAnsi="宋体" w:cs="宋体"/>
                <w:color w:val="auto"/>
                <w:szCs w:val="21"/>
              </w:rPr>
            </w:pPr>
            <w:r>
              <w:rPr>
                <w:rFonts w:hint="eastAsia" w:ascii="宋体" w:hAnsi="宋体" w:cs="宋体"/>
                <w:color w:val="auto"/>
                <w:szCs w:val="21"/>
              </w:rPr>
              <w:t>■ 否</w:t>
            </w:r>
          </w:p>
        </w:tc>
      </w:tr>
      <w:tr w14:paraId="3D858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5" w:hRule="atLeast"/>
        </w:trPr>
        <w:tc>
          <w:tcPr>
            <w:tcW w:w="709" w:type="dxa"/>
            <w:vMerge w:val="restart"/>
            <w:noWrap w:val="0"/>
            <w:vAlign w:val="center"/>
          </w:tcPr>
          <w:p w14:paraId="4726C705">
            <w:pPr>
              <w:spacing w:line="400" w:lineRule="exact"/>
              <w:jc w:val="center"/>
              <w:rPr>
                <w:rFonts w:ascii="宋体" w:hAnsi="宋体" w:cs="宋体"/>
                <w:color w:val="auto"/>
                <w:szCs w:val="21"/>
              </w:rPr>
            </w:pPr>
            <w:r>
              <w:rPr>
                <w:rFonts w:hint="eastAsia" w:ascii="宋体" w:hAnsi="宋体" w:cs="宋体"/>
                <w:color w:val="auto"/>
                <w:szCs w:val="21"/>
              </w:rPr>
              <w:t>4</w:t>
            </w:r>
          </w:p>
        </w:tc>
        <w:tc>
          <w:tcPr>
            <w:tcW w:w="2605" w:type="dxa"/>
            <w:vMerge w:val="restart"/>
            <w:noWrap w:val="0"/>
            <w:vAlign w:val="center"/>
          </w:tcPr>
          <w:p w14:paraId="181BA7D9">
            <w:pPr>
              <w:spacing w:line="400" w:lineRule="exact"/>
              <w:jc w:val="center"/>
              <w:rPr>
                <w:rFonts w:ascii="宋体" w:hAnsi="宋体" w:cs="宋体"/>
                <w:color w:val="auto"/>
                <w:szCs w:val="21"/>
              </w:rPr>
            </w:pPr>
            <w:r>
              <w:rPr>
                <w:rFonts w:hint="eastAsia" w:ascii="宋体" w:hAnsi="宋体" w:cs="宋体"/>
                <w:color w:val="auto"/>
                <w:szCs w:val="21"/>
              </w:rPr>
              <w:t>投标人资质条件和应具备的特殊要求材料</w:t>
            </w:r>
          </w:p>
        </w:tc>
        <w:tc>
          <w:tcPr>
            <w:tcW w:w="6346" w:type="dxa"/>
            <w:noWrap w:val="0"/>
            <w:vAlign w:val="center"/>
          </w:tcPr>
          <w:p w14:paraId="21932A83">
            <w:pPr>
              <w:spacing w:line="400" w:lineRule="exact"/>
              <w:rPr>
                <w:rFonts w:ascii="宋体" w:hAnsi="宋体" w:cs="宋体"/>
                <w:b/>
                <w:bCs/>
                <w:color w:val="auto"/>
                <w:szCs w:val="21"/>
              </w:rPr>
            </w:pPr>
            <w:r>
              <w:rPr>
                <w:rFonts w:hint="eastAsia" w:ascii="宋体" w:hAnsi="宋体" w:cs="宋体"/>
                <w:b/>
                <w:bCs/>
                <w:color w:val="auto"/>
                <w:szCs w:val="21"/>
              </w:rPr>
              <w:t>*4.1投标人基本资格条件（</w:t>
            </w:r>
            <w:r>
              <w:rPr>
                <w:rFonts w:hint="eastAsia" w:ascii="宋体" w:hAnsi="宋体" w:cs="宋体"/>
                <w:b/>
                <w:color w:val="auto"/>
                <w:szCs w:val="22"/>
              </w:rPr>
              <w:t>提供</w:t>
            </w:r>
            <w:r>
              <w:rPr>
                <w:rFonts w:hint="eastAsia" w:ascii="宋体" w:hAnsi="宋体" w:cs="宋体"/>
                <w:b/>
                <w:color w:val="auto"/>
                <w:szCs w:val="22"/>
                <w:lang w:val="zh-CN"/>
              </w:rPr>
              <w:t>承诺</w:t>
            </w:r>
            <w:r>
              <w:rPr>
                <w:rFonts w:hint="eastAsia" w:ascii="宋体" w:hAnsi="宋体" w:cs="宋体"/>
                <w:b/>
                <w:color w:val="auto"/>
                <w:szCs w:val="22"/>
              </w:rPr>
              <w:t>书，具体详见投标人资格审查一览表</w:t>
            </w:r>
            <w:r>
              <w:rPr>
                <w:rFonts w:hint="eastAsia" w:ascii="宋体" w:hAnsi="宋体" w:cs="宋体"/>
                <w:b/>
                <w:bCs/>
                <w:color w:val="auto"/>
                <w:szCs w:val="21"/>
              </w:rPr>
              <w:t>）</w:t>
            </w:r>
          </w:p>
          <w:p w14:paraId="5268876A">
            <w:pPr>
              <w:spacing w:line="400" w:lineRule="exact"/>
              <w:ind w:firstLine="315"/>
              <w:rPr>
                <w:rFonts w:ascii="宋体" w:hAnsi="宋体" w:cs="宋体"/>
                <w:color w:val="auto"/>
                <w:szCs w:val="21"/>
              </w:rPr>
            </w:pPr>
            <w:r>
              <w:rPr>
                <w:rFonts w:hint="eastAsia" w:ascii="宋体" w:hAnsi="宋体" w:cs="宋体"/>
                <w:color w:val="auto"/>
                <w:szCs w:val="21"/>
              </w:rPr>
              <w:t>（1）具有有效的营业执照或事业单位法人证书；</w:t>
            </w:r>
          </w:p>
          <w:p w14:paraId="3DEA29B1">
            <w:pPr>
              <w:spacing w:line="400" w:lineRule="exact"/>
              <w:ind w:firstLine="315"/>
              <w:rPr>
                <w:rFonts w:ascii="宋体" w:hAnsi="宋体" w:cs="宋体"/>
                <w:color w:val="auto"/>
                <w:szCs w:val="21"/>
              </w:rPr>
            </w:pPr>
            <w:r>
              <w:rPr>
                <w:rFonts w:hint="eastAsia" w:ascii="宋体" w:hAnsi="宋体" w:cs="宋体"/>
                <w:color w:val="auto"/>
                <w:szCs w:val="21"/>
              </w:rPr>
              <w:t>（2）具有本项目实施能力和良好的商业信誉；</w:t>
            </w:r>
          </w:p>
          <w:p w14:paraId="78320018">
            <w:pPr>
              <w:spacing w:line="400" w:lineRule="exact"/>
              <w:ind w:firstLine="315"/>
              <w:rPr>
                <w:rFonts w:ascii="宋体" w:hAnsi="宋体" w:cs="宋体"/>
                <w:color w:val="auto"/>
                <w:szCs w:val="21"/>
              </w:rPr>
            </w:pPr>
            <w:r>
              <w:rPr>
                <w:rFonts w:hint="eastAsia" w:ascii="宋体" w:hAnsi="宋体" w:cs="宋体"/>
                <w:color w:val="auto"/>
                <w:szCs w:val="21"/>
              </w:rPr>
              <w:t>（3）具有健全的财务会计制度；</w:t>
            </w:r>
          </w:p>
          <w:p w14:paraId="6B06596F">
            <w:pPr>
              <w:spacing w:line="400" w:lineRule="exact"/>
              <w:ind w:firstLine="315"/>
              <w:rPr>
                <w:rFonts w:ascii="宋体" w:hAnsi="宋体" w:cs="宋体"/>
                <w:color w:val="auto"/>
                <w:szCs w:val="21"/>
              </w:rPr>
            </w:pPr>
            <w:r>
              <w:rPr>
                <w:rFonts w:hint="eastAsia" w:ascii="宋体" w:hAnsi="宋体" w:cs="宋体"/>
                <w:color w:val="auto"/>
                <w:szCs w:val="21"/>
              </w:rPr>
              <w:t>（4）有依法缴纳税收和社会保障资金的良好记录。</w:t>
            </w:r>
          </w:p>
        </w:tc>
      </w:tr>
      <w:tr w14:paraId="101BB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5" w:hRule="atLeast"/>
        </w:trPr>
        <w:tc>
          <w:tcPr>
            <w:tcW w:w="709" w:type="dxa"/>
            <w:vMerge w:val="continue"/>
            <w:noWrap w:val="0"/>
            <w:vAlign w:val="center"/>
          </w:tcPr>
          <w:p w14:paraId="59B72BF0">
            <w:pPr>
              <w:pStyle w:val="23"/>
              <w:spacing w:line="400" w:lineRule="exact"/>
              <w:jc w:val="left"/>
              <w:rPr>
                <w:rFonts w:ascii="宋体" w:hAnsi="宋体" w:cs="宋体"/>
                <w:color w:val="auto"/>
                <w:szCs w:val="21"/>
              </w:rPr>
            </w:pPr>
          </w:p>
        </w:tc>
        <w:tc>
          <w:tcPr>
            <w:tcW w:w="2605" w:type="dxa"/>
            <w:vMerge w:val="continue"/>
            <w:noWrap w:val="0"/>
            <w:vAlign w:val="center"/>
          </w:tcPr>
          <w:p w14:paraId="6F2FB3F2">
            <w:pPr>
              <w:pStyle w:val="23"/>
              <w:spacing w:line="400" w:lineRule="exact"/>
              <w:jc w:val="center"/>
              <w:rPr>
                <w:rFonts w:ascii="宋体" w:hAnsi="宋体" w:cs="宋体"/>
                <w:color w:val="auto"/>
                <w:szCs w:val="21"/>
              </w:rPr>
            </w:pPr>
          </w:p>
        </w:tc>
        <w:tc>
          <w:tcPr>
            <w:tcW w:w="6346" w:type="dxa"/>
            <w:noWrap w:val="0"/>
            <w:vAlign w:val="center"/>
          </w:tcPr>
          <w:p w14:paraId="0D6174DA">
            <w:pPr>
              <w:spacing w:line="400" w:lineRule="exact"/>
              <w:rPr>
                <w:rFonts w:ascii="宋体" w:hAnsi="宋体" w:cs="宋体"/>
                <w:b/>
                <w:bCs/>
                <w:color w:val="auto"/>
                <w:szCs w:val="21"/>
              </w:rPr>
            </w:pPr>
            <w:r>
              <w:rPr>
                <w:rFonts w:hint="eastAsia" w:ascii="宋体" w:hAnsi="宋体" w:cs="宋体"/>
                <w:color w:val="auto"/>
                <w:szCs w:val="21"/>
              </w:rPr>
              <w:t>*</w:t>
            </w:r>
            <w:r>
              <w:rPr>
                <w:rFonts w:hint="eastAsia" w:ascii="宋体" w:hAnsi="宋体" w:cs="宋体"/>
                <w:b/>
                <w:bCs/>
                <w:color w:val="auto"/>
                <w:szCs w:val="21"/>
              </w:rPr>
              <w:t>4.2投标人应具备的特殊要求材料：</w:t>
            </w:r>
          </w:p>
          <w:p w14:paraId="4E0F5248">
            <w:pPr>
              <w:spacing w:line="360" w:lineRule="auto"/>
              <w:ind w:firstLine="210" w:firstLineChars="100"/>
              <w:rPr>
                <w:rFonts w:ascii="宋体" w:hAnsi="宋体" w:cs="宋体"/>
                <w:bCs/>
                <w:color w:val="auto"/>
                <w:szCs w:val="22"/>
              </w:rPr>
            </w:pPr>
            <w:r>
              <w:rPr>
                <w:rFonts w:hint="eastAsia" w:ascii="宋体" w:hAnsi="宋体" w:cs="宋体"/>
                <w:color w:val="auto"/>
                <w:szCs w:val="21"/>
              </w:rPr>
              <w:t>（1）</w:t>
            </w:r>
            <w:r>
              <w:rPr>
                <w:rFonts w:hint="eastAsia" w:ascii="宋体" w:hAnsi="宋体" w:cs="宋体"/>
                <w:bCs/>
                <w:color w:val="auto"/>
                <w:szCs w:val="22"/>
              </w:rPr>
              <w:t>申请供应商须在溧阳市范围内具有固定的汽车维修经营场所。</w:t>
            </w:r>
          </w:p>
          <w:p w14:paraId="085CD2D1">
            <w:pPr>
              <w:spacing w:line="360" w:lineRule="auto"/>
              <w:ind w:firstLine="210" w:firstLineChars="100"/>
              <w:rPr>
                <w:rFonts w:ascii="宋体" w:hAnsi="宋体" w:cs="宋体"/>
                <w:bCs/>
                <w:color w:val="auto"/>
                <w:szCs w:val="22"/>
              </w:rPr>
            </w:pPr>
            <w:r>
              <w:rPr>
                <w:rFonts w:hint="eastAsia" w:ascii="宋体" w:hAnsi="宋体" w:cs="宋体"/>
                <w:bCs/>
                <w:color w:val="auto"/>
                <w:szCs w:val="21"/>
              </w:rPr>
              <w:t>（</w:t>
            </w:r>
            <w:r>
              <w:rPr>
                <w:rFonts w:hint="eastAsia" w:ascii="宋体" w:hAnsi="宋体" w:cs="宋体"/>
                <w:bCs/>
                <w:color w:val="auto"/>
                <w:szCs w:val="21"/>
                <w:lang w:val="en-US" w:eastAsia="zh-CN"/>
              </w:rPr>
              <w:t>2</w:t>
            </w:r>
            <w:r>
              <w:rPr>
                <w:rFonts w:hint="eastAsia" w:ascii="宋体" w:hAnsi="宋体" w:cs="宋体"/>
                <w:bCs/>
                <w:color w:val="auto"/>
                <w:szCs w:val="21"/>
              </w:rPr>
              <w:t>）</w:t>
            </w:r>
            <w:r>
              <w:rPr>
                <w:rFonts w:hint="eastAsia" w:ascii="宋体" w:hAnsi="宋体" w:cs="宋体"/>
                <w:bCs/>
                <w:color w:val="auto"/>
                <w:szCs w:val="22"/>
              </w:rPr>
              <w:t>申请供应商须具有溧阳市注册汽车维修营业执照。</w:t>
            </w:r>
          </w:p>
          <w:p w14:paraId="58E5BA12">
            <w:pPr>
              <w:spacing w:line="360" w:lineRule="auto"/>
              <w:ind w:firstLine="210" w:firstLineChars="100"/>
              <w:rPr>
                <w:rFonts w:hint="eastAsia" w:ascii="宋体" w:hAnsi="宋体" w:eastAsia="宋体" w:cs="宋体"/>
                <w:bCs/>
                <w:color w:val="auto"/>
                <w:szCs w:val="22"/>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3</w:t>
            </w:r>
            <w:r>
              <w:rPr>
                <w:rFonts w:hint="eastAsia" w:ascii="宋体" w:hAnsi="宋体" w:cs="宋体"/>
                <w:bCs/>
                <w:color w:val="auto"/>
                <w:szCs w:val="21"/>
              </w:rPr>
              <w:t>）</w:t>
            </w:r>
            <w:r>
              <w:rPr>
                <w:rFonts w:hint="eastAsia" w:ascii="宋体" w:hAnsi="宋体" w:cs="宋体"/>
                <w:bCs/>
                <w:color w:val="auto"/>
                <w:szCs w:val="22"/>
              </w:rPr>
              <w:t>申请供应商须具有一类汽车维修资格（品牌汽车4S店可放宽至二类汽车维修资格）。</w:t>
            </w:r>
          </w:p>
          <w:p w14:paraId="686B19F6">
            <w:pPr>
              <w:spacing w:line="400" w:lineRule="exact"/>
              <w:ind w:firstLine="210" w:firstLineChars="100"/>
              <w:rPr>
                <w:rFonts w:ascii="宋体" w:hAnsi="宋体" w:cs="宋体"/>
                <w:b/>
                <w:color w:val="auto"/>
                <w:szCs w:val="22"/>
                <w:u w:val="single"/>
              </w:rPr>
            </w:pPr>
            <w:r>
              <w:rPr>
                <w:rFonts w:hint="eastAsia" w:ascii="宋体" w:hAnsi="宋体" w:cs="宋体"/>
                <w:bCs/>
                <w:color w:val="auto"/>
                <w:szCs w:val="21"/>
              </w:rPr>
              <w:t>（</w:t>
            </w:r>
            <w:r>
              <w:rPr>
                <w:rFonts w:hint="eastAsia" w:ascii="宋体" w:hAnsi="宋体" w:cs="宋体"/>
                <w:bCs/>
                <w:color w:val="auto"/>
                <w:szCs w:val="21"/>
                <w:lang w:val="en-US" w:eastAsia="zh-CN"/>
              </w:rPr>
              <w:t>4</w:t>
            </w:r>
            <w:r>
              <w:rPr>
                <w:rFonts w:hint="eastAsia" w:ascii="宋体" w:hAnsi="宋体" w:cs="宋体"/>
                <w:bCs/>
                <w:color w:val="auto"/>
                <w:szCs w:val="21"/>
              </w:rPr>
              <w:t>）未被“信用中国”网站（www.creditchina.gov.cn）或“中国政府采购网”网站（www.ccgp.gov.cn）列入失信被执行人、</w:t>
            </w:r>
            <w:r>
              <w:rPr>
                <w:rFonts w:hint="eastAsia"/>
                <w:color w:val="auto"/>
                <w:szCs w:val="21"/>
              </w:rPr>
              <w:t>重大税收违法失信主体</w:t>
            </w:r>
            <w:r>
              <w:rPr>
                <w:rFonts w:hint="eastAsia" w:ascii="宋体" w:hAnsi="宋体" w:cs="宋体"/>
                <w:bCs/>
                <w:color w:val="auto"/>
                <w:szCs w:val="21"/>
              </w:rPr>
              <w:t>、政府采购严重失信行为记录名单。</w:t>
            </w:r>
          </w:p>
        </w:tc>
      </w:tr>
      <w:tr w14:paraId="479CA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709" w:type="dxa"/>
            <w:noWrap w:val="0"/>
            <w:vAlign w:val="center"/>
          </w:tcPr>
          <w:p w14:paraId="3DAA13C0">
            <w:pPr>
              <w:pStyle w:val="23"/>
              <w:spacing w:line="400" w:lineRule="exact"/>
              <w:ind w:firstLine="210"/>
              <w:jc w:val="left"/>
              <w:rPr>
                <w:rFonts w:ascii="宋体" w:hAnsi="宋体" w:cs="宋体"/>
                <w:color w:val="auto"/>
                <w:szCs w:val="21"/>
              </w:rPr>
            </w:pPr>
            <w:bookmarkStart w:id="29" w:name="_Hlk191996703"/>
            <w:r>
              <w:rPr>
                <w:rFonts w:hint="eastAsia" w:ascii="宋体" w:hAnsi="宋体" w:cs="宋体"/>
                <w:color w:val="auto"/>
                <w:szCs w:val="21"/>
              </w:rPr>
              <w:t>5</w:t>
            </w:r>
          </w:p>
        </w:tc>
        <w:tc>
          <w:tcPr>
            <w:tcW w:w="2605" w:type="dxa"/>
            <w:noWrap w:val="0"/>
            <w:vAlign w:val="center"/>
          </w:tcPr>
          <w:p w14:paraId="426B3276">
            <w:pPr>
              <w:spacing w:line="400" w:lineRule="exact"/>
              <w:jc w:val="center"/>
              <w:rPr>
                <w:rFonts w:ascii="宋体" w:hAnsi="宋体" w:cs="宋体"/>
                <w:color w:val="auto"/>
                <w:szCs w:val="21"/>
              </w:rPr>
            </w:pPr>
            <w:r>
              <w:rPr>
                <w:rFonts w:ascii="宋体" w:hAnsi="宋体" w:cs="宋体"/>
                <w:color w:val="auto"/>
                <w:sz w:val="24"/>
              </w:rPr>
              <w:t>*</w:t>
            </w:r>
            <w:r>
              <w:rPr>
                <w:rFonts w:hint="eastAsia" w:ascii="宋体" w:hAnsi="宋体" w:cs="宋体"/>
                <w:color w:val="auto"/>
                <w:szCs w:val="21"/>
              </w:rPr>
              <w:t>是否需要通过系统上传演示视频</w:t>
            </w:r>
          </w:p>
        </w:tc>
        <w:tc>
          <w:tcPr>
            <w:tcW w:w="6346" w:type="dxa"/>
            <w:noWrap w:val="0"/>
            <w:vAlign w:val="center"/>
          </w:tcPr>
          <w:p w14:paraId="7DAF9274">
            <w:pPr>
              <w:spacing w:line="400" w:lineRule="exact"/>
              <w:rPr>
                <w:rFonts w:ascii="宋体" w:hAnsi="宋体" w:cs="宋体"/>
                <w:b/>
                <w:color w:val="auto"/>
                <w:szCs w:val="22"/>
                <w:u w:val="single"/>
                <w:lang w:val="zh-CN"/>
              </w:rPr>
            </w:pPr>
            <w:r>
              <w:rPr>
                <w:rFonts w:hint="eastAsia" w:ascii="宋体" w:hAnsi="宋体" w:cs="宋体"/>
                <w:color w:val="auto"/>
                <w:szCs w:val="21"/>
              </w:rPr>
              <w:t>■ 否</w:t>
            </w:r>
            <w:bookmarkEnd w:id="29"/>
          </w:p>
        </w:tc>
      </w:tr>
      <w:tr w14:paraId="422A3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709" w:type="dxa"/>
            <w:noWrap w:val="0"/>
            <w:vAlign w:val="center"/>
          </w:tcPr>
          <w:p w14:paraId="5262A775">
            <w:pPr>
              <w:pStyle w:val="23"/>
              <w:spacing w:line="400" w:lineRule="exact"/>
              <w:ind w:firstLine="210"/>
              <w:jc w:val="left"/>
              <w:rPr>
                <w:rFonts w:ascii="宋体" w:hAnsi="宋体" w:cs="宋体"/>
                <w:color w:val="auto"/>
                <w:szCs w:val="21"/>
              </w:rPr>
            </w:pPr>
            <w:r>
              <w:rPr>
                <w:rFonts w:hint="eastAsia" w:ascii="宋体" w:hAnsi="宋体" w:cs="宋体"/>
                <w:color w:val="auto"/>
                <w:szCs w:val="21"/>
              </w:rPr>
              <w:t>6</w:t>
            </w:r>
          </w:p>
        </w:tc>
        <w:tc>
          <w:tcPr>
            <w:tcW w:w="2605" w:type="dxa"/>
            <w:noWrap w:val="0"/>
            <w:vAlign w:val="center"/>
          </w:tcPr>
          <w:p w14:paraId="4C6113DB">
            <w:pPr>
              <w:spacing w:line="400" w:lineRule="exact"/>
              <w:jc w:val="center"/>
              <w:rPr>
                <w:rFonts w:ascii="宋体" w:hAnsi="宋体" w:cs="宋体"/>
                <w:color w:val="auto"/>
                <w:szCs w:val="21"/>
              </w:rPr>
            </w:pPr>
            <w:r>
              <w:rPr>
                <w:rFonts w:hint="eastAsia" w:ascii="宋体" w:hAnsi="宋体" w:cs="宋体"/>
                <w:color w:val="auto"/>
                <w:szCs w:val="21"/>
              </w:rPr>
              <w:t>*是否允许联合体投标</w:t>
            </w:r>
          </w:p>
        </w:tc>
        <w:tc>
          <w:tcPr>
            <w:tcW w:w="6346" w:type="dxa"/>
            <w:noWrap w:val="0"/>
            <w:vAlign w:val="center"/>
          </w:tcPr>
          <w:p w14:paraId="59839891">
            <w:pPr>
              <w:spacing w:line="400" w:lineRule="exact"/>
              <w:jc w:val="left"/>
              <w:rPr>
                <w:rFonts w:ascii="宋体" w:hAnsi="宋体" w:cs="宋体"/>
                <w:color w:val="auto"/>
                <w:szCs w:val="21"/>
                <w:lang w:val="zh-CN"/>
              </w:rPr>
            </w:pPr>
            <w:r>
              <w:rPr>
                <w:rFonts w:hint="eastAsia" w:ascii="宋体" w:hAnsi="宋体" w:cs="宋体"/>
                <w:color w:val="auto"/>
                <w:szCs w:val="21"/>
              </w:rPr>
              <w:t xml:space="preserve">■ 否    </w:t>
            </w:r>
          </w:p>
        </w:tc>
      </w:tr>
      <w:tr w14:paraId="322F0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709" w:type="dxa"/>
            <w:noWrap w:val="0"/>
            <w:vAlign w:val="center"/>
          </w:tcPr>
          <w:p w14:paraId="6BF04C79">
            <w:pPr>
              <w:pStyle w:val="23"/>
              <w:spacing w:line="400" w:lineRule="exact"/>
              <w:ind w:firstLine="210"/>
              <w:jc w:val="left"/>
              <w:rPr>
                <w:rFonts w:ascii="宋体" w:hAnsi="宋体" w:cs="宋体"/>
                <w:color w:val="auto"/>
                <w:szCs w:val="21"/>
              </w:rPr>
            </w:pPr>
            <w:r>
              <w:rPr>
                <w:rFonts w:hint="eastAsia" w:ascii="宋体" w:hAnsi="宋体" w:cs="宋体"/>
                <w:color w:val="auto"/>
                <w:szCs w:val="21"/>
              </w:rPr>
              <w:t>7</w:t>
            </w:r>
          </w:p>
        </w:tc>
        <w:tc>
          <w:tcPr>
            <w:tcW w:w="2605" w:type="dxa"/>
            <w:noWrap w:val="0"/>
            <w:vAlign w:val="center"/>
          </w:tcPr>
          <w:p w14:paraId="62B46AC0">
            <w:pPr>
              <w:spacing w:line="400" w:lineRule="exact"/>
              <w:jc w:val="center"/>
              <w:rPr>
                <w:rFonts w:ascii="宋体" w:hAnsi="宋体" w:cs="宋体"/>
                <w:color w:val="auto"/>
                <w:szCs w:val="21"/>
              </w:rPr>
            </w:pPr>
            <w:r>
              <w:rPr>
                <w:rFonts w:hint="eastAsia" w:ascii="宋体" w:hAnsi="宋体" w:cs="宋体"/>
                <w:color w:val="auto"/>
                <w:szCs w:val="21"/>
              </w:rPr>
              <w:t>投标人应提交的投标文件格式材料</w:t>
            </w:r>
          </w:p>
        </w:tc>
        <w:tc>
          <w:tcPr>
            <w:tcW w:w="6346" w:type="dxa"/>
            <w:noWrap w:val="0"/>
            <w:vAlign w:val="center"/>
          </w:tcPr>
          <w:p w14:paraId="0E6B3EF6">
            <w:pPr>
              <w:spacing w:line="400" w:lineRule="exact"/>
              <w:jc w:val="left"/>
              <w:rPr>
                <w:rFonts w:ascii="宋体" w:hAnsi="宋体" w:cs="宋体"/>
                <w:color w:val="auto"/>
              </w:rPr>
            </w:pPr>
            <w:r>
              <w:rPr>
                <w:rFonts w:hint="eastAsia" w:ascii="宋体" w:hAnsi="宋体" w:cs="宋体"/>
                <w:color w:val="auto"/>
              </w:rPr>
              <w:t>7.1封面；</w:t>
            </w:r>
          </w:p>
          <w:p w14:paraId="58252A4C">
            <w:pPr>
              <w:spacing w:line="400" w:lineRule="exact"/>
              <w:jc w:val="left"/>
              <w:rPr>
                <w:rFonts w:ascii="宋体" w:hAnsi="宋体" w:cs="宋体"/>
                <w:color w:val="auto"/>
              </w:rPr>
            </w:pPr>
            <w:r>
              <w:rPr>
                <w:rFonts w:hint="eastAsia" w:ascii="宋体" w:hAnsi="宋体" w:cs="宋体"/>
                <w:color w:val="auto"/>
              </w:rPr>
              <w:t>7.2投标人情况说明；</w:t>
            </w:r>
          </w:p>
          <w:p w14:paraId="5958D43B">
            <w:pPr>
              <w:spacing w:line="400" w:lineRule="exact"/>
              <w:jc w:val="left"/>
              <w:rPr>
                <w:rFonts w:ascii="宋体" w:hAnsi="宋体" w:cs="宋体"/>
                <w:color w:val="auto"/>
              </w:rPr>
            </w:pPr>
            <w:r>
              <w:rPr>
                <w:rFonts w:hint="eastAsia" w:ascii="宋体" w:hAnsi="宋体" w:cs="宋体"/>
                <w:color w:val="auto"/>
              </w:rPr>
              <w:t>7.3*开标一览表；</w:t>
            </w:r>
          </w:p>
          <w:p w14:paraId="15499BBB">
            <w:pPr>
              <w:spacing w:line="400" w:lineRule="exact"/>
              <w:jc w:val="left"/>
              <w:rPr>
                <w:rFonts w:ascii="宋体" w:hAnsi="宋体" w:cs="宋体"/>
                <w:color w:val="auto"/>
              </w:rPr>
            </w:pPr>
            <w:r>
              <w:rPr>
                <w:rFonts w:hint="eastAsia" w:ascii="宋体" w:hAnsi="宋体" w:cs="宋体"/>
                <w:color w:val="auto"/>
              </w:rPr>
              <w:t>7.4*投标函；</w:t>
            </w:r>
          </w:p>
          <w:p w14:paraId="4C174094">
            <w:pPr>
              <w:spacing w:line="400" w:lineRule="exact"/>
              <w:jc w:val="left"/>
              <w:rPr>
                <w:rFonts w:ascii="宋体" w:hAnsi="宋体" w:cs="宋体"/>
                <w:color w:val="auto"/>
              </w:rPr>
            </w:pPr>
            <w:r>
              <w:rPr>
                <w:rFonts w:hint="eastAsia" w:ascii="宋体" w:hAnsi="宋体" w:cs="宋体"/>
                <w:color w:val="auto"/>
              </w:rPr>
              <w:t>7.5*法定代表人授权委托书（投标人代表非法定代表人时提供）；</w:t>
            </w:r>
          </w:p>
          <w:p w14:paraId="61509D05">
            <w:pPr>
              <w:spacing w:line="400" w:lineRule="exact"/>
              <w:jc w:val="left"/>
              <w:rPr>
                <w:rFonts w:ascii="宋体" w:hAnsi="宋体" w:cs="宋体"/>
                <w:color w:val="auto"/>
              </w:rPr>
            </w:pPr>
            <w:r>
              <w:rPr>
                <w:rFonts w:hint="eastAsia" w:ascii="宋体" w:hAnsi="宋体" w:cs="宋体"/>
                <w:color w:val="auto"/>
              </w:rPr>
              <w:t>7.6*法人或者其他组织的需提供营业执照等证明文件；</w:t>
            </w:r>
          </w:p>
          <w:p w14:paraId="4132BC69">
            <w:pPr>
              <w:spacing w:line="400" w:lineRule="exact"/>
              <w:jc w:val="left"/>
              <w:rPr>
                <w:rFonts w:ascii="宋体" w:hAnsi="宋体" w:cs="宋体"/>
                <w:color w:val="auto"/>
              </w:rPr>
            </w:pPr>
            <w:r>
              <w:rPr>
                <w:rFonts w:hint="eastAsia" w:ascii="宋体" w:hAnsi="宋体" w:cs="宋体"/>
                <w:color w:val="auto"/>
              </w:rPr>
              <w:t>7.7*主要投标标的情况表；</w:t>
            </w:r>
          </w:p>
          <w:p w14:paraId="19CB5088">
            <w:pPr>
              <w:spacing w:line="400" w:lineRule="exact"/>
              <w:jc w:val="left"/>
              <w:rPr>
                <w:rFonts w:ascii="宋体" w:hAnsi="宋体" w:cs="宋体"/>
                <w:color w:val="auto"/>
                <w:szCs w:val="21"/>
              </w:rPr>
            </w:pPr>
            <w:r>
              <w:rPr>
                <w:rFonts w:hint="eastAsia" w:ascii="宋体" w:hAnsi="宋体" w:cs="宋体"/>
                <w:color w:val="auto"/>
              </w:rPr>
              <w:t>7.</w:t>
            </w:r>
            <w:r>
              <w:rPr>
                <w:rFonts w:hint="eastAsia" w:ascii="宋体" w:hAnsi="宋体" w:cs="宋体"/>
                <w:color w:val="auto"/>
                <w:lang w:val="en-US" w:eastAsia="zh-CN"/>
              </w:rPr>
              <w:t>8</w:t>
            </w:r>
            <w:r>
              <w:rPr>
                <w:rFonts w:hint="eastAsia" w:ascii="宋体" w:hAnsi="宋体" w:cs="宋体"/>
                <w:color w:val="auto"/>
                <w:szCs w:val="21"/>
              </w:rPr>
              <w:t>《中小企业声明函》；（符合条件的提供，详见征集文件格式，中标中小企业将在入围结果公告中予以公示）</w:t>
            </w:r>
          </w:p>
          <w:p w14:paraId="136FD729">
            <w:pPr>
              <w:spacing w:line="400" w:lineRule="exact"/>
              <w:jc w:val="left"/>
              <w:rPr>
                <w:rFonts w:ascii="宋体" w:hAnsi="宋体" w:cs="宋体"/>
                <w:color w:val="auto"/>
              </w:rPr>
            </w:pPr>
            <w:r>
              <w:rPr>
                <w:rFonts w:hint="eastAsia" w:ascii="宋体" w:hAnsi="宋体" w:cs="宋体"/>
                <w:color w:val="auto"/>
              </w:rPr>
              <w:t>7.</w:t>
            </w:r>
            <w:r>
              <w:rPr>
                <w:rFonts w:hint="eastAsia" w:ascii="宋体" w:hAnsi="宋体" w:cs="宋体"/>
                <w:color w:val="auto"/>
                <w:lang w:val="en-US" w:eastAsia="zh-CN"/>
              </w:rPr>
              <w:t>9</w:t>
            </w:r>
            <w:r>
              <w:rPr>
                <w:rFonts w:hint="eastAsia" w:ascii="宋体" w:hAnsi="宋体" w:cs="宋体"/>
                <w:color w:val="auto"/>
              </w:rPr>
              <w:t>商务条款偏离表；</w:t>
            </w:r>
          </w:p>
        </w:tc>
      </w:tr>
      <w:tr w14:paraId="79004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709" w:type="dxa"/>
            <w:noWrap w:val="0"/>
            <w:vAlign w:val="center"/>
          </w:tcPr>
          <w:p w14:paraId="31E69797">
            <w:pPr>
              <w:spacing w:line="400" w:lineRule="exact"/>
              <w:jc w:val="center"/>
              <w:rPr>
                <w:rFonts w:ascii="宋体" w:hAnsi="宋体" w:cs="宋体"/>
                <w:color w:val="auto"/>
                <w:szCs w:val="21"/>
              </w:rPr>
            </w:pPr>
            <w:r>
              <w:rPr>
                <w:rFonts w:hint="eastAsia" w:ascii="宋体" w:hAnsi="宋体" w:cs="宋体"/>
                <w:color w:val="auto"/>
                <w:szCs w:val="21"/>
              </w:rPr>
              <w:t>8</w:t>
            </w:r>
          </w:p>
        </w:tc>
        <w:tc>
          <w:tcPr>
            <w:tcW w:w="2605" w:type="dxa"/>
            <w:noWrap w:val="0"/>
            <w:vAlign w:val="center"/>
          </w:tcPr>
          <w:p w14:paraId="744F3A6B">
            <w:pPr>
              <w:spacing w:line="400" w:lineRule="exact"/>
              <w:jc w:val="center"/>
              <w:rPr>
                <w:rFonts w:ascii="宋体" w:hAnsi="宋体" w:cs="宋体"/>
                <w:color w:val="auto"/>
                <w:szCs w:val="21"/>
              </w:rPr>
            </w:pPr>
            <w:r>
              <w:rPr>
                <w:rFonts w:hint="eastAsia" w:ascii="宋体" w:hAnsi="宋体" w:cs="宋体"/>
                <w:color w:val="auto"/>
                <w:szCs w:val="21"/>
              </w:rPr>
              <w:t>投标人应提交的资性证明文件格式材料</w:t>
            </w:r>
          </w:p>
        </w:tc>
        <w:tc>
          <w:tcPr>
            <w:tcW w:w="6346" w:type="dxa"/>
            <w:noWrap w:val="0"/>
            <w:vAlign w:val="center"/>
          </w:tcPr>
          <w:p w14:paraId="7DC631AD">
            <w:pPr>
              <w:spacing w:line="400" w:lineRule="exact"/>
              <w:jc w:val="left"/>
              <w:rPr>
                <w:rFonts w:ascii="宋体" w:hAnsi="宋体" w:cs="宋体"/>
                <w:color w:val="auto"/>
              </w:rPr>
            </w:pPr>
            <w:r>
              <w:rPr>
                <w:rFonts w:hint="eastAsia" w:ascii="宋体" w:hAnsi="宋体" w:cs="宋体"/>
                <w:color w:val="auto"/>
                <w:szCs w:val="21"/>
              </w:rPr>
              <w:t>8.1*资格审查材料格式</w:t>
            </w:r>
            <w:r>
              <w:rPr>
                <w:rFonts w:hint="eastAsia" w:ascii="宋体" w:hAnsi="宋体" w:cs="宋体"/>
                <w:color w:val="auto"/>
              </w:rPr>
              <w:t>；</w:t>
            </w:r>
          </w:p>
          <w:p w14:paraId="1CC15C31">
            <w:pPr>
              <w:spacing w:line="400" w:lineRule="exact"/>
              <w:jc w:val="left"/>
              <w:rPr>
                <w:rFonts w:ascii="宋体" w:hAnsi="宋体" w:cs="宋体"/>
                <w:b/>
                <w:bCs/>
                <w:color w:val="auto"/>
                <w:szCs w:val="21"/>
              </w:rPr>
            </w:pPr>
            <w:r>
              <w:rPr>
                <w:rFonts w:hint="eastAsia" w:ascii="宋体" w:hAnsi="宋体" w:cs="宋体"/>
                <w:b/>
                <w:bCs/>
                <w:color w:val="auto"/>
                <w:szCs w:val="21"/>
              </w:rPr>
              <w:t>注：资格审查材料包括：投标人资格审查一览表、投标人应具备的特殊要求（如本表第4.2条要求投标人提交的）、联合体投标协议书（如本表第6条已要求且投标人是联合体的提交）</w:t>
            </w:r>
          </w:p>
          <w:p w14:paraId="58D7F758">
            <w:pPr>
              <w:spacing w:line="400" w:lineRule="exact"/>
              <w:jc w:val="left"/>
              <w:rPr>
                <w:rFonts w:ascii="宋体" w:hAnsi="宋体" w:cs="宋体"/>
                <w:color w:val="auto"/>
                <w:szCs w:val="21"/>
              </w:rPr>
            </w:pPr>
            <w:r>
              <w:rPr>
                <w:rFonts w:hint="eastAsia" w:ascii="宋体" w:hAnsi="宋体" w:cs="宋体"/>
                <w:color w:val="auto"/>
                <w:szCs w:val="21"/>
              </w:rPr>
              <w:t>8.2*具备履行合同所必需的书面声明；</w:t>
            </w:r>
          </w:p>
          <w:p w14:paraId="3CB14438">
            <w:pPr>
              <w:spacing w:line="400" w:lineRule="exact"/>
              <w:jc w:val="left"/>
              <w:rPr>
                <w:rFonts w:ascii="宋体" w:hAnsi="宋体" w:cs="宋体"/>
                <w:color w:val="auto"/>
                <w:szCs w:val="21"/>
              </w:rPr>
            </w:pPr>
            <w:r>
              <w:rPr>
                <w:rFonts w:hint="eastAsia" w:ascii="宋体" w:hAnsi="宋体" w:cs="宋体"/>
                <w:color w:val="auto"/>
                <w:szCs w:val="21"/>
              </w:rPr>
              <w:t>8.3*参加政府采购活动的书面声明；</w:t>
            </w:r>
          </w:p>
          <w:p w14:paraId="67B5CE5B">
            <w:pPr>
              <w:spacing w:line="400" w:lineRule="exact"/>
              <w:jc w:val="left"/>
              <w:rPr>
                <w:rFonts w:ascii="宋体" w:hAnsi="宋体" w:cs="宋体"/>
                <w:color w:val="auto"/>
                <w:szCs w:val="21"/>
              </w:rPr>
            </w:pPr>
            <w:r>
              <w:rPr>
                <w:rFonts w:hint="eastAsia" w:ascii="宋体" w:hAnsi="宋体" w:cs="宋体"/>
                <w:color w:val="auto"/>
                <w:szCs w:val="21"/>
              </w:rPr>
              <w:t>8.4*政府采购投标人信用承诺书；</w:t>
            </w:r>
          </w:p>
          <w:p w14:paraId="752AD36E">
            <w:pPr>
              <w:spacing w:line="400" w:lineRule="exact"/>
              <w:jc w:val="left"/>
              <w:rPr>
                <w:rFonts w:ascii="宋体" w:hAnsi="宋体" w:cs="宋体"/>
                <w:color w:val="auto"/>
                <w:szCs w:val="21"/>
              </w:rPr>
            </w:pPr>
            <w:r>
              <w:rPr>
                <w:rFonts w:hint="eastAsia" w:ascii="宋体" w:hAnsi="宋体" w:cs="宋体"/>
                <w:color w:val="auto"/>
                <w:szCs w:val="21"/>
              </w:rPr>
              <w:t>8.5与评审相关的其他材料。</w:t>
            </w:r>
          </w:p>
        </w:tc>
      </w:tr>
      <w:tr w14:paraId="61DB9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709" w:type="dxa"/>
            <w:noWrap w:val="0"/>
            <w:vAlign w:val="center"/>
          </w:tcPr>
          <w:p w14:paraId="64891B86">
            <w:pPr>
              <w:spacing w:line="400" w:lineRule="exact"/>
              <w:jc w:val="center"/>
              <w:rPr>
                <w:rFonts w:ascii="宋体" w:hAnsi="宋体" w:cs="宋体"/>
                <w:color w:val="auto"/>
                <w:szCs w:val="21"/>
              </w:rPr>
            </w:pPr>
            <w:r>
              <w:rPr>
                <w:rFonts w:hint="eastAsia" w:ascii="宋体" w:hAnsi="宋体" w:cs="宋体"/>
                <w:color w:val="auto"/>
                <w:szCs w:val="21"/>
              </w:rPr>
              <w:t>9</w:t>
            </w:r>
          </w:p>
        </w:tc>
        <w:tc>
          <w:tcPr>
            <w:tcW w:w="2605" w:type="dxa"/>
            <w:noWrap w:val="0"/>
            <w:vAlign w:val="center"/>
          </w:tcPr>
          <w:p w14:paraId="2E36DEBE">
            <w:pPr>
              <w:spacing w:line="400" w:lineRule="exact"/>
              <w:jc w:val="center"/>
              <w:rPr>
                <w:rFonts w:ascii="宋体" w:hAnsi="宋体" w:cs="宋体"/>
                <w:color w:val="auto"/>
                <w:szCs w:val="21"/>
              </w:rPr>
            </w:pPr>
            <w:r>
              <w:rPr>
                <w:rFonts w:hint="eastAsia" w:ascii="宋体" w:hAnsi="宋体" w:cs="宋体"/>
                <w:color w:val="auto"/>
                <w:szCs w:val="21"/>
              </w:rPr>
              <w:t>投标人应提交的符合证明文件格式材料</w:t>
            </w:r>
          </w:p>
        </w:tc>
        <w:tc>
          <w:tcPr>
            <w:tcW w:w="6346" w:type="dxa"/>
            <w:noWrap w:val="0"/>
            <w:vAlign w:val="center"/>
          </w:tcPr>
          <w:p w14:paraId="369C22C5">
            <w:pPr>
              <w:spacing w:line="400" w:lineRule="exact"/>
              <w:jc w:val="left"/>
              <w:rPr>
                <w:rFonts w:ascii="宋体" w:hAnsi="宋体" w:cs="宋体"/>
                <w:color w:val="auto"/>
                <w:szCs w:val="21"/>
              </w:rPr>
            </w:pPr>
            <w:r>
              <w:rPr>
                <w:rFonts w:hint="eastAsia" w:ascii="宋体" w:hAnsi="宋体" w:cs="宋体"/>
                <w:color w:val="auto"/>
                <w:szCs w:val="21"/>
              </w:rPr>
              <w:t>*与评审相关的其他符合证明文件格式材料</w:t>
            </w:r>
            <w:r>
              <w:rPr>
                <w:rFonts w:hint="eastAsia" w:ascii="宋体" w:hAnsi="宋体" w:cs="宋体"/>
                <w:b/>
                <w:color w:val="auto"/>
                <w:szCs w:val="22"/>
              </w:rPr>
              <w:t>（具体详见第四部分采购需求）。</w:t>
            </w:r>
          </w:p>
        </w:tc>
      </w:tr>
      <w:tr w14:paraId="3B6C6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709" w:type="dxa"/>
            <w:noWrap w:val="0"/>
            <w:vAlign w:val="center"/>
          </w:tcPr>
          <w:p w14:paraId="487F5B43">
            <w:pPr>
              <w:spacing w:line="400" w:lineRule="exact"/>
              <w:jc w:val="center"/>
              <w:rPr>
                <w:rFonts w:ascii="宋体" w:hAnsi="宋体" w:cs="宋体"/>
                <w:color w:val="auto"/>
                <w:szCs w:val="21"/>
              </w:rPr>
            </w:pPr>
            <w:r>
              <w:rPr>
                <w:rFonts w:hint="eastAsia" w:ascii="宋体" w:hAnsi="宋体" w:cs="宋体"/>
                <w:color w:val="auto"/>
                <w:szCs w:val="21"/>
              </w:rPr>
              <w:t>10</w:t>
            </w:r>
          </w:p>
        </w:tc>
        <w:tc>
          <w:tcPr>
            <w:tcW w:w="2605" w:type="dxa"/>
            <w:noWrap w:val="0"/>
            <w:vAlign w:val="center"/>
          </w:tcPr>
          <w:p w14:paraId="7665262F">
            <w:pPr>
              <w:spacing w:line="400" w:lineRule="exact"/>
              <w:jc w:val="center"/>
              <w:rPr>
                <w:rFonts w:ascii="宋体" w:hAnsi="宋体" w:cs="宋体"/>
                <w:color w:val="auto"/>
                <w:szCs w:val="21"/>
              </w:rPr>
            </w:pPr>
            <w:r>
              <w:rPr>
                <w:rFonts w:hint="eastAsia" w:ascii="宋体" w:hAnsi="宋体" w:cs="宋体"/>
                <w:color w:val="auto"/>
                <w:szCs w:val="21"/>
              </w:rPr>
              <w:t>投标人应提交的综合评审文件格式材料</w:t>
            </w:r>
          </w:p>
        </w:tc>
        <w:tc>
          <w:tcPr>
            <w:tcW w:w="6346" w:type="dxa"/>
            <w:noWrap w:val="0"/>
            <w:vAlign w:val="center"/>
          </w:tcPr>
          <w:p w14:paraId="68026EBF">
            <w:pPr>
              <w:spacing w:line="400" w:lineRule="exact"/>
              <w:jc w:val="left"/>
              <w:rPr>
                <w:rFonts w:ascii="宋体" w:hAnsi="宋体" w:cs="宋体"/>
                <w:color w:val="auto"/>
                <w:szCs w:val="21"/>
              </w:rPr>
            </w:pPr>
            <w:r>
              <w:rPr>
                <w:rFonts w:hint="eastAsia" w:ascii="宋体" w:hAnsi="宋体" w:cs="宋体"/>
                <w:color w:val="auto"/>
                <w:szCs w:val="21"/>
              </w:rPr>
              <w:t>■   无</w:t>
            </w:r>
          </w:p>
        </w:tc>
      </w:tr>
      <w:tr w14:paraId="7CBA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09" w:type="dxa"/>
            <w:noWrap w:val="0"/>
            <w:vAlign w:val="center"/>
          </w:tcPr>
          <w:p w14:paraId="2661496D">
            <w:pPr>
              <w:spacing w:line="400" w:lineRule="exact"/>
              <w:jc w:val="center"/>
              <w:rPr>
                <w:rFonts w:ascii="宋体" w:hAnsi="宋体" w:cs="宋体"/>
                <w:color w:val="auto"/>
                <w:szCs w:val="21"/>
              </w:rPr>
            </w:pPr>
            <w:r>
              <w:rPr>
                <w:rFonts w:hint="eastAsia" w:ascii="宋体" w:hAnsi="宋体" w:cs="宋体"/>
                <w:color w:val="auto"/>
                <w:szCs w:val="21"/>
              </w:rPr>
              <w:t>11</w:t>
            </w:r>
          </w:p>
        </w:tc>
        <w:tc>
          <w:tcPr>
            <w:tcW w:w="2605" w:type="dxa"/>
            <w:noWrap w:val="0"/>
            <w:vAlign w:val="center"/>
          </w:tcPr>
          <w:p w14:paraId="742AF88B">
            <w:pPr>
              <w:spacing w:line="400" w:lineRule="exact"/>
              <w:jc w:val="center"/>
              <w:rPr>
                <w:rFonts w:ascii="宋体" w:hAnsi="宋体" w:cs="宋体"/>
                <w:color w:val="auto"/>
                <w:szCs w:val="21"/>
              </w:rPr>
            </w:pPr>
            <w:r>
              <w:rPr>
                <w:rFonts w:hint="eastAsia" w:ascii="宋体" w:hAnsi="宋体" w:cs="宋体"/>
                <w:color w:val="auto"/>
                <w:szCs w:val="21"/>
              </w:rPr>
              <w:t>是否组织现场考察</w:t>
            </w:r>
          </w:p>
          <w:p w14:paraId="3782C830">
            <w:pPr>
              <w:spacing w:line="400" w:lineRule="exact"/>
              <w:jc w:val="center"/>
              <w:rPr>
                <w:rFonts w:ascii="宋体" w:hAnsi="宋体" w:cs="宋体"/>
                <w:color w:val="auto"/>
                <w:szCs w:val="21"/>
              </w:rPr>
            </w:pPr>
            <w:r>
              <w:rPr>
                <w:rFonts w:hint="eastAsia" w:ascii="宋体" w:hAnsi="宋体" w:cs="宋体"/>
                <w:color w:val="auto"/>
                <w:szCs w:val="21"/>
              </w:rPr>
              <w:t>（标前答疑会）</w:t>
            </w:r>
          </w:p>
        </w:tc>
        <w:tc>
          <w:tcPr>
            <w:tcW w:w="6346" w:type="dxa"/>
            <w:noWrap w:val="0"/>
            <w:vAlign w:val="center"/>
          </w:tcPr>
          <w:p w14:paraId="675D7143">
            <w:pPr>
              <w:spacing w:line="400" w:lineRule="exact"/>
              <w:jc w:val="left"/>
              <w:rPr>
                <w:rFonts w:ascii="宋体" w:hAnsi="宋体" w:cs="宋体"/>
                <w:color w:val="auto"/>
                <w:szCs w:val="21"/>
              </w:rPr>
            </w:pPr>
            <w:r>
              <w:rPr>
                <w:rFonts w:hint="eastAsia" w:ascii="宋体" w:hAnsi="宋体" w:cs="宋体"/>
                <w:color w:val="auto"/>
                <w:szCs w:val="21"/>
              </w:rPr>
              <w:t>■   否</w:t>
            </w:r>
          </w:p>
        </w:tc>
      </w:tr>
      <w:tr w14:paraId="02A41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709" w:type="dxa"/>
            <w:noWrap w:val="0"/>
            <w:vAlign w:val="center"/>
          </w:tcPr>
          <w:p w14:paraId="16400CC2">
            <w:pPr>
              <w:spacing w:line="400" w:lineRule="exact"/>
              <w:jc w:val="center"/>
              <w:rPr>
                <w:rFonts w:ascii="宋体" w:hAnsi="宋体" w:cs="宋体"/>
                <w:color w:val="auto"/>
                <w:szCs w:val="21"/>
              </w:rPr>
            </w:pPr>
            <w:r>
              <w:rPr>
                <w:rFonts w:hint="eastAsia" w:ascii="宋体" w:hAnsi="宋体" w:cs="宋体"/>
                <w:color w:val="auto"/>
                <w:szCs w:val="21"/>
              </w:rPr>
              <w:t>12</w:t>
            </w:r>
          </w:p>
        </w:tc>
        <w:tc>
          <w:tcPr>
            <w:tcW w:w="2605" w:type="dxa"/>
            <w:noWrap w:val="0"/>
            <w:vAlign w:val="center"/>
          </w:tcPr>
          <w:p w14:paraId="4A525158">
            <w:pPr>
              <w:spacing w:line="400" w:lineRule="exact"/>
              <w:jc w:val="center"/>
              <w:rPr>
                <w:rFonts w:ascii="宋体" w:hAnsi="宋体" w:cs="宋体"/>
                <w:color w:val="auto"/>
                <w:szCs w:val="21"/>
              </w:rPr>
            </w:pPr>
            <w:r>
              <w:rPr>
                <w:rFonts w:hint="eastAsia" w:ascii="宋体" w:hAnsi="宋体" w:cs="宋体"/>
                <w:color w:val="auto"/>
                <w:szCs w:val="21"/>
              </w:rPr>
              <w:t>构成征集文件的其他材料</w:t>
            </w:r>
          </w:p>
        </w:tc>
        <w:tc>
          <w:tcPr>
            <w:tcW w:w="6346" w:type="dxa"/>
            <w:noWrap w:val="0"/>
            <w:vAlign w:val="center"/>
          </w:tcPr>
          <w:p w14:paraId="31A9EE61">
            <w:pPr>
              <w:pStyle w:val="23"/>
              <w:spacing w:line="400" w:lineRule="exact"/>
              <w:jc w:val="left"/>
              <w:rPr>
                <w:rFonts w:ascii="宋体" w:hAnsi="宋体" w:cs="宋体"/>
                <w:color w:val="auto"/>
                <w:szCs w:val="21"/>
              </w:rPr>
            </w:pPr>
            <w:r>
              <w:rPr>
                <w:rFonts w:hint="eastAsia" w:ascii="宋体" w:hAnsi="宋体" w:cs="宋体"/>
                <w:color w:val="auto"/>
                <w:szCs w:val="21"/>
              </w:rPr>
              <w:t>征集文件答疑纪要、澄清、更正、说明等</w:t>
            </w:r>
          </w:p>
        </w:tc>
      </w:tr>
      <w:tr w14:paraId="07209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709" w:type="dxa"/>
            <w:noWrap w:val="0"/>
            <w:vAlign w:val="center"/>
          </w:tcPr>
          <w:p w14:paraId="0813BA80">
            <w:pPr>
              <w:spacing w:line="400" w:lineRule="exact"/>
              <w:jc w:val="center"/>
              <w:rPr>
                <w:rFonts w:ascii="宋体" w:hAnsi="宋体" w:cs="宋体"/>
                <w:color w:val="auto"/>
                <w:szCs w:val="21"/>
              </w:rPr>
            </w:pPr>
            <w:r>
              <w:rPr>
                <w:rFonts w:hint="eastAsia" w:ascii="宋体" w:hAnsi="宋体" w:cs="宋体"/>
                <w:color w:val="auto"/>
                <w:szCs w:val="21"/>
              </w:rPr>
              <w:t>13</w:t>
            </w:r>
          </w:p>
        </w:tc>
        <w:tc>
          <w:tcPr>
            <w:tcW w:w="2605" w:type="dxa"/>
            <w:noWrap w:val="0"/>
            <w:vAlign w:val="center"/>
          </w:tcPr>
          <w:p w14:paraId="7555399A">
            <w:pPr>
              <w:spacing w:line="400" w:lineRule="exact"/>
              <w:jc w:val="center"/>
              <w:rPr>
                <w:rFonts w:ascii="宋体" w:hAnsi="宋体" w:cs="宋体"/>
                <w:color w:val="auto"/>
                <w:szCs w:val="21"/>
              </w:rPr>
            </w:pPr>
            <w:r>
              <w:rPr>
                <w:rFonts w:hint="eastAsia" w:ascii="宋体" w:hAnsi="宋体" w:cs="宋体"/>
                <w:color w:val="auto"/>
                <w:szCs w:val="21"/>
              </w:rPr>
              <w:t>答疑截止时间</w:t>
            </w:r>
          </w:p>
        </w:tc>
        <w:tc>
          <w:tcPr>
            <w:tcW w:w="6346" w:type="dxa"/>
            <w:noWrap w:val="0"/>
            <w:vAlign w:val="center"/>
          </w:tcPr>
          <w:p w14:paraId="51468294">
            <w:pPr>
              <w:spacing w:line="400" w:lineRule="exact"/>
              <w:rPr>
                <w:rFonts w:ascii="宋体" w:hAnsi="宋体" w:cs="宋体"/>
                <w:color w:val="auto"/>
                <w:szCs w:val="21"/>
              </w:rPr>
            </w:pPr>
            <w:r>
              <w:rPr>
                <w:rFonts w:hint="eastAsia" w:ascii="宋体" w:hAnsi="宋体" w:cs="宋体"/>
                <w:color w:val="auto"/>
                <w:szCs w:val="21"/>
              </w:rPr>
              <w:t>本项目不召开标前答疑会，</w:t>
            </w:r>
            <w:r>
              <w:rPr>
                <w:rFonts w:hint="eastAsia" w:ascii="宋体" w:hAnsi="宋体" w:cs="宋体"/>
                <w:color w:val="auto"/>
                <w:szCs w:val="21"/>
                <w:lang w:val="zh-CN"/>
              </w:rPr>
              <w:t>如口头可解释的问题亦可电话咨询征集人。未提出疑问将被视为完全认同征集文件，逾期将不接受其对于征集文件的相关异议。</w:t>
            </w:r>
          </w:p>
        </w:tc>
      </w:tr>
      <w:tr w14:paraId="7DF63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09" w:type="dxa"/>
            <w:noWrap w:val="0"/>
            <w:vAlign w:val="center"/>
          </w:tcPr>
          <w:p w14:paraId="46A4B987">
            <w:pPr>
              <w:spacing w:line="400" w:lineRule="exact"/>
              <w:jc w:val="center"/>
              <w:rPr>
                <w:rFonts w:ascii="宋体" w:hAnsi="宋体" w:cs="宋体"/>
                <w:color w:val="auto"/>
                <w:szCs w:val="21"/>
              </w:rPr>
            </w:pPr>
            <w:r>
              <w:rPr>
                <w:rFonts w:hint="eastAsia" w:ascii="宋体" w:hAnsi="宋体" w:cs="宋体"/>
                <w:color w:val="auto"/>
                <w:szCs w:val="21"/>
              </w:rPr>
              <w:t>14</w:t>
            </w:r>
          </w:p>
        </w:tc>
        <w:tc>
          <w:tcPr>
            <w:tcW w:w="2605" w:type="dxa"/>
            <w:noWrap w:val="0"/>
            <w:vAlign w:val="center"/>
          </w:tcPr>
          <w:p w14:paraId="7218B10C">
            <w:pPr>
              <w:spacing w:line="400" w:lineRule="exact"/>
              <w:jc w:val="center"/>
              <w:rPr>
                <w:rFonts w:ascii="宋体" w:hAnsi="宋体" w:cs="宋体"/>
                <w:color w:val="auto"/>
                <w:szCs w:val="21"/>
              </w:rPr>
            </w:pPr>
            <w:r>
              <w:rPr>
                <w:rFonts w:hint="eastAsia" w:ascii="宋体" w:hAnsi="宋体" w:cs="宋体"/>
                <w:color w:val="auto"/>
                <w:szCs w:val="21"/>
              </w:rPr>
              <w:t>征集人对征集文件澄清、修改时间</w:t>
            </w:r>
          </w:p>
        </w:tc>
        <w:tc>
          <w:tcPr>
            <w:tcW w:w="6346" w:type="dxa"/>
            <w:noWrap w:val="0"/>
            <w:vAlign w:val="center"/>
          </w:tcPr>
          <w:p w14:paraId="28CD22E4">
            <w:pPr>
              <w:pStyle w:val="23"/>
              <w:spacing w:line="400" w:lineRule="exact"/>
              <w:jc w:val="left"/>
              <w:rPr>
                <w:rFonts w:ascii="宋体" w:hAnsi="宋体" w:cs="宋体"/>
                <w:color w:val="auto"/>
                <w:szCs w:val="21"/>
              </w:rPr>
            </w:pPr>
            <w:r>
              <w:rPr>
                <w:rFonts w:hint="eastAsia" w:ascii="宋体" w:hAnsi="宋体" w:cs="宋体"/>
                <w:color w:val="auto"/>
                <w:szCs w:val="21"/>
              </w:rPr>
              <w:t>投标文件接收截止之日15日前</w:t>
            </w:r>
          </w:p>
        </w:tc>
      </w:tr>
      <w:tr w14:paraId="534D7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9" w:type="dxa"/>
            <w:noWrap w:val="0"/>
            <w:vAlign w:val="center"/>
          </w:tcPr>
          <w:p w14:paraId="6418EDFD">
            <w:pPr>
              <w:spacing w:line="400" w:lineRule="exact"/>
              <w:jc w:val="center"/>
              <w:rPr>
                <w:rFonts w:ascii="宋体" w:hAnsi="宋体" w:cs="宋体"/>
                <w:color w:val="auto"/>
                <w:szCs w:val="21"/>
              </w:rPr>
            </w:pPr>
            <w:r>
              <w:rPr>
                <w:rFonts w:hint="eastAsia" w:ascii="宋体" w:hAnsi="宋体" w:cs="宋体"/>
                <w:color w:val="auto"/>
                <w:szCs w:val="21"/>
              </w:rPr>
              <w:t>15</w:t>
            </w:r>
          </w:p>
        </w:tc>
        <w:tc>
          <w:tcPr>
            <w:tcW w:w="2605" w:type="dxa"/>
            <w:noWrap w:val="0"/>
            <w:vAlign w:val="center"/>
          </w:tcPr>
          <w:p w14:paraId="7C60F44B">
            <w:pPr>
              <w:spacing w:line="400" w:lineRule="exact"/>
              <w:jc w:val="center"/>
              <w:rPr>
                <w:rFonts w:ascii="宋体" w:hAnsi="宋体" w:cs="宋体"/>
                <w:color w:val="auto"/>
                <w:szCs w:val="21"/>
              </w:rPr>
            </w:pPr>
            <w:r>
              <w:rPr>
                <w:rFonts w:hint="eastAsia" w:ascii="宋体" w:hAnsi="宋体" w:cs="宋体"/>
                <w:color w:val="auto"/>
                <w:szCs w:val="21"/>
              </w:rPr>
              <w:t>征集人对征集文件澄清方式</w:t>
            </w:r>
          </w:p>
        </w:tc>
        <w:tc>
          <w:tcPr>
            <w:tcW w:w="6346" w:type="dxa"/>
            <w:noWrap w:val="0"/>
            <w:vAlign w:val="center"/>
          </w:tcPr>
          <w:p w14:paraId="74CBACDB">
            <w:pPr>
              <w:spacing w:line="400" w:lineRule="exact"/>
              <w:jc w:val="left"/>
              <w:rPr>
                <w:rFonts w:ascii="宋体" w:hAnsi="宋体" w:cs="宋体"/>
                <w:color w:val="auto"/>
                <w:szCs w:val="21"/>
              </w:rPr>
            </w:pPr>
            <w:r>
              <w:rPr>
                <w:rFonts w:hint="eastAsia" w:ascii="宋体" w:hAnsi="宋体" w:cs="宋体"/>
                <w:color w:val="auto"/>
                <w:szCs w:val="21"/>
              </w:rPr>
              <w:t>在“江苏政府采购网”或“常州市政府采购网”媒体上以澄清公告的形式公告。</w:t>
            </w:r>
          </w:p>
        </w:tc>
      </w:tr>
      <w:tr w14:paraId="1CE6E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9" w:type="dxa"/>
            <w:noWrap w:val="0"/>
            <w:vAlign w:val="center"/>
          </w:tcPr>
          <w:p w14:paraId="090794C4">
            <w:pPr>
              <w:spacing w:line="400" w:lineRule="exact"/>
              <w:jc w:val="center"/>
              <w:rPr>
                <w:rFonts w:ascii="宋体" w:hAnsi="宋体" w:cs="宋体"/>
                <w:color w:val="auto"/>
                <w:szCs w:val="21"/>
              </w:rPr>
            </w:pPr>
            <w:r>
              <w:rPr>
                <w:rFonts w:hint="eastAsia" w:ascii="宋体" w:hAnsi="宋体" w:cs="宋体"/>
                <w:color w:val="auto"/>
                <w:szCs w:val="21"/>
              </w:rPr>
              <w:t>16</w:t>
            </w:r>
          </w:p>
        </w:tc>
        <w:tc>
          <w:tcPr>
            <w:tcW w:w="2605" w:type="dxa"/>
            <w:noWrap w:val="0"/>
            <w:vAlign w:val="center"/>
          </w:tcPr>
          <w:p w14:paraId="20526E99">
            <w:pPr>
              <w:spacing w:line="400" w:lineRule="exact"/>
              <w:jc w:val="center"/>
              <w:rPr>
                <w:rFonts w:ascii="宋体" w:hAnsi="宋体" w:cs="宋体"/>
                <w:color w:val="auto"/>
                <w:szCs w:val="21"/>
              </w:rPr>
            </w:pPr>
            <w:r>
              <w:rPr>
                <w:rFonts w:hint="eastAsia" w:ascii="宋体" w:hAnsi="宋体" w:cs="宋体"/>
                <w:color w:val="auto"/>
                <w:szCs w:val="21"/>
              </w:rPr>
              <w:t>投标人CA办理及递交投标文件注意事项</w:t>
            </w:r>
          </w:p>
        </w:tc>
        <w:tc>
          <w:tcPr>
            <w:tcW w:w="6346" w:type="dxa"/>
            <w:noWrap w:val="0"/>
            <w:vAlign w:val="center"/>
          </w:tcPr>
          <w:p w14:paraId="02EF4A04">
            <w:pPr>
              <w:spacing w:line="400" w:lineRule="exact"/>
              <w:jc w:val="left"/>
              <w:rPr>
                <w:rFonts w:ascii="宋体" w:hAnsi="宋体" w:cs="宋体"/>
                <w:color w:val="auto"/>
                <w:szCs w:val="21"/>
              </w:rPr>
            </w:pPr>
            <w:r>
              <w:rPr>
                <w:rFonts w:hint="eastAsia" w:ascii="宋体" w:hAnsi="宋体" w:cs="宋体"/>
                <w:color w:val="auto"/>
                <w:szCs w:val="21"/>
              </w:rPr>
              <w:t>*详见</w:t>
            </w:r>
            <w:r>
              <w:rPr>
                <w:rFonts w:hint="eastAsia" w:ascii="宋体" w:hAnsi="宋体" w:cs="宋体"/>
                <w:color w:val="auto"/>
              </w:rPr>
              <w:t>常州市政府采购网首页“下载中心”栏目的相关内容。</w:t>
            </w:r>
          </w:p>
        </w:tc>
      </w:tr>
      <w:tr w14:paraId="7F039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09" w:type="dxa"/>
            <w:noWrap w:val="0"/>
            <w:vAlign w:val="center"/>
          </w:tcPr>
          <w:p w14:paraId="1E9F4C23">
            <w:pPr>
              <w:spacing w:line="400" w:lineRule="exact"/>
              <w:jc w:val="center"/>
              <w:rPr>
                <w:rFonts w:ascii="宋体" w:hAnsi="宋体" w:cs="宋体"/>
                <w:color w:val="auto"/>
                <w:szCs w:val="21"/>
              </w:rPr>
            </w:pPr>
            <w:r>
              <w:rPr>
                <w:rFonts w:hint="eastAsia" w:ascii="宋体" w:hAnsi="宋体" w:cs="宋体"/>
                <w:color w:val="auto"/>
                <w:szCs w:val="21"/>
              </w:rPr>
              <w:t>17</w:t>
            </w:r>
          </w:p>
        </w:tc>
        <w:tc>
          <w:tcPr>
            <w:tcW w:w="2605" w:type="dxa"/>
            <w:noWrap w:val="0"/>
            <w:vAlign w:val="center"/>
          </w:tcPr>
          <w:p w14:paraId="73C5B3B7">
            <w:pPr>
              <w:spacing w:line="400" w:lineRule="exact"/>
              <w:jc w:val="center"/>
              <w:rPr>
                <w:rFonts w:ascii="宋体" w:hAnsi="宋体" w:cs="宋体"/>
                <w:color w:val="auto"/>
                <w:szCs w:val="21"/>
              </w:rPr>
            </w:pPr>
            <w:r>
              <w:rPr>
                <w:rFonts w:hint="eastAsia" w:ascii="宋体" w:hAnsi="宋体" w:cs="宋体"/>
                <w:bCs/>
                <w:color w:val="auto"/>
                <w:szCs w:val="21"/>
              </w:rPr>
              <w:t>投标文件递交（上传）方式</w:t>
            </w:r>
          </w:p>
        </w:tc>
        <w:tc>
          <w:tcPr>
            <w:tcW w:w="6346" w:type="dxa"/>
            <w:noWrap w:val="0"/>
            <w:vAlign w:val="center"/>
          </w:tcPr>
          <w:p w14:paraId="2A17A07F">
            <w:pPr>
              <w:pStyle w:val="324"/>
              <w:spacing w:before="0" w:after="0" w:line="400" w:lineRule="exact"/>
              <w:ind w:left="0" w:firstLine="0"/>
              <w:rPr>
                <w:rFonts w:ascii="宋体" w:hAnsi="宋体" w:cs="宋体"/>
                <w:color w:val="auto"/>
                <w:szCs w:val="21"/>
              </w:rPr>
            </w:pPr>
            <w:r>
              <w:rPr>
                <w:rFonts w:hint="eastAsia" w:ascii="宋体" w:hAnsi="宋体" w:cs="宋体"/>
                <w:color w:val="auto"/>
                <w:szCs w:val="21"/>
              </w:rPr>
              <w:t>*本项目采用</w:t>
            </w:r>
            <w:r>
              <w:rPr>
                <w:rFonts w:hint="eastAsia" w:ascii="宋体" w:hAnsi="宋体" w:cs="宋体"/>
                <w:bCs/>
                <w:color w:val="auto"/>
                <w:szCs w:val="21"/>
                <w:lang w:val="zh-CN"/>
              </w:rPr>
              <w:t>政采</w:t>
            </w:r>
            <w:r>
              <w:rPr>
                <w:rFonts w:hint="eastAsia" w:ascii="宋体" w:hAnsi="宋体" w:cs="宋体"/>
                <w:color w:val="auto"/>
                <w:szCs w:val="21"/>
              </w:rPr>
              <w:t>电子系统进行招投标，投标人必须通过“苏采云”制作并上传投标文件，除上述方式之外，不接受投标人以纸质文件以及其他任何方式提交的投标文件</w:t>
            </w:r>
            <w:r>
              <w:rPr>
                <w:rFonts w:hint="eastAsia" w:ascii="宋体" w:hAnsi="宋体" w:cs="宋体"/>
                <w:b/>
                <w:bCs/>
                <w:color w:val="auto"/>
                <w:szCs w:val="21"/>
              </w:rPr>
              <w:t>（系统自身原因导致无法开评标的，本项目作废标处理）。</w:t>
            </w:r>
          </w:p>
        </w:tc>
      </w:tr>
      <w:tr w14:paraId="2E4B5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9" w:type="dxa"/>
            <w:noWrap w:val="0"/>
            <w:vAlign w:val="center"/>
          </w:tcPr>
          <w:p w14:paraId="1AFC9BA6">
            <w:pPr>
              <w:spacing w:line="400" w:lineRule="exact"/>
              <w:jc w:val="center"/>
              <w:rPr>
                <w:rFonts w:ascii="宋体" w:hAnsi="宋体" w:cs="宋体"/>
                <w:color w:val="auto"/>
                <w:szCs w:val="21"/>
              </w:rPr>
            </w:pPr>
            <w:r>
              <w:rPr>
                <w:rFonts w:hint="eastAsia" w:ascii="宋体" w:hAnsi="宋体" w:cs="宋体"/>
                <w:color w:val="auto"/>
                <w:szCs w:val="21"/>
              </w:rPr>
              <w:t>18</w:t>
            </w:r>
          </w:p>
        </w:tc>
        <w:tc>
          <w:tcPr>
            <w:tcW w:w="2605" w:type="dxa"/>
            <w:noWrap w:val="0"/>
            <w:vAlign w:val="center"/>
          </w:tcPr>
          <w:p w14:paraId="3A4E9850">
            <w:pPr>
              <w:spacing w:line="400" w:lineRule="exact"/>
              <w:jc w:val="center"/>
              <w:rPr>
                <w:rFonts w:ascii="宋体" w:hAnsi="宋体" w:cs="宋体"/>
                <w:color w:val="auto"/>
                <w:szCs w:val="21"/>
              </w:rPr>
            </w:pPr>
            <w:r>
              <w:rPr>
                <w:rFonts w:hint="eastAsia" w:ascii="宋体" w:hAnsi="宋体" w:cs="宋体"/>
                <w:color w:val="auto"/>
                <w:szCs w:val="21"/>
              </w:rPr>
              <w:t>投标文件（电子标书）</w:t>
            </w:r>
          </w:p>
          <w:p w14:paraId="4EA2DCC6">
            <w:pPr>
              <w:spacing w:line="400" w:lineRule="exact"/>
              <w:jc w:val="center"/>
              <w:rPr>
                <w:rFonts w:ascii="宋体" w:hAnsi="宋体" w:cs="宋体"/>
                <w:color w:val="auto"/>
                <w:szCs w:val="21"/>
              </w:rPr>
            </w:pPr>
            <w:r>
              <w:rPr>
                <w:rFonts w:hint="eastAsia" w:ascii="宋体" w:hAnsi="宋体" w:cs="宋体"/>
                <w:color w:val="auto"/>
                <w:szCs w:val="21"/>
              </w:rPr>
              <w:t>份数及相关说明</w:t>
            </w:r>
          </w:p>
        </w:tc>
        <w:tc>
          <w:tcPr>
            <w:tcW w:w="6346" w:type="dxa"/>
            <w:noWrap w:val="0"/>
            <w:vAlign w:val="center"/>
          </w:tcPr>
          <w:p w14:paraId="458AD011">
            <w:pPr>
              <w:spacing w:line="400" w:lineRule="exact"/>
              <w:rPr>
                <w:rFonts w:ascii="宋体" w:hAnsi="宋体" w:cs="宋体"/>
                <w:color w:val="auto"/>
                <w:szCs w:val="21"/>
              </w:rPr>
            </w:pPr>
            <w:r>
              <w:rPr>
                <w:rFonts w:hint="eastAsia" w:ascii="宋体" w:hAnsi="宋体" w:cs="宋体"/>
                <w:color w:val="auto"/>
                <w:szCs w:val="21"/>
              </w:rPr>
              <w:t>*18.1开标前不需要提供纸质投标文件。</w:t>
            </w:r>
          </w:p>
          <w:p w14:paraId="1196089B">
            <w:pPr>
              <w:spacing w:line="400" w:lineRule="exact"/>
              <w:rPr>
                <w:rFonts w:ascii="宋体" w:hAnsi="宋体" w:cs="宋体"/>
                <w:b/>
                <w:bCs/>
                <w:color w:val="auto"/>
                <w:szCs w:val="21"/>
              </w:rPr>
            </w:pPr>
            <w:r>
              <w:rPr>
                <w:rFonts w:hint="eastAsia" w:ascii="宋体" w:hAnsi="宋体" w:cs="宋体"/>
                <w:color w:val="auto"/>
                <w:szCs w:val="21"/>
              </w:rPr>
              <w:t>*18.2如因“苏采云”系统自身原因而导致</w:t>
            </w:r>
            <w:r>
              <w:rPr>
                <w:rFonts w:hint="eastAsia" w:ascii="宋体" w:hAnsi="宋体" w:cs="宋体"/>
                <w:b/>
                <w:bCs/>
                <w:color w:val="auto"/>
                <w:szCs w:val="21"/>
              </w:rPr>
              <w:t>所有</w:t>
            </w:r>
            <w:r>
              <w:rPr>
                <w:rFonts w:hint="eastAsia" w:ascii="宋体" w:hAnsi="宋体" w:cs="宋体"/>
                <w:color w:val="auto"/>
                <w:szCs w:val="21"/>
              </w:rPr>
              <w:t>电子投标文件无法解密的，</w:t>
            </w:r>
            <w:r>
              <w:rPr>
                <w:rFonts w:hint="eastAsia" w:ascii="宋体" w:hAnsi="宋体" w:cs="宋体"/>
                <w:b/>
                <w:bCs/>
                <w:color w:val="auto"/>
                <w:szCs w:val="21"/>
              </w:rPr>
              <w:t>本项目作废标处理</w:t>
            </w:r>
            <w:r>
              <w:rPr>
                <w:rFonts w:hint="eastAsia" w:ascii="宋体" w:hAnsi="宋体" w:cs="宋体"/>
                <w:color w:val="auto"/>
                <w:szCs w:val="21"/>
              </w:rPr>
              <w:t>。</w:t>
            </w:r>
          </w:p>
          <w:p w14:paraId="675B0DDE">
            <w:pPr>
              <w:spacing w:line="400" w:lineRule="exact"/>
              <w:rPr>
                <w:rFonts w:ascii="宋体" w:hAnsi="宋体" w:cs="宋体"/>
                <w:color w:val="auto"/>
                <w:szCs w:val="21"/>
              </w:rPr>
            </w:pPr>
            <w:r>
              <w:rPr>
                <w:rFonts w:hint="eastAsia" w:ascii="宋体" w:hAnsi="宋体" w:cs="宋体"/>
                <w:b/>
                <w:bCs/>
                <w:color w:val="auto"/>
                <w:szCs w:val="21"/>
              </w:rPr>
              <w:t>注：以上材料未按要求提供的或不符合要求的作无效投标文件处理。</w:t>
            </w:r>
          </w:p>
        </w:tc>
      </w:tr>
      <w:tr w14:paraId="0D2ED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9" w:type="dxa"/>
            <w:noWrap w:val="0"/>
            <w:vAlign w:val="center"/>
          </w:tcPr>
          <w:p w14:paraId="78800A08">
            <w:pPr>
              <w:spacing w:line="400" w:lineRule="exact"/>
              <w:jc w:val="center"/>
              <w:rPr>
                <w:rFonts w:ascii="宋体" w:hAnsi="宋体" w:cs="宋体"/>
                <w:color w:val="auto"/>
                <w:szCs w:val="21"/>
              </w:rPr>
            </w:pPr>
            <w:r>
              <w:rPr>
                <w:rFonts w:hint="eastAsia" w:ascii="宋体" w:hAnsi="宋体" w:cs="宋体"/>
                <w:color w:val="auto"/>
                <w:szCs w:val="21"/>
              </w:rPr>
              <w:t>19</w:t>
            </w:r>
          </w:p>
        </w:tc>
        <w:tc>
          <w:tcPr>
            <w:tcW w:w="2605" w:type="dxa"/>
            <w:noWrap w:val="0"/>
            <w:vAlign w:val="center"/>
          </w:tcPr>
          <w:p w14:paraId="5D11BAD2">
            <w:pPr>
              <w:spacing w:line="400" w:lineRule="exact"/>
              <w:jc w:val="center"/>
              <w:rPr>
                <w:rFonts w:ascii="宋体" w:hAnsi="宋体" w:cs="宋体"/>
                <w:color w:val="auto"/>
                <w:szCs w:val="21"/>
              </w:rPr>
            </w:pPr>
            <w:r>
              <w:rPr>
                <w:rFonts w:hint="eastAsia" w:ascii="宋体" w:hAnsi="宋体" w:cs="宋体"/>
                <w:color w:val="auto"/>
                <w:szCs w:val="21"/>
              </w:rPr>
              <w:t>上传（递交）投标文件（电子光盘）地点</w:t>
            </w:r>
          </w:p>
        </w:tc>
        <w:tc>
          <w:tcPr>
            <w:tcW w:w="6346" w:type="dxa"/>
            <w:noWrap w:val="0"/>
            <w:vAlign w:val="center"/>
          </w:tcPr>
          <w:p w14:paraId="6992B1F3">
            <w:pPr>
              <w:spacing w:line="400" w:lineRule="exact"/>
              <w:rPr>
                <w:rFonts w:ascii="宋体" w:hAnsi="宋体" w:cs="宋体"/>
                <w:b/>
                <w:bCs/>
                <w:color w:val="auto"/>
                <w:szCs w:val="21"/>
              </w:rPr>
            </w:pPr>
            <w:r>
              <w:rPr>
                <w:rFonts w:hint="eastAsia" w:ascii="宋体" w:hAnsi="宋体" w:cs="宋体"/>
                <w:color w:val="auto"/>
                <w:szCs w:val="21"/>
              </w:rPr>
              <w:t>19.1电子投标文件由各投标人在投标截止时间前自行在“苏采云”上传。</w:t>
            </w:r>
          </w:p>
        </w:tc>
      </w:tr>
      <w:tr w14:paraId="20612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9" w:type="dxa"/>
            <w:noWrap w:val="0"/>
            <w:vAlign w:val="center"/>
          </w:tcPr>
          <w:p w14:paraId="3269B35B">
            <w:pPr>
              <w:spacing w:line="400" w:lineRule="exact"/>
              <w:jc w:val="center"/>
              <w:rPr>
                <w:rFonts w:ascii="宋体" w:hAnsi="宋体" w:cs="宋体"/>
                <w:color w:val="auto"/>
                <w:szCs w:val="21"/>
              </w:rPr>
            </w:pPr>
            <w:r>
              <w:rPr>
                <w:rFonts w:hint="eastAsia" w:ascii="宋体" w:hAnsi="宋体" w:cs="宋体"/>
                <w:color w:val="auto"/>
                <w:szCs w:val="21"/>
              </w:rPr>
              <w:t>20</w:t>
            </w:r>
          </w:p>
        </w:tc>
        <w:tc>
          <w:tcPr>
            <w:tcW w:w="2605" w:type="dxa"/>
            <w:noWrap w:val="0"/>
            <w:vAlign w:val="center"/>
          </w:tcPr>
          <w:p w14:paraId="3BC2F3BC">
            <w:pPr>
              <w:spacing w:line="400" w:lineRule="exact"/>
              <w:jc w:val="center"/>
              <w:rPr>
                <w:rFonts w:ascii="宋体" w:hAnsi="宋体" w:cs="宋体"/>
                <w:color w:val="auto"/>
                <w:szCs w:val="21"/>
                <w:lang w:val="zh-CN"/>
              </w:rPr>
            </w:pPr>
            <w:r>
              <w:rPr>
                <w:rFonts w:hint="eastAsia" w:ascii="宋体" w:hAnsi="宋体" w:cs="宋体"/>
                <w:color w:val="auto"/>
                <w:szCs w:val="21"/>
                <w:lang w:val="zh-CN"/>
              </w:rPr>
              <w:t>是否允许投标人将项目非主体、非关键性工作交由他人完成</w:t>
            </w:r>
          </w:p>
        </w:tc>
        <w:tc>
          <w:tcPr>
            <w:tcW w:w="6346" w:type="dxa"/>
            <w:noWrap w:val="0"/>
            <w:vAlign w:val="center"/>
          </w:tcPr>
          <w:p w14:paraId="37C45043">
            <w:pPr>
              <w:spacing w:line="400" w:lineRule="exact"/>
              <w:jc w:val="left"/>
              <w:rPr>
                <w:rFonts w:ascii="宋体" w:hAnsi="宋体" w:cs="宋体"/>
                <w:color w:val="auto"/>
                <w:szCs w:val="21"/>
                <w:lang w:val="zh-CN"/>
              </w:rPr>
            </w:pPr>
            <w:r>
              <w:rPr>
                <w:rFonts w:hint="eastAsia" w:ascii="宋体" w:hAnsi="宋体" w:cs="宋体"/>
                <w:color w:val="auto"/>
                <w:szCs w:val="21"/>
              </w:rPr>
              <w:t xml:space="preserve">■  </w:t>
            </w:r>
            <w:r>
              <w:rPr>
                <w:rFonts w:hint="eastAsia" w:ascii="宋体" w:hAnsi="宋体" w:cs="宋体"/>
                <w:color w:val="auto"/>
                <w:szCs w:val="21"/>
                <w:lang w:val="zh-CN"/>
              </w:rPr>
              <w:t>否</w:t>
            </w:r>
          </w:p>
        </w:tc>
      </w:tr>
      <w:tr w14:paraId="1005F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709" w:type="dxa"/>
            <w:noWrap w:val="0"/>
            <w:vAlign w:val="center"/>
          </w:tcPr>
          <w:p w14:paraId="34BD0CC6">
            <w:pPr>
              <w:spacing w:line="400" w:lineRule="exact"/>
              <w:jc w:val="center"/>
              <w:rPr>
                <w:rFonts w:ascii="宋体" w:hAnsi="宋体" w:cs="宋体"/>
                <w:color w:val="auto"/>
                <w:szCs w:val="21"/>
              </w:rPr>
            </w:pPr>
            <w:r>
              <w:rPr>
                <w:rFonts w:hint="eastAsia" w:ascii="宋体" w:hAnsi="宋体" w:cs="宋体"/>
                <w:color w:val="auto"/>
                <w:szCs w:val="21"/>
              </w:rPr>
              <w:t>21</w:t>
            </w:r>
          </w:p>
        </w:tc>
        <w:tc>
          <w:tcPr>
            <w:tcW w:w="2605" w:type="dxa"/>
            <w:noWrap w:val="0"/>
            <w:vAlign w:val="center"/>
          </w:tcPr>
          <w:p w14:paraId="193D9D83">
            <w:pPr>
              <w:spacing w:line="400" w:lineRule="exact"/>
              <w:jc w:val="center"/>
              <w:rPr>
                <w:rFonts w:ascii="宋体" w:hAnsi="宋体" w:cs="宋体"/>
                <w:color w:val="auto"/>
                <w:szCs w:val="21"/>
              </w:rPr>
            </w:pPr>
            <w:r>
              <w:rPr>
                <w:rFonts w:hint="eastAsia" w:ascii="宋体" w:hAnsi="宋体" w:cs="宋体"/>
                <w:color w:val="auto"/>
                <w:szCs w:val="21"/>
              </w:rPr>
              <w:t>投标文件有效期</w:t>
            </w:r>
          </w:p>
        </w:tc>
        <w:tc>
          <w:tcPr>
            <w:tcW w:w="6346" w:type="dxa"/>
            <w:noWrap w:val="0"/>
            <w:vAlign w:val="center"/>
          </w:tcPr>
          <w:p w14:paraId="740E878A">
            <w:pPr>
              <w:spacing w:line="400" w:lineRule="exact"/>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60</w:t>
            </w:r>
            <w:r>
              <w:rPr>
                <w:rFonts w:hint="eastAsia" w:ascii="宋体" w:hAnsi="宋体" w:cs="宋体"/>
                <w:color w:val="auto"/>
                <w:szCs w:val="21"/>
              </w:rPr>
              <w:t>日历天（投标有效期从提交投标文件的截止之日起算。有效期短于该规定期限的投标无效）</w:t>
            </w:r>
          </w:p>
        </w:tc>
      </w:tr>
      <w:tr w14:paraId="09A9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9" w:type="dxa"/>
            <w:noWrap w:val="0"/>
            <w:vAlign w:val="center"/>
          </w:tcPr>
          <w:p w14:paraId="1B51CAFA">
            <w:pPr>
              <w:spacing w:line="400" w:lineRule="exact"/>
              <w:jc w:val="center"/>
              <w:rPr>
                <w:rFonts w:ascii="宋体" w:hAnsi="宋体" w:cs="宋体"/>
                <w:color w:val="auto"/>
                <w:szCs w:val="21"/>
              </w:rPr>
            </w:pPr>
            <w:r>
              <w:rPr>
                <w:rFonts w:hint="eastAsia" w:ascii="宋体" w:hAnsi="宋体" w:cs="宋体"/>
                <w:color w:val="auto"/>
                <w:szCs w:val="21"/>
              </w:rPr>
              <w:t>22</w:t>
            </w:r>
          </w:p>
        </w:tc>
        <w:tc>
          <w:tcPr>
            <w:tcW w:w="2605" w:type="dxa"/>
            <w:noWrap w:val="0"/>
            <w:vAlign w:val="center"/>
          </w:tcPr>
          <w:p w14:paraId="26B9E0D4">
            <w:pPr>
              <w:spacing w:line="400" w:lineRule="exact"/>
              <w:jc w:val="center"/>
              <w:rPr>
                <w:rFonts w:ascii="宋体" w:hAnsi="宋体" w:cs="宋体"/>
                <w:color w:val="auto"/>
                <w:szCs w:val="21"/>
              </w:rPr>
            </w:pPr>
            <w:r>
              <w:rPr>
                <w:rFonts w:hint="eastAsia" w:ascii="宋体" w:hAnsi="宋体" w:cs="宋体"/>
                <w:color w:val="auto"/>
                <w:szCs w:val="21"/>
              </w:rPr>
              <w:t>采购资金的支付方式、时间、条件</w:t>
            </w:r>
          </w:p>
        </w:tc>
        <w:tc>
          <w:tcPr>
            <w:tcW w:w="6346" w:type="dxa"/>
            <w:noWrap w:val="0"/>
            <w:vAlign w:val="center"/>
          </w:tcPr>
          <w:p w14:paraId="300E20AD">
            <w:pPr>
              <w:spacing w:line="400" w:lineRule="exact"/>
              <w:rPr>
                <w:rFonts w:ascii="宋体" w:hAnsi="宋体" w:cs="宋体"/>
                <w:color w:val="auto"/>
                <w:szCs w:val="21"/>
              </w:rPr>
            </w:pPr>
            <w:r>
              <w:rPr>
                <w:rFonts w:hint="eastAsia" w:ascii="宋体" w:hAnsi="宋体" w:cs="宋体"/>
                <w:color w:val="auto"/>
                <w:szCs w:val="21"/>
              </w:rPr>
              <w:t>详见采购需求、合同部分</w:t>
            </w:r>
          </w:p>
        </w:tc>
      </w:tr>
      <w:tr w14:paraId="38B93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09" w:type="dxa"/>
            <w:noWrap w:val="0"/>
            <w:vAlign w:val="center"/>
          </w:tcPr>
          <w:p w14:paraId="4D9E653C">
            <w:pPr>
              <w:spacing w:line="400" w:lineRule="exact"/>
              <w:jc w:val="center"/>
              <w:rPr>
                <w:rFonts w:ascii="宋体" w:hAnsi="宋体" w:cs="宋体"/>
                <w:color w:val="auto"/>
                <w:szCs w:val="21"/>
              </w:rPr>
            </w:pPr>
            <w:r>
              <w:rPr>
                <w:rFonts w:hint="eastAsia" w:ascii="宋体" w:hAnsi="宋体" w:cs="宋体"/>
                <w:color w:val="auto"/>
                <w:szCs w:val="21"/>
              </w:rPr>
              <w:t>23</w:t>
            </w:r>
          </w:p>
        </w:tc>
        <w:tc>
          <w:tcPr>
            <w:tcW w:w="2605" w:type="dxa"/>
            <w:noWrap w:val="0"/>
            <w:vAlign w:val="center"/>
          </w:tcPr>
          <w:p w14:paraId="12EF1EDC">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6346" w:type="dxa"/>
            <w:noWrap w:val="0"/>
            <w:vAlign w:val="center"/>
          </w:tcPr>
          <w:p w14:paraId="5BC33BF6">
            <w:pPr>
              <w:spacing w:line="400" w:lineRule="exact"/>
              <w:rPr>
                <w:rFonts w:ascii="宋体" w:hAnsi="宋体" w:cs="宋体"/>
                <w:color w:val="auto"/>
                <w:szCs w:val="21"/>
              </w:rPr>
            </w:pPr>
            <w:r>
              <w:rPr>
                <w:rFonts w:hint="eastAsia" w:ascii="宋体" w:hAnsi="宋体" w:cs="宋体"/>
                <w:color w:val="auto"/>
                <w:szCs w:val="21"/>
              </w:rPr>
              <w:t>本项目不收取投标保证金</w:t>
            </w:r>
          </w:p>
        </w:tc>
      </w:tr>
      <w:tr w14:paraId="24A9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709" w:type="dxa"/>
            <w:noWrap w:val="0"/>
            <w:vAlign w:val="center"/>
          </w:tcPr>
          <w:p w14:paraId="38521848">
            <w:pPr>
              <w:spacing w:line="400" w:lineRule="exact"/>
              <w:jc w:val="center"/>
              <w:rPr>
                <w:rFonts w:ascii="宋体" w:hAnsi="宋体" w:cs="宋体"/>
                <w:color w:val="auto"/>
                <w:szCs w:val="21"/>
              </w:rPr>
            </w:pPr>
            <w:r>
              <w:rPr>
                <w:rFonts w:hint="eastAsia" w:ascii="宋体" w:hAnsi="宋体" w:cs="宋体"/>
                <w:color w:val="auto"/>
                <w:szCs w:val="21"/>
              </w:rPr>
              <w:t>24</w:t>
            </w:r>
          </w:p>
        </w:tc>
        <w:tc>
          <w:tcPr>
            <w:tcW w:w="2605" w:type="dxa"/>
            <w:noWrap w:val="0"/>
            <w:vAlign w:val="center"/>
          </w:tcPr>
          <w:p w14:paraId="45E6CFC8">
            <w:pPr>
              <w:spacing w:line="280" w:lineRule="exact"/>
              <w:jc w:val="center"/>
              <w:rPr>
                <w:rFonts w:ascii="宋体" w:hAnsi="宋体" w:cs="宋体"/>
                <w:color w:val="auto"/>
                <w:szCs w:val="21"/>
              </w:rPr>
            </w:pPr>
            <w:r>
              <w:rPr>
                <w:rFonts w:hint="eastAsia" w:ascii="宋体" w:hAnsi="宋体" w:cs="宋体"/>
                <w:color w:val="auto"/>
                <w:szCs w:val="21"/>
              </w:rPr>
              <w:t>是否收取履约保证金</w:t>
            </w:r>
          </w:p>
        </w:tc>
        <w:tc>
          <w:tcPr>
            <w:tcW w:w="6346" w:type="dxa"/>
            <w:noWrap w:val="0"/>
            <w:vAlign w:val="center"/>
          </w:tcPr>
          <w:p w14:paraId="06EE5C05">
            <w:pPr>
              <w:spacing w:line="400" w:lineRule="exact"/>
              <w:rPr>
                <w:rFonts w:ascii="宋体" w:hAnsi="宋体" w:cs="宋体"/>
                <w:bCs/>
                <w:color w:val="auto"/>
                <w:szCs w:val="21"/>
              </w:rPr>
            </w:pPr>
            <w:r>
              <w:rPr>
                <w:rFonts w:hint="eastAsia" w:ascii="宋体" w:hAnsi="宋体" w:cs="宋体"/>
                <w:color w:val="auto"/>
                <w:szCs w:val="21"/>
              </w:rPr>
              <w:t xml:space="preserve">■  </w:t>
            </w:r>
            <w:r>
              <w:rPr>
                <w:rFonts w:hint="eastAsia" w:ascii="宋体" w:hAnsi="宋体" w:cs="宋体"/>
                <w:bCs/>
                <w:color w:val="auto"/>
                <w:szCs w:val="21"/>
              </w:rPr>
              <w:t>否</w:t>
            </w:r>
          </w:p>
        </w:tc>
      </w:tr>
      <w:tr w14:paraId="74ED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709" w:type="dxa"/>
            <w:noWrap w:val="0"/>
            <w:vAlign w:val="center"/>
          </w:tcPr>
          <w:p w14:paraId="7FD64238">
            <w:pPr>
              <w:spacing w:line="400" w:lineRule="exact"/>
              <w:jc w:val="center"/>
              <w:rPr>
                <w:rFonts w:ascii="宋体" w:hAnsi="宋体" w:cs="宋体"/>
                <w:color w:val="auto"/>
                <w:szCs w:val="21"/>
              </w:rPr>
            </w:pPr>
            <w:r>
              <w:rPr>
                <w:rFonts w:hint="eastAsia" w:ascii="宋体" w:hAnsi="宋体" w:cs="宋体"/>
                <w:color w:val="auto"/>
                <w:szCs w:val="21"/>
              </w:rPr>
              <w:t>25</w:t>
            </w:r>
          </w:p>
        </w:tc>
        <w:tc>
          <w:tcPr>
            <w:tcW w:w="2605" w:type="dxa"/>
            <w:noWrap w:val="0"/>
            <w:vAlign w:val="center"/>
          </w:tcPr>
          <w:p w14:paraId="7EF781F6">
            <w:pPr>
              <w:jc w:val="center"/>
              <w:rPr>
                <w:rFonts w:ascii="宋体" w:hAnsi="宋体" w:cs="宋体"/>
                <w:color w:val="auto"/>
                <w:szCs w:val="21"/>
              </w:rPr>
            </w:pPr>
            <w:r>
              <w:rPr>
                <w:rFonts w:hint="eastAsia" w:ascii="宋体" w:hAnsi="宋体" w:cs="宋体"/>
                <w:color w:val="auto"/>
                <w:szCs w:val="21"/>
              </w:rPr>
              <w:t>中小微企业有关政策</w:t>
            </w:r>
          </w:p>
        </w:tc>
        <w:tc>
          <w:tcPr>
            <w:tcW w:w="6346" w:type="dxa"/>
            <w:noWrap w:val="0"/>
            <w:vAlign w:val="center"/>
          </w:tcPr>
          <w:p w14:paraId="2EB9F09E">
            <w:pPr>
              <w:spacing w:line="400" w:lineRule="exact"/>
              <w:ind w:firstLine="420"/>
              <w:rPr>
                <w:rFonts w:ascii="宋体" w:hAnsi="宋体" w:cs="宋体"/>
                <w:bCs/>
                <w:color w:val="auto"/>
                <w:szCs w:val="21"/>
              </w:rPr>
            </w:pPr>
            <w:r>
              <w:rPr>
                <w:rFonts w:hint="eastAsia" w:ascii="宋体" w:hAnsi="宋体" w:cs="宋体"/>
                <w:bCs/>
                <w:color w:val="auto"/>
                <w:szCs w:val="21"/>
              </w:rPr>
              <w:t>25.1本项目属于</w:t>
            </w:r>
            <w:r>
              <w:rPr>
                <w:rFonts w:hint="eastAsia" w:ascii="宋体" w:hAnsi="宋体" w:cs="宋体"/>
                <w:b/>
                <w:color w:val="auto"/>
                <w:szCs w:val="21"/>
                <w:u w:val="single"/>
              </w:rPr>
              <w:t>服务类</w:t>
            </w:r>
            <w:r>
              <w:rPr>
                <w:rFonts w:hint="eastAsia" w:ascii="宋体" w:hAnsi="宋体" w:cs="宋体"/>
                <w:bCs/>
                <w:color w:val="auto"/>
                <w:szCs w:val="21"/>
              </w:rPr>
              <w:t>，采购标的对应的中小企业划分标准属于</w:t>
            </w:r>
            <w:r>
              <w:rPr>
                <w:rFonts w:hint="eastAsia" w:ascii="宋体" w:hAnsi="宋体" w:cs="宋体"/>
                <w:b/>
                <w:color w:val="auto"/>
                <w:szCs w:val="21"/>
                <w:u w:val="single"/>
                <w:lang w:val="en-US" w:eastAsia="zh-CN"/>
              </w:rPr>
              <w:t>维修</w:t>
            </w:r>
            <w:r>
              <w:rPr>
                <w:rFonts w:hint="eastAsia" w:ascii="宋体" w:hAnsi="宋体" w:cs="宋体"/>
                <w:b/>
                <w:color w:val="auto"/>
                <w:szCs w:val="21"/>
                <w:u w:val="single"/>
              </w:rPr>
              <w:t>服务业</w:t>
            </w:r>
            <w:r>
              <w:rPr>
                <w:rFonts w:hint="eastAsia" w:ascii="宋体" w:hAnsi="宋体" w:cs="宋体"/>
                <w:bCs/>
                <w:color w:val="auto"/>
                <w:szCs w:val="21"/>
              </w:rPr>
              <w:t>【《关于印发中小企业划型标准规定的通知》（工信部联企业〔2011〕300号）】，按照本次采购标的所属行业的划型标准，符合条件的中小企业应按照征集文件格式要求提供</w:t>
            </w:r>
            <w:r>
              <w:rPr>
                <w:rFonts w:hint="eastAsia" w:ascii="宋体" w:hAnsi="宋体" w:cs="宋体"/>
                <w:b/>
                <w:color w:val="auto"/>
                <w:szCs w:val="21"/>
                <w:u w:val="single"/>
              </w:rPr>
              <w:t>《中小企业声明函》</w:t>
            </w:r>
            <w:r>
              <w:rPr>
                <w:rFonts w:hint="eastAsia" w:ascii="宋体" w:hAnsi="宋体" w:cs="宋体"/>
                <w:bCs/>
                <w:color w:val="auto"/>
                <w:szCs w:val="21"/>
              </w:rPr>
              <w:t>。请正确填写中小企业申明函，如未填报或缺项、漏项则报价不做相应扣除。提交中小企业声明函并中标的，随入围结果公告一同公示。</w:t>
            </w:r>
          </w:p>
          <w:p w14:paraId="4AB700FE">
            <w:pPr>
              <w:spacing w:line="400" w:lineRule="exact"/>
              <w:ind w:firstLine="420"/>
              <w:rPr>
                <w:rFonts w:ascii="宋体" w:hAnsi="宋体" w:cs="宋体"/>
                <w:bCs/>
                <w:color w:val="auto"/>
                <w:szCs w:val="21"/>
              </w:rPr>
            </w:pPr>
            <w:r>
              <w:rPr>
                <w:rFonts w:hint="eastAsia" w:ascii="宋体" w:hAnsi="宋体" w:cs="宋体"/>
                <w:bCs/>
                <w:color w:val="auto"/>
                <w:szCs w:val="21"/>
              </w:rPr>
              <w:t>25.2根据财库〔2020〕46号财政部、工业和信息化部关于印发《政府采购促进中小企业发展管理办法》的通知，按照《政府采购促进中小企业发展管理办法》第四条要求，在政府采购活动中，投标人提供的服务符合下列情形的，享受本办法规定的中小企业扶持政策：</w:t>
            </w:r>
            <w:r>
              <w:rPr>
                <w:rFonts w:hint="eastAsia" w:ascii="宋体" w:hAnsi="宋体" w:cs="宋体"/>
                <w:b/>
                <w:color w:val="auto"/>
                <w:szCs w:val="21"/>
                <w:u w:val="single"/>
              </w:rPr>
              <w:t>（三）在服务采购项目中，服务由中小企业承接，即提供服务的人员为中小企业依照《中华人民共和国劳动合同法》订立劳动合同的从业人员</w:t>
            </w:r>
            <w:r>
              <w:rPr>
                <w:rFonts w:hint="eastAsia" w:ascii="宋体" w:hAnsi="宋体" w:cs="宋体"/>
                <w:bCs/>
                <w:color w:val="auto"/>
                <w:szCs w:val="21"/>
              </w:rPr>
              <w:t>。对于符合条件的</w:t>
            </w:r>
            <w:r>
              <w:rPr>
                <w:rFonts w:hint="eastAsia" w:ascii="宋体" w:hAnsi="宋体" w:cs="宋体"/>
                <w:b/>
                <w:color w:val="auto"/>
                <w:szCs w:val="21"/>
                <w:u w:val="single"/>
              </w:rPr>
              <w:t>小型和微型企业</w:t>
            </w:r>
            <w:r>
              <w:rPr>
                <w:rFonts w:hint="eastAsia" w:ascii="宋体" w:hAnsi="宋体" w:cs="宋体"/>
                <w:bCs/>
                <w:color w:val="auto"/>
                <w:szCs w:val="21"/>
              </w:rPr>
              <w:t>报价给予</w:t>
            </w:r>
            <w:r>
              <w:rPr>
                <w:rFonts w:hint="eastAsia" w:ascii="宋体" w:hAnsi="宋体" w:cs="宋体"/>
                <w:b/>
                <w:bCs/>
                <w:color w:val="auto"/>
                <w:szCs w:val="21"/>
                <w:u w:val="single"/>
              </w:rPr>
              <w:t>2</w:t>
            </w:r>
            <w:r>
              <w:rPr>
                <w:rFonts w:hint="eastAsia" w:ascii="宋体" w:hAnsi="宋体" w:cs="宋体"/>
                <w:b/>
                <w:color w:val="auto"/>
                <w:szCs w:val="21"/>
                <w:u w:val="single"/>
              </w:rPr>
              <w:t>0%</w:t>
            </w:r>
            <w:r>
              <w:rPr>
                <w:rFonts w:hint="eastAsia" w:ascii="宋体" w:hAnsi="宋体" w:cs="宋体"/>
                <w:bCs/>
                <w:color w:val="auto"/>
                <w:szCs w:val="21"/>
              </w:rPr>
              <w:t>的扣除，用扣除后的价格参与评审。属于残疾人福利性单位、监狱企业的视同小微企业，给予价格扣除。</w:t>
            </w:r>
          </w:p>
          <w:p w14:paraId="6CA8B4A3">
            <w:pPr>
              <w:spacing w:line="400" w:lineRule="exact"/>
              <w:ind w:firstLine="420"/>
              <w:rPr>
                <w:rFonts w:ascii="宋体" w:hAnsi="宋体" w:cs="宋体"/>
                <w:color w:val="auto"/>
                <w:szCs w:val="21"/>
              </w:rPr>
            </w:pPr>
            <w:r>
              <w:rPr>
                <w:rFonts w:hint="eastAsia" w:ascii="宋体" w:hAnsi="宋体" w:cs="宋体"/>
                <w:bCs/>
                <w:color w:val="auto"/>
                <w:szCs w:val="21"/>
              </w:rPr>
              <w:t>25.3以上规定未尽事项，按《政府采购促进中小企业发展管理办法》、《关于促进残疾人就业政府采购政策的通知》、《关于政府采购支持监狱企业发展有关问题的通知》等有关制度规定执行。</w:t>
            </w:r>
          </w:p>
        </w:tc>
      </w:tr>
      <w:tr w14:paraId="12068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709" w:type="dxa"/>
            <w:noWrap w:val="0"/>
            <w:vAlign w:val="center"/>
          </w:tcPr>
          <w:p w14:paraId="3C228996">
            <w:pPr>
              <w:spacing w:line="400" w:lineRule="exact"/>
              <w:jc w:val="center"/>
              <w:rPr>
                <w:rFonts w:ascii="宋体" w:hAnsi="宋体" w:cs="宋体"/>
                <w:color w:val="auto"/>
                <w:szCs w:val="21"/>
              </w:rPr>
            </w:pPr>
            <w:r>
              <w:rPr>
                <w:rFonts w:hint="eastAsia" w:ascii="宋体" w:hAnsi="宋体" w:cs="宋体"/>
                <w:color w:val="auto"/>
                <w:szCs w:val="21"/>
              </w:rPr>
              <w:t>26</w:t>
            </w:r>
          </w:p>
        </w:tc>
        <w:tc>
          <w:tcPr>
            <w:tcW w:w="2605" w:type="dxa"/>
            <w:noWrap w:val="0"/>
            <w:vAlign w:val="center"/>
          </w:tcPr>
          <w:p w14:paraId="166B261C">
            <w:pPr>
              <w:jc w:val="center"/>
              <w:rPr>
                <w:rFonts w:ascii="宋体" w:hAnsi="宋体" w:cs="宋体"/>
                <w:color w:val="auto"/>
                <w:szCs w:val="21"/>
              </w:rPr>
            </w:pPr>
            <w:r>
              <w:rPr>
                <w:rFonts w:hint="eastAsia" w:ascii="宋体" w:hAnsi="宋体" w:cs="宋体"/>
                <w:color w:val="auto"/>
                <w:szCs w:val="21"/>
              </w:rPr>
              <w:t>信用记录查询</w:t>
            </w:r>
          </w:p>
        </w:tc>
        <w:tc>
          <w:tcPr>
            <w:tcW w:w="6346" w:type="dxa"/>
            <w:noWrap w:val="0"/>
            <w:vAlign w:val="center"/>
          </w:tcPr>
          <w:p w14:paraId="48893E48">
            <w:pPr>
              <w:spacing w:line="400" w:lineRule="exact"/>
              <w:rPr>
                <w:rFonts w:ascii="宋体" w:hAnsi="宋体" w:cs="宋体"/>
                <w:bCs/>
                <w:color w:val="auto"/>
                <w:szCs w:val="21"/>
              </w:rPr>
            </w:pPr>
            <w:r>
              <w:rPr>
                <w:rFonts w:hint="eastAsia" w:ascii="宋体" w:hAnsi="宋体" w:cs="宋体"/>
                <w:bCs/>
                <w:color w:val="auto"/>
                <w:szCs w:val="21"/>
              </w:rPr>
              <w:t>采购人于资格审查时通过“信用中国”网站(www.creditchina.gov.cn)渠道查询投标人信用记录，经查询列入失信被执行人、</w:t>
            </w:r>
            <w:r>
              <w:rPr>
                <w:rFonts w:hint="eastAsia" w:ascii="宋体" w:hAnsi="宋体" w:cs="宋体"/>
                <w:color w:val="auto"/>
                <w:szCs w:val="28"/>
              </w:rPr>
              <w:t>重大税收违法失信主体</w:t>
            </w:r>
            <w:r>
              <w:rPr>
                <w:rFonts w:hint="eastAsia" w:ascii="宋体" w:hAnsi="宋体" w:cs="宋体"/>
                <w:bCs/>
                <w:color w:val="auto"/>
                <w:szCs w:val="21"/>
              </w:rPr>
              <w:t>、政府采购严重违法失信行为记录名单，其投标作无效投标文件处理，无效投标人的信用记录查询结果截图将作为项目材料的组成部分。</w:t>
            </w:r>
            <w:bookmarkEnd w:id="0"/>
            <w:bookmarkEnd w:id="1"/>
          </w:p>
        </w:tc>
      </w:tr>
    </w:tbl>
    <w:p w14:paraId="10870B6D">
      <w:pPr>
        <w:keepNext/>
        <w:spacing w:line="400" w:lineRule="exact"/>
        <w:jc w:val="left"/>
        <w:outlineLvl w:val="0"/>
        <w:rPr>
          <w:rFonts w:ascii="宋体" w:hAnsi="宋体" w:cs="宋体"/>
          <w:b/>
          <w:bCs/>
          <w:color w:val="auto"/>
          <w:szCs w:val="21"/>
        </w:rPr>
      </w:pPr>
      <w:r>
        <w:rPr>
          <w:rFonts w:hint="eastAsia" w:ascii="宋体" w:hAnsi="宋体" w:cs="宋体"/>
          <w:b/>
          <w:bCs/>
          <w:color w:val="auto"/>
          <w:szCs w:val="21"/>
        </w:rPr>
        <w:t>注：</w:t>
      </w:r>
    </w:p>
    <w:p w14:paraId="56989268">
      <w:pPr>
        <w:keepNext/>
        <w:spacing w:line="400" w:lineRule="exact"/>
        <w:jc w:val="left"/>
        <w:outlineLvl w:val="0"/>
        <w:rPr>
          <w:rFonts w:ascii="宋体" w:hAnsi="宋体" w:cs="宋体"/>
          <w:b/>
          <w:bCs/>
          <w:color w:val="auto"/>
          <w:szCs w:val="21"/>
        </w:rPr>
      </w:pPr>
      <w:r>
        <w:rPr>
          <w:rFonts w:hint="eastAsia" w:ascii="宋体" w:hAnsi="宋体" w:cs="宋体"/>
          <w:b/>
          <w:bCs/>
          <w:color w:val="auto"/>
          <w:szCs w:val="21"/>
        </w:rPr>
        <w:t xml:space="preserve">1.上表中加 * 项目若有缺失或无效，投标将被拒绝或投标无效且不允许在开标后补正； </w:t>
      </w:r>
    </w:p>
    <w:p w14:paraId="0DD7AA36">
      <w:pPr>
        <w:keepNext/>
        <w:spacing w:line="400" w:lineRule="exact"/>
        <w:jc w:val="left"/>
        <w:outlineLvl w:val="0"/>
        <w:rPr>
          <w:rFonts w:ascii="宋体" w:hAnsi="宋体" w:cs="宋体"/>
          <w:b/>
          <w:bCs/>
          <w:color w:val="auto"/>
          <w:szCs w:val="21"/>
        </w:rPr>
      </w:pPr>
      <w:r>
        <w:rPr>
          <w:rFonts w:hint="eastAsia" w:ascii="宋体" w:hAnsi="宋体" w:cs="宋体"/>
          <w:b/>
          <w:bCs/>
          <w:color w:val="auto"/>
          <w:szCs w:val="21"/>
        </w:rPr>
        <w:t>2.投标人须知前附表内容如与征集文件其他部分不一致，以投标人须知前附表为准。</w:t>
      </w:r>
    </w:p>
    <w:p w14:paraId="4ACFD72C">
      <w:pPr>
        <w:keepNext/>
        <w:spacing w:line="400" w:lineRule="exact"/>
        <w:jc w:val="left"/>
        <w:outlineLvl w:val="0"/>
        <w:rPr>
          <w:rFonts w:ascii="宋体" w:hAnsi="宋体" w:cs="宋体"/>
          <w:b/>
          <w:bCs/>
          <w:color w:val="auto"/>
          <w:szCs w:val="21"/>
        </w:rPr>
      </w:pPr>
      <w:r>
        <w:rPr>
          <w:rFonts w:hint="eastAsia" w:ascii="宋体" w:hAnsi="宋体" w:cs="宋体"/>
          <w:b/>
          <w:bCs/>
          <w:color w:val="auto"/>
          <w:szCs w:val="21"/>
        </w:rPr>
        <w:t>3.扫描件要求：</w:t>
      </w:r>
    </w:p>
    <w:p w14:paraId="33095D1C">
      <w:pPr>
        <w:keepNext/>
        <w:spacing w:line="400" w:lineRule="exact"/>
        <w:jc w:val="left"/>
        <w:outlineLvl w:val="0"/>
        <w:rPr>
          <w:rFonts w:ascii="宋体" w:hAnsi="宋体" w:cs="宋体"/>
          <w:b/>
          <w:bCs/>
          <w:color w:val="auto"/>
          <w:szCs w:val="21"/>
        </w:rPr>
      </w:pPr>
      <w:r>
        <w:rPr>
          <w:rFonts w:hint="eastAsia" w:ascii="宋体" w:hAnsi="宋体" w:cs="宋体"/>
          <w:b/>
          <w:bCs/>
          <w:color w:val="auto"/>
          <w:szCs w:val="21"/>
        </w:rPr>
        <w:t>（1）扫描件必须直接用原件扫描，要求字迹清晰，确保文字内容能看清无变形。</w:t>
      </w:r>
    </w:p>
    <w:p w14:paraId="368A8EA4">
      <w:pPr>
        <w:keepNext/>
        <w:spacing w:line="400" w:lineRule="exact"/>
        <w:jc w:val="left"/>
        <w:outlineLvl w:val="0"/>
        <w:rPr>
          <w:rStyle w:val="314"/>
          <w:rFonts w:cs="宋体"/>
          <w:color w:val="auto"/>
          <w:sz w:val="28"/>
          <w:szCs w:val="28"/>
        </w:rPr>
        <w:sectPr>
          <w:headerReference r:id="rId7" w:type="default"/>
          <w:pgSz w:w="11906" w:h="16838"/>
          <w:pgMar w:top="1440" w:right="1134" w:bottom="1440" w:left="1134" w:header="680" w:footer="992" w:gutter="0"/>
          <w:cols w:space="720" w:num="1"/>
          <w:docGrid w:linePitch="360" w:charSpace="0"/>
        </w:sectPr>
      </w:pPr>
      <w:r>
        <w:rPr>
          <w:rFonts w:hint="eastAsia" w:ascii="宋体" w:hAnsi="宋体" w:cs="宋体"/>
          <w:b/>
          <w:bCs/>
          <w:color w:val="auto"/>
          <w:szCs w:val="21"/>
        </w:rPr>
        <w:t>（2）采用电子证书或者网络截图，必须使用经过备案的政府官方网站截图，且必须是可供任何人查询的公开信息。截图必须包含网址和网站名称，保证他人能够通过网址再次查询到。</w:t>
      </w:r>
      <w:r>
        <w:rPr>
          <w:rStyle w:val="314"/>
          <w:rFonts w:hint="eastAsia" w:cs="宋体"/>
          <w:color w:val="auto"/>
          <w:sz w:val="28"/>
          <w:szCs w:val="28"/>
        </w:rPr>
        <w:t xml:space="preserve"> </w:t>
      </w:r>
    </w:p>
    <w:p w14:paraId="3038527A">
      <w:pPr>
        <w:keepNext/>
        <w:tabs>
          <w:tab w:val="left" w:pos="4449"/>
        </w:tabs>
        <w:spacing w:line="400" w:lineRule="exact"/>
        <w:jc w:val="center"/>
        <w:outlineLvl w:val="0"/>
        <w:rPr>
          <w:rFonts w:ascii="宋体" w:hAnsi="宋体" w:cs="宋体"/>
          <w:color w:val="auto"/>
          <w:sz w:val="28"/>
          <w:szCs w:val="28"/>
        </w:rPr>
      </w:pPr>
      <w:bookmarkStart w:id="30" w:name="_Toc15527"/>
      <w:bookmarkStart w:id="31" w:name="_Toc808"/>
      <w:bookmarkStart w:id="32" w:name="_Toc30256"/>
      <w:bookmarkStart w:id="33" w:name="_Toc1746"/>
      <w:r>
        <w:rPr>
          <w:rStyle w:val="314"/>
          <w:rFonts w:hint="eastAsia" w:cs="宋体"/>
          <w:color w:val="auto"/>
          <w:sz w:val="28"/>
          <w:szCs w:val="28"/>
        </w:rPr>
        <w:t>第三部分  投标人须知</w:t>
      </w:r>
      <w:bookmarkEnd w:id="30"/>
      <w:bookmarkEnd w:id="31"/>
      <w:bookmarkEnd w:id="32"/>
      <w:bookmarkEnd w:id="33"/>
    </w:p>
    <w:p w14:paraId="2417C3A4">
      <w:pPr>
        <w:pStyle w:val="326"/>
        <w:spacing w:line="360" w:lineRule="auto"/>
        <w:ind w:firstLine="0"/>
        <w:rPr>
          <w:rFonts w:ascii="宋体" w:hAnsi="宋体" w:cs="宋体"/>
          <w:b/>
          <w:bCs/>
          <w:color w:val="auto"/>
        </w:rPr>
      </w:pPr>
      <w:r>
        <w:rPr>
          <w:rFonts w:hint="eastAsia" w:ascii="宋体" w:hAnsi="宋体" w:cs="宋体"/>
          <w:b/>
          <w:color w:val="auto"/>
          <w:szCs w:val="21"/>
        </w:rPr>
        <w:t>一、</w:t>
      </w:r>
      <w:r>
        <w:rPr>
          <w:rFonts w:hint="eastAsia" w:ascii="宋体" w:hAnsi="宋体" w:cs="宋体"/>
          <w:b/>
          <w:bCs/>
          <w:color w:val="auto"/>
        </w:rPr>
        <w:t>定义</w:t>
      </w:r>
    </w:p>
    <w:p w14:paraId="33026D14">
      <w:pPr>
        <w:spacing w:line="360" w:lineRule="auto"/>
        <w:ind w:firstLine="420"/>
        <w:rPr>
          <w:rFonts w:ascii="宋体" w:hAnsi="宋体" w:cs="宋体"/>
          <w:bCs/>
          <w:color w:val="auto"/>
          <w:szCs w:val="21"/>
        </w:rPr>
      </w:pPr>
      <w:r>
        <w:rPr>
          <w:rFonts w:hint="eastAsia" w:ascii="宋体" w:hAnsi="宋体" w:cs="宋体"/>
          <w:bCs/>
          <w:color w:val="auto"/>
          <w:szCs w:val="21"/>
        </w:rPr>
        <w:t>1.1“征集人”指本项目的发起征集采购的单位，名称详见</w:t>
      </w:r>
      <w:r>
        <w:rPr>
          <w:rFonts w:hint="eastAsia" w:ascii="宋体" w:hAnsi="宋体" w:cs="宋体"/>
          <w:b/>
          <w:color w:val="auto"/>
          <w:szCs w:val="21"/>
        </w:rPr>
        <w:t>投标人须知前附表第1条</w:t>
      </w:r>
      <w:r>
        <w:rPr>
          <w:rFonts w:hint="eastAsia" w:ascii="宋体" w:hAnsi="宋体" w:cs="宋体"/>
          <w:bCs/>
          <w:color w:val="auto"/>
          <w:szCs w:val="21"/>
        </w:rPr>
        <w:t>。</w:t>
      </w:r>
    </w:p>
    <w:p w14:paraId="11799452">
      <w:pPr>
        <w:spacing w:line="360" w:lineRule="auto"/>
        <w:ind w:firstLine="420"/>
        <w:rPr>
          <w:rFonts w:ascii="宋体" w:hAnsi="宋体" w:cs="宋体"/>
          <w:bCs/>
          <w:color w:val="auto"/>
          <w:szCs w:val="21"/>
        </w:rPr>
      </w:pPr>
      <w:r>
        <w:rPr>
          <w:rFonts w:hint="eastAsia" w:ascii="宋体" w:hAnsi="宋体" w:cs="宋体"/>
          <w:bCs/>
          <w:color w:val="auto"/>
          <w:szCs w:val="21"/>
        </w:rPr>
        <w:t>1.2“采购人”指本项目的具体采购单位。</w:t>
      </w:r>
    </w:p>
    <w:p w14:paraId="7A77F62C">
      <w:pPr>
        <w:spacing w:line="360" w:lineRule="auto"/>
        <w:ind w:firstLine="420"/>
        <w:rPr>
          <w:rFonts w:ascii="宋体" w:hAnsi="宋体" w:cs="宋体"/>
          <w:bCs/>
          <w:color w:val="auto"/>
          <w:szCs w:val="21"/>
        </w:rPr>
      </w:pPr>
      <w:r>
        <w:rPr>
          <w:rFonts w:hint="eastAsia" w:ascii="宋体" w:hAnsi="宋体" w:cs="宋体"/>
          <w:bCs/>
          <w:color w:val="auto"/>
          <w:szCs w:val="21"/>
        </w:rPr>
        <w:t>1.3“服  务”指本征集文件</w:t>
      </w:r>
      <w:r>
        <w:rPr>
          <w:rFonts w:hint="eastAsia" w:ascii="宋体" w:hAnsi="宋体" w:cs="宋体"/>
          <w:b/>
          <w:color w:val="auto"/>
          <w:szCs w:val="21"/>
        </w:rPr>
        <w:t>第四部分</w:t>
      </w:r>
      <w:r>
        <w:rPr>
          <w:rFonts w:hint="eastAsia" w:ascii="宋体" w:hAnsi="宋体" w:cs="宋体"/>
          <w:bCs/>
          <w:color w:val="auto"/>
          <w:szCs w:val="21"/>
        </w:rPr>
        <w:t>所述投标人应该履行的承诺和义务。</w:t>
      </w:r>
    </w:p>
    <w:p w14:paraId="2722CAFC">
      <w:pPr>
        <w:spacing w:line="360" w:lineRule="auto"/>
        <w:ind w:firstLine="420"/>
        <w:rPr>
          <w:rFonts w:ascii="宋体" w:hAnsi="宋体" w:cs="宋体"/>
          <w:bCs/>
          <w:color w:val="auto"/>
          <w:szCs w:val="21"/>
        </w:rPr>
      </w:pPr>
      <w:r>
        <w:rPr>
          <w:rFonts w:hint="eastAsia" w:ascii="宋体" w:hAnsi="宋体" w:cs="宋体"/>
          <w:bCs/>
          <w:color w:val="auto"/>
          <w:szCs w:val="21"/>
        </w:rPr>
        <w:t>1.4“投标人”指符合本征集文件规定并参加投标的投标人。</w:t>
      </w:r>
    </w:p>
    <w:p w14:paraId="087189F1">
      <w:pPr>
        <w:spacing w:line="360" w:lineRule="auto"/>
        <w:ind w:firstLine="420"/>
        <w:rPr>
          <w:rFonts w:ascii="宋体" w:hAnsi="宋体" w:cs="宋体"/>
          <w:bCs/>
          <w:color w:val="auto"/>
          <w:szCs w:val="21"/>
        </w:rPr>
      </w:pPr>
      <w:r>
        <w:rPr>
          <w:rFonts w:hint="eastAsia" w:ascii="宋体" w:hAnsi="宋体" w:cs="宋体"/>
          <w:bCs/>
          <w:color w:val="auto"/>
          <w:szCs w:val="21"/>
        </w:rPr>
        <w:t>1.5“潜在投标人”指符合本征集文件各项规定的合格投标人。</w:t>
      </w:r>
    </w:p>
    <w:p w14:paraId="6C5FA10A">
      <w:pPr>
        <w:spacing w:line="360" w:lineRule="auto"/>
        <w:ind w:firstLine="420"/>
        <w:rPr>
          <w:rFonts w:ascii="宋体" w:hAnsi="宋体" w:cs="宋体"/>
          <w:bCs/>
          <w:color w:val="auto"/>
          <w:szCs w:val="21"/>
        </w:rPr>
      </w:pPr>
      <w:r>
        <w:rPr>
          <w:rFonts w:hint="eastAsia" w:ascii="宋体" w:hAnsi="宋体" w:cs="宋体"/>
          <w:bCs/>
          <w:color w:val="auto"/>
          <w:szCs w:val="21"/>
        </w:rPr>
        <w:t>1.6本征集文件规定按日计算期间的，开始当天不计入，从次日开始计算。期限的最后一日是国家法定节假日的，顺延到节假日后的次日为期限的最后一日。</w:t>
      </w:r>
    </w:p>
    <w:p w14:paraId="7755D9F9">
      <w:pPr>
        <w:spacing w:line="360" w:lineRule="auto"/>
        <w:ind w:firstLine="420"/>
        <w:rPr>
          <w:rFonts w:ascii="宋体" w:hAnsi="宋体" w:cs="宋体"/>
          <w:bCs/>
          <w:color w:val="auto"/>
          <w:szCs w:val="21"/>
        </w:rPr>
      </w:pPr>
      <w:r>
        <w:rPr>
          <w:rFonts w:hint="eastAsia" w:ascii="宋体" w:hAnsi="宋体" w:cs="宋体"/>
          <w:bCs/>
          <w:color w:val="auto"/>
          <w:szCs w:val="21"/>
        </w:rPr>
        <w:t>1.7“采购方式”本次项目采用封闭式框架协议采购方式，本征集文件仅适用于征集公告中所述项目。</w:t>
      </w:r>
    </w:p>
    <w:p w14:paraId="57485616">
      <w:pPr>
        <w:spacing w:line="360" w:lineRule="auto"/>
        <w:rPr>
          <w:rFonts w:ascii="宋体" w:hAnsi="宋体" w:cs="宋体"/>
          <w:b/>
          <w:color w:val="auto"/>
          <w:szCs w:val="21"/>
        </w:rPr>
      </w:pPr>
      <w:r>
        <w:rPr>
          <w:rFonts w:hint="eastAsia" w:ascii="宋体" w:hAnsi="宋体" w:cs="宋体"/>
          <w:b/>
          <w:color w:val="auto"/>
          <w:szCs w:val="21"/>
        </w:rPr>
        <w:t>二、合格投标人的条件</w:t>
      </w:r>
    </w:p>
    <w:p w14:paraId="14073745">
      <w:pPr>
        <w:spacing w:line="360" w:lineRule="auto"/>
        <w:ind w:firstLine="420"/>
        <w:rPr>
          <w:rFonts w:ascii="宋体" w:hAnsi="宋体" w:cs="宋体"/>
          <w:bCs/>
          <w:color w:val="auto"/>
          <w:szCs w:val="21"/>
        </w:rPr>
      </w:pPr>
      <w:r>
        <w:rPr>
          <w:rFonts w:hint="eastAsia" w:ascii="宋体" w:hAnsi="宋体" w:cs="宋体"/>
          <w:bCs/>
          <w:color w:val="auto"/>
          <w:szCs w:val="21"/>
        </w:rPr>
        <w:t>2.1具有本项目实施能力，符合、承认并承诺履行本征集文件各项规定的国内投标人均可参加投标。</w:t>
      </w:r>
    </w:p>
    <w:p w14:paraId="5DB52210">
      <w:pPr>
        <w:spacing w:line="360" w:lineRule="auto"/>
        <w:ind w:firstLine="420"/>
        <w:rPr>
          <w:rFonts w:ascii="宋体" w:hAnsi="宋体" w:cs="宋体"/>
          <w:color w:val="auto"/>
          <w:szCs w:val="28"/>
        </w:rPr>
      </w:pPr>
      <w:r>
        <w:rPr>
          <w:rFonts w:hint="eastAsia" w:ascii="宋体" w:hAnsi="宋体" w:cs="宋体"/>
          <w:bCs/>
          <w:color w:val="auto"/>
          <w:szCs w:val="21"/>
        </w:rPr>
        <w:t>2.2</w:t>
      </w:r>
      <w:r>
        <w:rPr>
          <w:rFonts w:hint="eastAsia" w:ascii="宋体" w:hAnsi="宋体" w:cs="宋体"/>
          <w:color w:val="auto"/>
          <w:szCs w:val="28"/>
        </w:rPr>
        <w:t>合格投标人除需符合政府采购法第二十二条规定及政府采购法实施条例（国务院658号令）第十七条规定的基本资格条件外，同时需符合根据该项目特点设置的特定资格条件。</w:t>
      </w:r>
    </w:p>
    <w:p w14:paraId="0111226C">
      <w:pPr>
        <w:spacing w:line="360" w:lineRule="auto"/>
        <w:ind w:firstLine="630"/>
        <w:rPr>
          <w:rFonts w:ascii="宋体" w:hAnsi="宋体" w:cs="宋体"/>
          <w:color w:val="auto"/>
          <w:szCs w:val="28"/>
        </w:rPr>
      </w:pPr>
      <w:r>
        <w:rPr>
          <w:rFonts w:hint="eastAsia" w:ascii="宋体" w:hAnsi="宋体" w:cs="宋体"/>
          <w:color w:val="auto"/>
          <w:szCs w:val="28"/>
        </w:rPr>
        <w:t>（1）具有独立承担民事责任的能力；</w:t>
      </w:r>
    </w:p>
    <w:p w14:paraId="7C60FCE8">
      <w:pPr>
        <w:spacing w:line="360" w:lineRule="auto"/>
        <w:ind w:firstLine="630"/>
        <w:rPr>
          <w:rFonts w:ascii="宋体" w:hAnsi="宋体" w:cs="宋体"/>
          <w:color w:val="auto"/>
          <w:szCs w:val="28"/>
        </w:rPr>
      </w:pPr>
      <w:r>
        <w:rPr>
          <w:rFonts w:hint="eastAsia" w:ascii="宋体" w:hAnsi="宋体" w:cs="宋体"/>
          <w:color w:val="auto"/>
          <w:szCs w:val="28"/>
        </w:rPr>
        <w:t>（2）具有良好的商业信誉和健全的财务会计制度；</w:t>
      </w:r>
    </w:p>
    <w:p w14:paraId="44D3AFC9">
      <w:pPr>
        <w:spacing w:line="360" w:lineRule="auto"/>
        <w:ind w:firstLine="630"/>
        <w:rPr>
          <w:rFonts w:ascii="宋体" w:hAnsi="宋体" w:cs="宋体"/>
          <w:color w:val="auto"/>
          <w:szCs w:val="28"/>
        </w:rPr>
      </w:pPr>
      <w:r>
        <w:rPr>
          <w:rFonts w:hint="eastAsia" w:ascii="宋体" w:hAnsi="宋体" w:cs="宋体"/>
          <w:color w:val="auto"/>
          <w:szCs w:val="28"/>
        </w:rPr>
        <w:t>（3）具有履行合同所必需的设备和专业技术能力；</w:t>
      </w:r>
    </w:p>
    <w:p w14:paraId="2A4B060F">
      <w:pPr>
        <w:spacing w:line="360" w:lineRule="auto"/>
        <w:ind w:firstLine="630"/>
        <w:rPr>
          <w:rFonts w:ascii="宋体" w:hAnsi="宋体" w:cs="宋体"/>
          <w:color w:val="auto"/>
          <w:szCs w:val="28"/>
        </w:rPr>
      </w:pPr>
      <w:r>
        <w:rPr>
          <w:rFonts w:hint="eastAsia" w:ascii="宋体" w:hAnsi="宋体" w:cs="宋体"/>
          <w:color w:val="auto"/>
          <w:szCs w:val="28"/>
        </w:rPr>
        <w:t>（4）有依法缴纳税收和社会保障资金的良好记录；</w:t>
      </w:r>
    </w:p>
    <w:p w14:paraId="10B6BE38">
      <w:pPr>
        <w:spacing w:line="360" w:lineRule="auto"/>
        <w:ind w:firstLine="630"/>
        <w:rPr>
          <w:rFonts w:ascii="宋体" w:hAnsi="宋体" w:cs="宋体"/>
          <w:color w:val="auto"/>
          <w:szCs w:val="28"/>
        </w:rPr>
      </w:pPr>
      <w:r>
        <w:rPr>
          <w:rFonts w:hint="eastAsia" w:ascii="宋体" w:hAnsi="宋体" w:cs="宋体"/>
          <w:color w:val="auto"/>
          <w:szCs w:val="28"/>
        </w:rPr>
        <w:t>（5）参加政府采购活动（开标当日）前三年内，在经营活动中没有重大违法记录；</w:t>
      </w:r>
    </w:p>
    <w:p w14:paraId="6B3B9B3B">
      <w:pPr>
        <w:spacing w:line="360" w:lineRule="auto"/>
        <w:ind w:firstLine="630"/>
        <w:rPr>
          <w:rFonts w:ascii="宋体" w:hAnsi="宋体" w:cs="宋体"/>
          <w:color w:val="auto"/>
          <w:szCs w:val="28"/>
        </w:rPr>
      </w:pPr>
      <w:r>
        <w:rPr>
          <w:rFonts w:hint="eastAsia" w:ascii="宋体" w:hAnsi="宋体" w:cs="宋体"/>
          <w:color w:val="auto"/>
          <w:szCs w:val="28"/>
        </w:rPr>
        <w:t>（6）法律、行政法规规定的其他条件。</w:t>
      </w:r>
    </w:p>
    <w:p w14:paraId="730118FB">
      <w:pPr>
        <w:spacing w:line="360" w:lineRule="auto"/>
        <w:ind w:firstLine="420"/>
        <w:rPr>
          <w:rFonts w:ascii="宋体" w:hAnsi="宋体" w:cs="宋体"/>
          <w:color w:val="auto"/>
          <w:szCs w:val="28"/>
        </w:rPr>
      </w:pPr>
      <w:r>
        <w:rPr>
          <w:rFonts w:hint="eastAsia" w:ascii="宋体" w:hAnsi="宋体" w:cs="宋体"/>
          <w:color w:val="auto"/>
          <w:szCs w:val="28"/>
        </w:rPr>
        <w:t>2.3特定资格条件：</w:t>
      </w:r>
    </w:p>
    <w:p w14:paraId="6E490AEE">
      <w:pPr>
        <w:spacing w:line="360" w:lineRule="auto"/>
        <w:ind w:left="420" w:firstLine="420"/>
        <w:rPr>
          <w:rFonts w:ascii="宋体" w:hAnsi="宋体" w:cs="宋体"/>
          <w:bCs/>
          <w:color w:val="auto"/>
          <w:szCs w:val="22"/>
        </w:rPr>
      </w:pPr>
      <w:r>
        <w:rPr>
          <w:rFonts w:hint="eastAsia" w:ascii="宋体" w:hAnsi="宋体" w:cs="宋体"/>
          <w:bCs/>
          <w:color w:val="auto"/>
          <w:szCs w:val="22"/>
        </w:rPr>
        <w:t>2</w:t>
      </w:r>
      <w:r>
        <w:rPr>
          <w:rFonts w:ascii="宋体" w:hAnsi="宋体" w:cs="宋体"/>
          <w:bCs/>
          <w:color w:val="auto"/>
          <w:szCs w:val="22"/>
        </w:rPr>
        <w:t>.</w:t>
      </w:r>
      <w:r>
        <w:rPr>
          <w:rFonts w:hint="eastAsia" w:ascii="宋体" w:hAnsi="宋体" w:cs="宋体"/>
          <w:bCs/>
          <w:color w:val="auto"/>
          <w:szCs w:val="22"/>
        </w:rPr>
        <w:t>3.1申请供应商须在溧阳市范围内具有固定的汽车维修经营场所。</w:t>
      </w:r>
    </w:p>
    <w:p w14:paraId="18A623B2">
      <w:pPr>
        <w:spacing w:line="360" w:lineRule="auto"/>
        <w:ind w:left="420" w:firstLine="420"/>
        <w:rPr>
          <w:rFonts w:ascii="宋体" w:hAnsi="宋体" w:cs="宋体"/>
          <w:bCs/>
          <w:color w:val="auto"/>
          <w:szCs w:val="22"/>
        </w:rPr>
      </w:pPr>
      <w:r>
        <w:rPr>
          <w:rFonts w:hint="eastAsia" w:ascii="宋体" w:hAnsi="宋体" w:cs="宋体"/>
          <w:bCs/>
          <w:color w:val="auto"/>
          <w:szCs w:val="22"/>
        </w:rPr>
        <w:t>2</w:t>
      </w:r>
      <w:r>
        <w:rPr>
          <w:rFonts w:ascii="宋体" w:hAnsi="宋体" w:cs="宋体"/>
          <w:bCs/>
          <w:color w:val="auto"/>
          <w:szCs w:val="22"/>
        </w:rPr>
        <w:t>.3</w:t>
      </w:r>
      <w:r>
        <w:rPr>
          <w:rFonts w:hint="eastAsia" w:ascii="宋体" w:hAnsi="宋体" w:cs="宋体"/>
          <w:bCs/>
          <w:color w:val="auto"/>
          <w:szCs w:val="22"/>
        </w:rPr>
        <w:t>.2申请供应商须具有溧阳市注册汽车维修营业执照。</w:t>
      </w:r>
    </w:p>
    <w:p w14:paraId="2DBBCFCF">
      <w:pPr>
        <w:spacing w:line="360" w:lineRule="auto"/>
        <w:ind w:left="420" w:firstLine="420"/>
        <w:rPr>
          <w:rFonts w:hint="eastAsia" w:ascii="宋体" w:hAnsi="宋体" w:eastAsia="宋体" w:cs="宋体"/>
          <w:bCs/>
          <w:color w:val="auto"/>
          <w:szCs w:val="22"/>
          <w:lang w:val="en-US" w:eastAsia="zh-CN"/>
        </w:rPr>
      </w:pPr>
      <w:r>
        <w:rPr>
          <w:rFonts w:hint="eastAsia" w:ascii="宋体" w:hAnsi="宋体" w:cs="宋体"/>
          <w:bCs/>
          <w:color w:val="auto"/>
          <w:szCs w:val="22"/>
        </w:rPr>
        <w:t>2.3.3申请供应商须具有一类汽车维修资格（品牌汽车4S店可放宽至二类汽车维修资格）。</w:t>
      </w:r>
    </w:p>
    <w:p w14:paraId="377163DE">
      <w:pPr>
        <w:spacing w:line="360" w:lineRule="auto"/>
        <w:ind w:firstLine="840"/>
        <w:rPr>
          <w:rFonts w:ascii="宋体" w:hAnsi="宋体" w:cs="宋体"/>
          <w:b/>
          <w:color w:val="auto"/>
          <w:szCs w:val="22"/>
          <w:u w:val="single"/>
        </w:rPr>
      </w:pPr>
      <w:r>
        <w:rPr>
          <w:rFonts w:hint="eastAsia" w:ascii="宋体" w:hAnsi="宋体" w:cs="宋体"/>
          <w:bCs/>
          <w:color w:val="auto"/>
          <w:szCs w:val="22"/>
        </w:rPr>
        <w:t>2.3.</w:t>
      </w:r>
      <w:r>
        <w:rPr>
          <w:rFonts w:hint="eastAsia" w:ascii="宋体" w:hAnsi="宋体" w:cs="宋体"/>
          <w:bCs/>
          <w:color w:val="auto"/>
          <w:szCs w:val="22"/>
          <w:lang w:val="en-US" w:eastAsia="zh-CN"/>
        </w:rPr>
        <w:t>4</w:t>
      </w:r>
      <w:r>
        <w:rPr>
          <w:rFonts w:hint="eastAsia" w:ascii="宋体" w:hAnsi="宋体" w:cs="宋体"/>
          <w:color w:val="auto"/>
          <w:szCs w:val="28"/>
        </w:rPr>
        <w:t>未被“信用中国”网站（www.creditchina.gov.cn）或“中国政府采购网”网站（www.ccgp.gov.cn）列入失信被执行人、重大税收违法失信主体、政府采购严重失信行为记录名单。</w:t>
      </w:r>
    </w:p>
    <w:p w14:paraId="5DE15CA1">
      <w:pPr>
        <w:spacing w:line="360" w:lineRule="auto"/>
        <w:ind w:firstLine="420"/>
        <w:rPr>
          <w:rFonts w:ascii="宋体" w:hAnsi="宋体" w:cs="宋体"/>
          <w:color w:val="auto"/>
          <w:szCs w:val="28"/>
        </w:rPr>
      </w:pPr>
      <w:r>
        <w:rPr>
          <w:rFonts w:hint="eastAsia" w:ascii="宋体" w:hAnsi="宋体" w:cs="宋体"/>
          <w:color w:val="auto"/>
          <w:szCs w:val="28"/>
        </w:rPr>
        <w:t>2.4投标人单位负责人为同一人或者存在直接控股、管理关系的不同投标人，不得参加同一合同项下的政府采购活动；</w:t>
      </w:r>
    </w:p>
    <w:p w14:paraId="7B850F0F">
      <w:pPr>
        <w:spacing w:line="360" w:lineRule="auto"/>
        <w:ind w:firstLine="420"/>
        <w:rPr>
          <w:rFonts w:ascii="宋体" w:hAnsi="宋体" w:cs="宋体"/>
          <w:color w:val="auto"/>
          <w:szCs w:val="28"/>
        </w:rPr>
      </w:pPr>
      <w:r>
        <w:rPr>
          <w:rFonts w:hint="eastAsia" w:ascii="宋体" w:hAnsi="宋体" w:cs="宋体"/>
          <w:color w:val="auto"/>
          <w:szCs w:val="28"/>
        </w:rPr>
        <w:t>2.5凡为采购项目提供整体设计、规范编制或者项目管理、监理、检测等服务的投标人，不得再参加本项目的采购活动；</w:t>
      </w:r>
    </w:p>
    <w:p w14:paraId="3880B6BE">
      <w:pPr>
        <w:spacing w:line="360" w:lineRule="auto"/>
        <w:ind w:firstLine="422"/>
        <w:rPr>
          <w:rFonts w:ascii="宋体" w:hAnsi="宋体" w:cs="宋体"/>
          <w:b/>
          <w:bCs/>
          <w:color w:val="auto"/>
          <w:szCs w:val="28"/>
        </w:rPr>
      </w:pPr>
      <w:r>
        <w:rPr>
          <w:rFonts w:hint="eastAsia" w:ascii="宋体" w:hAnsi="宋体" w:cs="宋体"/>
          <w:b/>
          <w:bCs/>
          <w:color w:val="auto"/>
          <w:szCs w:val="28"/>
        </w:rPr>
        <w:t>2.6关于对参与投标人信用记录的政府采购要求：</w:t>
      </w:r>
    </w:p>
    <w:p w14:paraId="748047C2">
      <w:pPr>
        <w:spacing w:line="360" w:lineRule="auto"/>
        <w:ind w:firstLine="420"/>
        <w:rPr>
          <w:rFonts w:ascii="宋体" w:hAnsi="宋体" w:cs="宋体"/>
          <w:color w:val="auto"/>
          <w:szCs w:val="28"/>
        </w:rPr>
      </w:pPr>
      <w:r>
        <w:rPr>
          <w:rFonts w:hint="eastAsia" w:ascii="宋体" w:hAnsi="宋体" w:cs="宋体"/>
          <w:color w:val="auto"/>
          <w:szCs w:val="28"/>
        </w:rPr>
        <w:t>2.6.1采购人于资格审查时通过“信用中国”网站网站输入投标人全称或统一社会信用代码查询信用记录。</w:t>
      </w:r>
    </w:p>
    <w:p w14:paraId="74B11859">
      <w:pPr>
        <w:spacing w:line="360" w:lineRule="auto"/>
        <w:ind w:firstLine="420"/>
        <w:rPr>
          <w:rFonts w:ascii="宋体" w:hAnsi="宋体" w:cs="宋体"/>
          <w:color w:val="auto"/>
          <w:szCs w:val="28"/>
        </w:rPr>
      </w:pPr>
      <w:r>
        <w:rPr>
          <w:rFonts w:hint="eastAsia" w:ascii="宋体" w:hAnsi="宋体" w:cs="宋体"/>
          <w:color w:val="auto"/>
          <w:szCs w:val="28"/>
        </w:rPr>
        <w:t>2.6.2采购人在对投标人进行资格性审查时，应根据查询结果对投标人的不良信用记录逐项甄别确认。按照《中华人民共和国政府采购法》第二十二条规定，下列信用记录属于应依法拒绝投标人参加政府采购的失信信息：</w:t>
      </w:r>
    </w:p>
    <w:p w14:paraId="4834BC7C">
      <w:pPr>
        <w:spacing w:line="360" w:lineRule="auto"/>
        <w:ind w:firstLine="420"/>
        <w:rPr>
          <w:rFonts w:ascii="宋体" w:hAnsi="宋体" w:cs="宋体"/>
          <w:color w:val="auto"/>
          <w:szCs w:val="28"/>
        </w:rPr>
      </w:pPr>
      <w:r>
        <w:rPr>
          <w:rFonts w:hint="eastAsia" w:ascii="宋体" w:hAnsi="宋体" w:cs="宋体"/>
          <w:color w:val="auto"/>
          <w:szCs w:val="28"/>
        </w:rPr>
        <w:t>（1）政府采购严重违法记录，即投标人被全国各级财政部门列入“政府采购严重违法失信行为记录名单”，且在处罚有效期内的。</w:t>
      </w:r>
    </w:p>
    <w:p w14:paraId="5FE55599">
      <w:pPr>
        <w:spacing w:line="360" w:lineRule="auto"/>
        <w:ind w:firstLine="420"/>
        <w:rPr>
          <w:rFonts w:ascii="宋体" w:hAnsi="宋体" w:cs="宋体"/>
          <w:color w:val="auto"/>
          <w:szCs w:val="28"/>
        </w:rPr>
      </w:pPr>
      <w:r>
        <w:rPr>
          <w:rFonts w:hint="eastAsia" w:ascii="宋体" w:hAnsi="宋体" w:cs="宋体"/>
          <w:color w:val="auto"/>
          <w:szCs w:val="28"/>
        </w:rPr>
        <w:t>（2）财政部门、法院、工商、税务等部门惩戒的失信信息，包括：</w:t>
      </w:r>
    </w:p>
    <w:p w14:paraId="54A08296">
      <w:pPr>
        <w:spacing w:line="360" w:lineRule="auto"/>
        <w:ind w:firstLine="420"/>
        <w:rPr>
          <w:rFonts w:ascii="宋体" w:hAnsi="宋体" w:cs="宋体"/>
          <w:color w:val="auto"/>
          <w:szCs w:val="28"/>
        </w:rPr>
      </w:pPr>
      <w:r>
        <w:rPr>
          <w:rFonts w:hint="eastAsia" w:ascii="宋体" w:hAnsi="宋体" w:cs="宋体"/>
          <w:color w:val="auto"/>
          <w:szCs w:val="28"/>
        </w:rPr>
        <w:t>1）被列入失信被执行人名单；</w:t>
      </w:r>
    </w:p>
    <w:p w14:paraId="53A4C6D6">
      <w:pPr>
        <w:spacing w:line="360" w:lineRule="auto"/>
        <w:ind w:firstLine="420"/>
        <w:rPr>
          <w:rFonts w:ascii="宋体" w:hAnsi="宋体" w:cs="宋体"/>
          <w:color w:val="auto"/>
          <w:szCs w:val="28"/>
        </w:rPr>
      </w:pPr>
      <w:r>
        <w:rPr>
          <w:rFonts w:hint="eastAsia" w:ascii="宋体" w:hAnsi="宋体" w:cs="宋体"/>
          <w:color w:val="auto"/>
          <w:szCs w:val="28"/>
        </w:rPr>
        <w:t>2）被列入重大税收违法案件当事人名单；</w:t>
      </w:r>
    </w:p>
    <w:p w14:paraId="4A3AAC71">
      <w:pPr>
        <w:spacing w:line="360" w:lineRule="auto"/>
        <w:ind w:firstLine="420"/>
        <w:rPr>
          <w:rFonts w:ascii="宋体" w:hAnsi="宋体" w:cs="宋体"/>
          <w:color w:val="auto"/>
          <w:szCs w:val="28"/>
        </w:rPr>
      </w:pPr>
      <w:r>
        <w:rPr>
          <w:rFonts w:hint="eastAsia" w:ascii="宋体" w:hAnsi="宋体" w:cs="宋体"/>
          <w:color w:val="auto"/>
          <w:szCs w:val="28"/>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宋体" w:hAnsi="宋体" w:cs="宋体"/>
          <w:b/>
          <w:bCs/>
          <w:color w:val="auto"/>
          <w:szCs w:val="28"/>
        </w:rPr>
        <w:t>注：较大数额罚款金额：《中华人民共和国政府采购法实施条例》第十九条第一款规定的“较大数额罚款”认定为200万元（含）以上的罚款，法律、行政法规以及国务院有关部门明确规定相关领域“较大数额罚款”标准高于200万元的，从其规定，较大数额罚款金额认定来源于《财政部关于《中华人民共和国政府采购法实施条例》第十九条第一款“较大数额罚款”具体适用问题的意见》财库【2022】3号文。</w:t>
      </w:r>
    </w:p>
    <w:p w14:paraId="0F4E80C4">
      <w:pPr>
        <w:spacing w:line="360" w:lineRule="auto"/>
        <w:ind w:firstLine="420"/>
        <w:rPr>
          <w:rFonts w:ascii="宋体" w:hAnsi="宋体" w:cs="宋体"/>
          <w:color w:val="auto"/>
          <w:szCs w:val="28"/>
        </w:rPr>
      </w:pPr>
      <w:r>
        <w:rPr>
          <w:rFonts w:hint="eastAsia" w:ascii="宋体" w:hAnsi="宋体" w:cs="宋体"/>
          <w:color w:val="auto"/>
          <w:szCs w:val="28"/>
        </w:rPr>
        <w:t>2.6.3根据采购人确认的失信信息，登陆到相关来源网站页面进行复核并打印，作为证据留存。</w:t>
      </w:r>
    </w:p>
    <w:p w14:paraId="2265136A">
      <w:pPr>
        <w:spacing w:line="360" w:lineRule="auto"/>
        <w:ind w:firstLine="420"/>
        <w:rPr>
          <w:rFonts w:ascii="宋体" w:hAnsi="宋体" w:cs="宋体"/>
          <w:color w:val="auto"/>
          <w:szCs w:val="21"/>
        </w:rPr>
      </w:pPr>
      <w:r>
        <w:rPr>
          <w:rFonts w:hint="eastAsia" w:ascii="宋体" w:hAnsi="宋体" w:cs="宋体"/>
          <w:color w:val="auto"/>
          <w:szCs w:val="28"/>
        </w:rPr>
        <w:t>2.6.4投标人参加政府采购活动（开标当日）前三年内，在经营活动中没有重大违法记录，投标人须在投标文件中提交</w:t>
      </w:r>
      <w:r>
        <w:rPr>
          <w:rFonts w:hint="eastAsia" w:ascii="宋体" w:hAnsi="宋体" w:cs="宋体"/>
          <w:color w:val="auto"/>
          <w:szCs w:val="21"/>
        </w:rPr>
        <w:t>没有重大违法记录的书面声明（详见第七部分），投标人只要存在上述2.6.2项中</w:t>
      </w:r>
      <w:r>
        <w:rPr>
          <w:rFonts w:hint="eastAsia" w:ascii="宋体" w:hAnsi="宋体" w:cs="宋体"/>
          <w:color w:val="auto"/>
          <w:szCs w:val="28"/>
        </w:rPr>
        <w:t>失信信息情形的，均视为未实质性响应，作无效投标文件处理。“信用中国”网站为投标人信用记录查询的主要网站，投标人失信信息记录查询</w:t>
      </w:r>
      <w:r>
        <w:rPr>
          <w:rFonts w:hint="eastAsia" w:ascii="宋体" w:hAnsi="宋体" w:cs="宋体"/>
          <w:color w:val="auto"/>
          <w:szCs w:val="21"/>
        </w:rPr>
        <w:t>包含了但并不限于</w:t>
      </w:r>
      <w:r>
        <w:rPr>
          <w:rFonts w:hint="eastAsia" w:ascii="宋体" w:hAnsi="宋体" w:cs="宋体"/>
          <w:color w:val="auto"/>
          <w:szCs w:val="28"/>
        </w:rPr>
        <w:t>“信用中国”网站</w:t>
      </w:r>
      <w:r>
        <w:rPr>
          <w:rFonts w:hint="eastAsia" w:ascii="宋体" w:hAnsi="宋体" w:cs="宋体"/>
          <w:color w:val="auto"/>
          <w:szCs w:val="21"/>
        </w:rPr>
        <w:t>。</w:t>
      </w:r>
    </w:p>
    <w:p w14:paraId="0CDFADFA">
      <w:pPr>
        <w:spacing w:line="360" w:lineRule="auto"/>
        <w:ind w:firstLine="420"/>
        <w:rPr>
          <w:rFonts w:ascii="宋体" w:hAnsi="宋体" w:cs="宋体"/>
          <w:color w:val="auto"/>
          <w:szCs w:val="28"/>
        </w:rPr>
      </w:pPr>
      <w:r>
        <w:rPr>
          <w:rFonts w:hint="eastAsia" w:ascii="宋体" w:hAnsi="宋体" w:cs="宋体"/>
          <w:color w:val="auto"/>
          <w:szCs w:val="28"/>
        </w:rPr>
        <w:t>2.7本次采购是否允许两个（含）以上投标人组成一个联合体以一个投标人身份共同投标，详见</w:t>
      </w:r>
      <w:r>
        <w:rPr>
          <w:rFonts w:hint="eastAsia" w:ascii="宋体" w:hAnsi="宋体" w:cs="宋体"/>
          <w:b/>
          <w:bCs/>
          <w:color w:val="auto"/>
          <w:szCs w:val="28"/>
        </w:rPr>
        <w:t>投标人须知前附表第6条</w:t>
      </w:r>
      <w:r>
        <w:rPr>
          <w:rFonts w:hint="eastAsia" w:ascii="宋体" w:hAnsi="宋体" w:cs="宋体"/>
          <w:color w:val="auto"/>
          <w:szCs w:val="28"/>
        </w:rPr>
        <w:t>。如果允许联合体投标，联合体各方应符合下列要求：</w:t>
      </w:r>
    </w:p>
    <w:p w14:paraId="5A350ABF">
      <w:pPr>
        <w:spacing w:line="360" w:lineRule="auto"/>
        <w:ind w:firstLine="420"/>
        <w:rPr>
          <w:rFonts w:ascii="宋体" w:hAnsi="宋体" w:cs="宋体"/>
          <w:color w:val="auto"/>
          <w:szCs w:val="28"/>
        </w:rPr>
      </w:pPr>
      <w:r>
        <w:rPr>
          <w:rFonts w:hint="eastAsia" w:ascii="宋体" w:hAnsi="宋体" w:cs="宋体"/>
          <w:color w:val="auto"/>
          <w:szCs w:val="28"/>
        </w:rPr>
        <w:t>（1）以联合体形式参加投标的，联合体各方均应当符合政府采购法第二十二条第一款规定的条件，并按照</w:t>
      </w:r>
      <w:r>
        <w:rPr>
          <w:rFonts w:hint="eastAsia" w:ascii="宋体" w:hAnsi="宋体" w:cs="宋体"/>
          <w:b/>
          <w:bCs/>
          <w:color w:val="auto"/>
          <w:szCs w:val="28"/>
        </w:rPr>
        <w:t>投标人须知前附表</w:t>
      </w:r>
      <w:r>
        <w:rPr>
          <w:rFonts w:hint="eastAsia" w:ascii="宋体" w:hAnsi="宋体" w:cs="宋体"/>
          <w:color w:val="auto"/>
          <w:szCs w:val="28"/>
        </w:rPr>
        <w:t>要求提交相关文件。征集人根据采购项目的特殊要求规定投标人特定条件的，联合体各方中至少应当有一方符合征集人规定的特定条件。</w:t>
      </w:r>
    </w:p>
    <w:p w14:paraId="09913401">
      <w:pPr>
        <w:spacing w:line="360" w:lineRule="auto"/>
        <w:ind w:firstLine="420"/>
        <w:rPr>
          <w:rFonts w:ascii="宋体" w:hAnsi="宋体" w:cs="宋体"/>
          <w:color w:val="auto"/>
          <w:szCs w:val="28"/>
        </w:rPr>
      </w:pPr>
      <w:r>
        <w:rPr>
          <w:rFonts w:hint="eastAsia" w:ascii="宋体" w:hAnsi="宋体" w:cs="宋体"/>
          <w:color w:val="auto"/>
          <w:szCs w:val="28"/>
        </w:rPr>
        <w:t>（2）联合体中有同类资质的投标人按照联合体分工承担相同工作的，应当按照资质等级较低的投标人确定资质等级。</w:t>
      </w:r>
    </w:p>
    <w:p w14:paraId="74DEB2BA">
      <w:pPr>
        <w:spacing w:line="360" w:lineRule="auto"/>
        <w:ind w:firstLine="420"/>
        <w:rPr>
          <w:rFonts w:ascii="宋体" w:hAnsi="宋体" w:cs="宋体"/>
          <w:color w:val="auto"/>
          <w:szCs w:val="28"/>
        </w:rPr>
      </w:pPr>
      <w:r>
        <w:rPr>
          <w:rFonts w:hint="eastAsia" w:ascii="宋体" w:hAnsi="宋体" w:cs="宋体"/>
          <w:color w:val="auto"/>
          <w:szCs w:val="28"/>
        </w:rPr>
        <w:t>（3）以联合体形式参加政府采购活动的，联合体各方</w:t>
      </w:r>
      <w:r>
        <w:rPr>
          <w:rFonts w:hint="eastAsia" w:ascii="宋体" w:hAnsi="宋体" w:cs="宋体"/>
          <w:b/>
          <w:bCs/>
          <w:color w:val="auto"/>
          <w:szCs w:val="28"/>
        </w:rPr>
        <w:t>不得</w:t>
      </w:r>
      <w:r>
        <w:rPr>
          <w:rFonts w:hint="eastAsia" w:ascii="宋体" w:hAnsi="宋体" w:cs="宋体"/>
          <w:color w:val="auto"/>
          <w:szCs w:val="28"/>
        </w:rPr>
        <w:t>再单独参加或者与其他投标人另外组成联合体参加同一合同项下的政府采购活动。若该等情形被发现，其单独的投标和与此有关的联合体的投标均将被</w:t>
      </w:r>
      <w:r>
        <w:rPr>
          <w:rFonts w:hint="eastAsia" w:ascii="宋体" w:hAnsi="宋体" w:cs="宋体"/>
          <w:b/>
          <w:bCs/>
          <w:color w:val="auto"/>
          <w:szCs w:val="28"/>
        </w:rPr>
        <w:t>拒绝</w:t>
      </w:r>
      <w:r>
        <w:rPr>
          <w:rFonts w:hint="eastAsia" w:ascii="宋体" w:hAnsi="宋体" w:cs="宋体"/>
          <w:color w:val="auto"/>
          <w:szCs w:val="28"/>
        </w:rPr>
        <w:t>。</w:t>
      </w:r>
    </w:p>
    <w:p w14:paraId="2ACE0E3E">
      <w:pPr>
        <w:spacing w:line="360" w:lineRule="auto"/>
        <w:ind w:firstLine="420"/>
        <w:rPr>
          <w:rFonts w:ascii="宋体" w:hAnsi="宋体" w:cs="宋体"/>
          <w:color w:val="auto"/>
          <w:szCs w:val="28"/>
        </w:rPr>
      </w:pPr>
      <w:r>
        <w:rPr>
          <w:rFonts w:hint="eastAsia" w:ascii="宋体" w:hAnsi="宋体" w:cs="宋体"/>
          <w:color w:val="auto"/>
          <w:szCs w:val="28"/>
        </w:rPr>
        <w:t>（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14:paraId="1AAC61F3">
      <w:pPr>
        <w:spacing w:line="360" w:lineRule="auto"/>
        <w:ind w:firstLine="420"/>
        <w:rPr>
          <w:rFonts w:ascii="宋体" w:hAnsi="宋体" w:cs="宋体"/>
          <w:color w:val="auto"/>
          <w:szCs w:val="28"/>
        </w:rPr>
      </w:pPr>
      <w:r>
        <w:rPr>
          <w:rFonts w:hint="eastAsia" w:ascii="宋体" w:hAnsi="宋体" w:cs="宋体"/>
          <w:color w:val="auto"/>
          <w:szCs w:val="28"/>
        </w:rPr>
        <w:t>（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中心与采购人承担连带责任。</w:t>
      </w:r>
    </w:p>
    <w:p w14:paraId="145C302B">
      <w:pPr>
        <w:spacing w:line="360" w:lineRule="auto"/>
        <w:ind w:firstLine="420"/>
        <w:rPr>
          <w:rFonts w:ascii="宋体" w:hAnsi="宋体" w:cs="宋体"/>
          <w:color w:val="auto"/>
          <w:szCs w:val="21"/>
        </w:rPr>
      </w:pPr>
      <w:r>
        <w:rPr>
          <w:rFonts w:hint="eastAsia" w:ascii="宋体" w:hAnsi="宋体" w:cs="宋体"/>
          <w:color w:val="auto"/>
          <w:szCs w:val="28"/>
        </w:rPr>
        <w:t>2.8投标人应按照征集公告规定的方式获取征集文件。</w:t>
      </w:r>
    </w:p>
    <w:p w14:paraId="2709E7EA">
      <w:pPr>
        <w:spacing w:line="360" w:lineRule="auto"/>
        <w:rPr>
          <w:rFonts w:ascii="宋体" w:hAnsi="宋体" w:cs="宋体"/>
          <w:b/>
          <w:color w:val="auto"/>
          <w:szCs w:val="21"/>
        </w:rPr>
      </w:pPr>
      <w:r>
        <w:rPr>
          <w:rFonts w:hint="eastAsia" w:ascii="宋体" w:hAnsi="宋体" w:cs="宋体"/>
          <w:b/>
          <w:color w:val="auto"/>
          <w:szCs w:val="21"/>
        </w:rPr>
        <w:t>三、征集费用</w:t>
      </w:r>
    </w:p>
    <w:p w14:paraId="4645F523">
      <w:pPr>
        <w:spacing w:line="360" w:lineRule="auto"/>
        <w:ind w:firstLine="420"/>
        <w:rPr>
          <w:rFonts w:ascii="宋体" w:hAnsi="宋体" w:cs="宋体"/>
          <w:bCs/>
          <w:color w:val="auto"/>
          <w:szCs w:val="21"/>
        </w:rPr>
      </w:pPr>
      <w:r>
        <w:rPr>
          <w:rFonts w:hint="eastAsia" w:ascii="宋体" w:hAnsi="宋体" w:cs="宋体"/>
          <w:bCs/>
          <w:color w:val="auto"/>
          <w:szCs w:val="21"/>
        </w:rPr>
        <w:t>3.1投标人应自行承担其编制、提交投标文件以及参加征集活动所产生之一切费用。无论征集活动中的做法和结果如何(包括采购单位决定取消采购的)，采购人和采购中心对上述费用不负任何责任。</w:t>
      </w:r>
    </w:p>
    <w:p w14:paraId="42CF1B98">
      <w:pPr>
        <w:spacing w:line="360" w:lineRule="auto"/>
        <w:rPr>
          <w:rFonts w:hint="eastAsia" w:ascii="宋体" w:hAnsi="宋体" w:cs="宋体"/>
          <w:b/>
          <w:color w:val="auto"/>
          <w:szCs w:val="21"/>
        </w:rPr>
      </w:pPr>
      <w:r>
        <w:rPr>
          <w:rFonts w:hint="eastAsia" w:ascii="宋体" w:hAnsi="宋体" w:cs="宋体"/>
          <w:b/>
          <w:color w:val="auto"/>
          <w:szCs w:val="21"/>
        </w:rPr>
        <w:t>四、征集文件</w:t>
      </w:r>
    </w:p>
    <w:p w14:paraId="254A0B68">
      <w:pPr>
        <w:spacing w:line="360" w:lineRule="auto"/>
        <w:ind w:firstLine="210" w:firstLineChars="100"/>
        <w:rPr>
          <w:rFonts w:ascii="宋体" w:hAnsi="宋体" w:cs="宋体"/>
          <w:color w:val="auto"/>
          <w:szCs w:val="28"/>
        </w:rPr>
      </w:pPr>
      <w:r>
        <w:rPr>
          <w:rFonts w:hint="eastAsia" w:ascii="宋体" w:hAnsi="宋体" w:cs="宋体"/>
          <w:color w:val="auto"/>
          <w:szCs w:val="28"/>
        </w:rPr>
        <w:t>4.1征集文件由下列七部分内容组成：</w:t>
      </w:r>
    </w:p>
    <w:p w14:paraId="29FBA9EB">
      <w:pPr>
        <w:spacing w:line="360" w:lineRule="auto"/>
        <w:ind w:firstLine="1050"/>
        <w:rPr>
          <w:rFonts w:ascii="宋体" w:hAnsi="宋体" w:cs="宋体"/>
          <w:color w:val="auto"/>
          <w:szCs w:val="28"/>
        </w:rPr>
      </w:pPr>
      <w:r>
        <w:rPr>
          <w:rFonts w:hint="eastAsia" w:ascii="宋体" w:hAnsi="宋体" w:cs="宋体"/>
          <w:color w:val="auto"/>
          <w:szCs w:val="28"/>
        </w:rPr>
        <w:fldChar w:fldCharType="begin"/>
      </w:r>
      <w:r>
        <w:rPr>
          <w:rFonts w:hint="eastAsia" w:ascii="宋体" w:hAnsi="宋体" w:cs="宋体"/>
          <w:color w:val="auto"/>
          <w:szCs w:val="28"/>
        </w:rPr>
        <w:instrText xml:space="preserve"> TOC \o "1-2" \h \z \u </w:instrText>
      </w:r>
      <w:r>
        <w:rPr>
          <w:rFonts w:hint="eastAsia" w:ascii="宋体" w:hAnsi="宋体" w:cs="宋体"/>
          <w:color w:val="auto"/>
          <w:szCs w:val="28"/>
        </w:rPr>
        <w:fldChar w:fldCharType="separate"/>
      </w:r>
      <w:r>
        <w:rPr>
          <w:color w:val="auto"/>
        </w:rPr>
        <w:fldChar w:fldCharType="begin"/>
      </w:r>
      <w:r>
        <w:rPr>
          <w:color w:val="auto"/>
        </w:rPr>
        <w:instrText xml:space="preserve"> HYPERLINK \l "_Toc214163612" \o "#_Toc214163612" </w:instrText>
      </w:r>
      <w:r>
        <w:rPr>
          <w:color w:val="auto"/>
        </w:rPr>
        <w:fldChar w:fldCharType="separate"/>
      </w:r>
      <w:r>
        <w:rPr>
          <w:rFonts w:hint="eastAsia" w:ascii="宋体" w:hAnsi="宋体" w:cs="宋体"/>
          <w:color w:val="auto"/>
          <w:szCs w:val="28"/>
        </w:rPr>
        <w:t>第一部分 投标邀请</w:t>
      </w:r>
      <w:r>
        <w:rPr>
          <w:rFonts w:hint="eastAsia" w:ascii="宋体" w:hAnsi="宋体" w:cs="宋体"/>
          <w:color w:val="auto"/>
          <w:szCs w:val="28"/>
        </w:rPr>
        <w:fldChar w:fldCharType="end"/>
      </w:r>
    </w:p>
    <w:p w14:paraId="07B934AC">
      <w:pPr>
        <w:spacing w:line="360" w:lineRule="auto"/>
        <w:ind w:firstLine="1050"/>
        <w:rPr>
          <w:rFonts w:ascii="宋体" w:hAnsi="宋体" w:cs="宋体"/>
          <w:color w:val="auto"/>
          <w:szCs w:val="28"/>
        </w:rPr>
      </w:pPr>
      <w:r>
        <w:rPr>
          <w:color w:val="auto"/>
        </w:rPr>
        <w:fldChar w:fldCharType="begin"/>
      </w:r>
      <w:r>
        <w:rPr>
          <w:color w:val="auto"/>
        </w:rPr>
        <w:instrText xml:space="preserve"> HYPERLINK \l "_Toc214163613" \o "#_Toc214163613" </w:instrText>
      </w:r>
      <w:r>
        <w:rPr>
          <w:color w:val="auto"/>
        </w:rPr>
        <w:fldChar w:fldCharType="separate"/>
      </w:r>
      <w:r>
        <w:rPr>
          <w:rFonts w:hint="eastAsia" w:ascii="宋体" w:hAnsi="宋体" w:cs="宋体"/>
          <w:color w:val="auto"/>
          <w:szCs w:val="28"/>
        </w:rPr>
        <w:t>第二部分 投标人须知前附表</w:t>
      </w:r>
      <w:r>
        <w:rPr>
          <w:rFonts w:hint="eastAsia" w:ascii="宋体" w:hAnsi="宋体" w:cs="宋体"/>
          <w:color w:val="auto"/>
          <w:szCs w:val="28"/>
        </w:rPr>
        <w:fldChar w:fldCharType="end"/>
      </w:r>
    </w:p>
    <w:p w14:paraId="6374D079">
      <w:pPr>
        <w:spacing w:line="360" w:lineRule="auto"/>
        <w:ind w:firstLine="1050"/>
        <w:rPr>
          <w:rFonts w:ascii="宋体" w:hAnsi="宋体" w:cs="宋体"/>
          <w:color w:val="auto"/>
          <w:szCs w:val="28"/>
        </w:rPr>
      </w:pPr>
      <w:r>
        <w:rPr>
          <w:color w:val="auto"/>
        </w:rPr>
        <w:fldChar w:fldCharType="begin"/>
      </w:r>
      <w:r>
        <w:rPr>
          <w:color w:val="auto"/>
        </w:rPr>
        <w:instrText xml:space="preserve"> HYPERLINK \l "_Toc214163628" \o "#_Toc214163628" </w:instrText>
      </w:r>
      <w:r>
        <w:rPr>
          <w:color w:val="auto"/>
        </w:rPr>
        <w:fldChar w:fldCharType="separate"/>
      </w:r>
      <w:r>
        <w:rPr>
          <w:rFonts w:hint="eastAsia" w:ascii="宋体" w:hAnsi="宋体" w:cs="宋体"/>
          <w:color w:val="auto"/>
          <w:szCs w:val="28"/>
        </w:rPr>
        <w:t>第三部分 投标人须知</w:t>
      </w:r>
      <w:r>
        <w:rPr>
          <w:rFonts w:hint="eastAsia" w:ascii="宋体" w:hAnsi="宋体" w:cs="宋体"/>
          <w:color w:val="auto"/>
          <w:szCs w:val="28"/>
        </w:rPr>
        <w:fldChar w:fldCharType="end"/>
      </w:r>
    </w:p>
    <w:p w14:paraId="6F5F7CFE">
      <w:pPr>
        <w:spacing w:line="360" w:lineRule="auto"/>
        <w:ind w:firstLine="1050"/>
        <w:rPr>
          <w:rFonts w:ascii="宋体" w:hAnsi="宋体" w:cs="宋体"/>
          <w:color w:val="auto"/>
          <w:szCs w:val="28"/>
        </w:rPr>
      </w:pPr>
      <w:r>
        <w:rPr>
          <w:rFonts w:hint="eastAsia" w:ascii="宋体" w:hAnsi="宋体" w:cs="宋体"/>
          <w:color w:val="auto"/>
          <w:szCs w:val="28"/>
        </w:rPr>
        <w:t>第四部分 采购需求</w:t>
      </w:r>
    </w:p>
    <w:p w14:paraId="3E296761">
      <w:pPr>
        <w:spacing w:line="360" w:lineRule="auto"/>
        <w:ind w:firstLine="1050"/>
        <w:rPr>
          <w:rFonts w:ascii="宋体" w:hAnsi="宋体" w:cs="宋体"/>
          <w:color w:val="auto"/>
          <w:szCs w:val="28"/>
        </w:rPr>
      </w:pPr>
      <w:r>
        <w:rPr>
          <w:rFonts w:hint="eastAsia" w:ascii="宋体" w:hAnsi="宋体" w:cs="宋体"/>
          <w:color w:val="auto"/>
          <w:szCs w:val="28"/>
        </w:rPr>
        <w:t xml:space="preserve">第五部分 </w:t>
      </w:r>
      <w:r>
        <w:rPr>
          <w:rFonts w:hint="eastAsia" w:ascii="宋体" w:hAnsi="宋体" w:cs="宋体"/>
          <w:color w:val="auto"/>
        </w:rPr>
        <w:t>评标方法和评标标准</w:t>
      </w:r>
    </w:p>
    <w:p w14:paraId="176C9B70">
      <w:pPr>
        <w:spacing w:line="360" w:lineRule="auto"/>
        <w:ind w:firstLine="1050"/>
        <w:rPr>
          <w:rFonts w:ascii="宋体" w:hAnsi="宋体" w:cs="宋体"/>
          <w:color w:val="auto"/>
          <w:szCs w:val="28"/>
        </w:rPr>
      </w:pPr>
      <w:r>
        <w:rPr>
          <w:color w:val="auto"/>
        </w:rPr>
        <w:fldChar w:fldCharType="begin"/>
      </w:r>
      <w:r>
        <w:rPr>
          <w:color w:val="auto"/>
        </w:rPr>
        <w:instrText xml:space="preserve"> HYPERLINK \l "_Toc214163666" \o "#_Toc214163666" </w:instrText>
      </w:r>
      <w:r>
        <w:rPr>
          <w:color w:val="auto"/>
        </w:rPr>
        <w:fldChar w:fldCharType="separate"/>
      </w:r>
      <w:r>
        <w:rPr>
          <w:rFonts w:hint="eastAsia" w:ascii="宋体" w:hAnsi="宋体" w:cs="宋体"/>
          <w:color w:val="auto"/>
          <w:szCs w:val="28"/>
        </w:rPr>
        <w:t>第六部分 框架</w:t>
      </w:r>
      <w:r>
        <w:rPr>
          <w:rFonts w:hint="eastAsia" w:ascii="宋体" w:hAnsi="宋体" w:cs="宋体"/>
          <w:color w:val="auto"/>
          <w:szCs w:val="28"/>
        </w:rPr>
        <w:fldChar w:fldCharType="end"/>
      </w:r>
      <w:r>
        <w:rPr>
          <w:rFonts w:hint="eastAsia" w:ascii="宋体" w:hAnsi="宋体" w:cs="宋体"/>
          <w:color w:val="auto"/>
          <w:szCs w:val="28"/>
        </w:rPr>
        <w:t>协议（范本）</w:t>
      </w:r>
    </w:p>
    <w:p w14:paraId="79C94EB8">
      <w:pPr>
        <w:spacing w:line="360" w:lineRule="auto"/>
        <w:ind w:firstLine="1050"/>
        <w:rPr>
          <w:rFonts w:ascii="宋体" w:hAnsi="宋体" w:cs="宋体"/>
          <w:color w:val="auto"/>
        </w:rPr>
      </w:pPr>
      <w:r>
        <w:rPr>
          <w:color w:val="auto"/>
        </w:rPr>
        <w:fldChar w:fldCharType="begin"/>
      </w:r>
      <w:r>
        <w:rPr>
          <w:color w:val="auto"/>
        </w:rPr>
        <w:instrText xml:space="preserve"> HYPERLINK \l "_Toc214163670" \o "#_Toc214163670" </w:instrText>
      </w:r>
      <w:r>
        <w:rPr>
          <w:color w:val="auto"/>
        </w:rPr>
        <w:fldChar w:fldCharType="separate"/>
      </w:r>
      <w:r>
        <w:rPr>
          <w:rFonts w:hint="eastAsia" w:ascii="宋体" w:hAnsi="宋体" w:cs="宋体"/>
          <w:color w:val="auto"/>
          <w:szCs w:val="28"/>
        </w:rPr>
        <w:t>第七部分 投标文件组成</w:t>
      </w:r>
      <w:r>
        <w:rPr>
          <w:rFonts w:hint="eastAsia" w:ascii="宋体" w:hAnsi="宋体" w:cs="宋体"/>
          <w:color w:val="auto"/>
          <w:szCs w:val="28"/>
        </w:rPr>
        <w:fldChar w:fldCharType="end"/>
      </w:r>
      <w:r>
        <w:rPr>
          <w:rFonts w:hint="eastAsia" w:ascii="宋体" w:hAnsi="宋体" w:cs="宋体"/>
          <w:color w:val="auto"/>
          <w:szCs w:val="28"/>
        </w:rPr>
        <w:fldChar w:fldCharType="end"/>
      </w:r>
    </w:p>
    <w:p w14:paraId="31553F6A">
      <w:pPr>
        <w:spacing w:line="360" w:lineRule="auto"/>
        <w:ind w:firstLine="210"/>
        <w:rPr>
          <w:rFonts w:ascii="宋体" w:hAnsi="宋体" w:cs="宋体"/>
          <w:color w:val="auto"/>
          <w:szCs w:val="28"/>
        </w:rPr>
      </w:pPr>
      <w:r>
        <w:rPr>
          <w:rFonts w:hint="eastAsia" w:ascii="宋体" w:hAnsi="宋体" w:cs="宋体"/>
          <w:color w:val="auto"/>
          <w:szCs w:val="28"/>
        </w:rPr>
        <w:t>4.2征集文件的澄清和修正</w:t>
      </w:r>
    </w:p>
    <w:p w14:paraId="47DCEFD7">
      <w:pPr>
        <w:spacing w:line="360" w:lineRule="auto"/>
        <w:ind w:firstLine="630"/>
        <w:rPr>
          <w:rFonts w:ascii="宋体" w:hAnsi="宋体" w:cs="宋体"/>
          <w:bCs/>
          <w:color w:val="auto"/>
          <w:szCs w:val="21"/>
        </w:rPr>
      </w:pPr>
      <w:r>
        <w:rPr>
          <w:rFonts w:hint="eastAsia" w:ascii="宋体" w:hAnsi="宋体" w:cs="宋体"/>
          <w:color w:val="auto"/>
          <w:szCs w:val="28"/>
        </w:rPr>
        <w:t>（1）</w:t>
      </w:r>
      <w:r>
        <w:rPr>
          <w:rFonts w:hint="eastAsia" w:ascii="宋体" w:hAnsi="宋体" w:cs="宋体"/>
          <w:bCs/>
          <w:color w:val="auto"/>
          <w:szCs w:val="21"/>
        </w:rPr>
        <w:t>投标人在收到征集文件后，如有疑问需要澄清，应在答疑规定的时间前以书面形式向采购人提出，如无疑问，视作投标人完全认可征集文件的条款和要求。采购人作出的澄清或修改将公告通知所有征集文件收受人。</w:t>
      </w:r>
    </w:p>
    <w:p w14:paraId="0C869356">
      <w:pPr>
        <w:spacing w:line="360" w:lineRule="auto"/>
        <w:ind w:firstLine="630"/>
        <w:rPr>
          <w:rFonts w:ascii="宋体" w:hAnsi="宋体" w:cs="宋体"/>
          <w:bCs/>
          <w:color w:val="auto"/>
          <w:szCs w:val="21"/>
        </w:rPr>
      </w:pPr>
      <w:r>
        <w:rPr>
          <w:rFonts w:hint="eastAsia" w:ascii="宋体" w:hAnsi="宋体" w:cs="宋体"/>
          <w:color w:val="auto"/>
          <w:szCs w:val="28"/>
        </w:rPr>
        <w:t>（2）</w:t>
      </w:r>
      <w:r>
        <w:rPr>
          <w:rFonts w:hint="eastAsia" w:ascii="宋体" w:hAnsi="宋体" w:cs="宋体"/>
          <w:bCs/>
          <w:color w:val="auto"/>
          <w:szCs w:val="21"/>
        </w:rPr>
        <w:t>在投标截止时间前无论出于何种原因采购人可对征集文件进行澄清或修正，根据具体情况，可酌情延长投标截止时间。</w:t>
      </w:r>
    </w:p>
    <w:p w14:paraId="49DC175A">
      <w:pPr>
        <w:spacing w:line="360" w:lineRule="auto"/>
        <w:ind w:firstLine="630"/>
        <w:rPr>
          <w:rFonts w:ascii="宋体" w:hAnsi="宋体" w:cs="宋体"/>
          <w:bCs/>
          <w:color w:val="auto"/>
          <w:szCs w:val="21"/>
        </w:rPr>
      </w:pPr>
      <w:r>
        <w:rPr>
          <w:rFonts w:hint="eastAsia" w:ascii="宋体" w:hAnsi="宋体" w:cs="宋体"/>
          <w:color w:val="auto"/>
          <w:szCs w:val="28"/>
        </w:rPr>
        <w:t>（3）</w:t>
      </w:r>
      <w:r>
        <w:rPr>
          <w:rFonts w:hint="eastAsia" w:ascii="宋体" w:hAnsi="宋体" w:cs="宋体"/>
          <w:bCs/>
          <w:color w:val="auto"/>
          <w:szCs w:val="21"/>
        </w:rPr>
        <w:t>征集文件及征集文件的澄清、修改、补充等内容均以常州市政府采购网或</w:t>
      </w:r>
      <w:r>
        <w:rPr>
          <w:rFonts w:hint="eastAsia" w:ascii="宋体" w:hAnsi="宋体" w:cs="宋体"/>
          <w:color w:val="auto"/>
          <w:szCs w:val="21"/>
        </w:rPr>
        <w:t>江苏政府采购网</w:t>
      </w:r>
      <w:r>
        <w:rPr>
          <w:rFonts w:hint="eastAsia" w:ascii="宋体" w:hAnsi="宋体" w:cs="宋体"/>
          <w:bCs/>
          <w:color w:val="auto"/>
          <w:szCs w:val="21"/>
        </w:rPr>
        <w:t>发布的内容为准。</w:t>
      </w:r>
    </w:p>
    <w:p w14:paraId="3286D6A4">
      <w:pPr>
        <w:spacing w:line="360" w:lineRule="auto"/>
        <w:ind w:firstLine="630"/>
        <w:rPr>
          <w:rFonts w:ascii="宋体" w:hAnsi="宋体" w:cs="宋体"/>
          <w:bCs/>
          <w:color w:val="auto"/>
          <w:szCs w:val="21"/>
        </w:rPr>
      </w:pPr>
      <w:r>
        <w:rPr>
          <w:rFonts w:hint="eastAsia" w:ascii="宋体" w:hAnsi="宋体" w:cs="宋体"/>
          <w:color w:val="auto"/>
          <w:szCs w:val="28"/>
        </w:rPr>
        <w:t>（4）</w:t>
      </w:r>
      <w:r>
        <w:rPr>
          <w:rFonts w:hint="eastAsia" w:ascii="宋体" w:hAnsi="宋体" w:cs="宋体"/>
          <w:bCs/>
          <w:color w:val="auto"/>
          <w:szCs w:val="21"/>
        </w:rPr>
        <w:t>征集文件的更正（含澄清、修改等）内容与原征集文件在同一内容上表述不一致时，以发出日期最接近开标时间的公告为准。征集文件的更正（含澄清、修改等）内容将在财政部门指定的政府采购信息发布媒体上发布，作为征集文件的组成部分，对投标人起约束作用。</w:t>
      </w:r>
    </w:p>
    <w:p w14:paraId="415297B3">
      <w:pPr>
        <w:spacing w:line="360" w:lineRule="auto"/>
        <w:rPr>
          <w:rFonts w:ascii="宋体" w:hAnsi="宋体" w:cs="宋体"/>
          <w:b/>
          <w:color w:val="auto"/>
          <w:szCs w:val="21"/>
        </w:rPr>
      </w:pPr>
      <w:r>
        <w:rPr>
          <w:rFonts w:hint="eastAsia" w:ascii="宋体" w:hAnsi="宋体" w:cs="宋体"/>
          <w:b/>
          <w:color w:val="auto"/>
          <w:szCs w:val="21"/>
        </w:rPr>
        <w:t>五、投标人的义务</w:t>
      </w:r>
    </w:p>
    <w:p w14:paraId="69F8507A">
      <w:pPr>
        <w:spacing w:line="360" w:lineRule="auto"/>
        <w:ind w:firstLine="420"/>
        <w:rPr>
          <w:rFonts w:ascii="宋体" w:hAnsi="宋体" w:cs="宋体"/>
          <w:color w:val="auto"/>
          <w:szCs w:val="21"/>
        </w:rPr>
      </w:pPr>
      <w:r>
        <w:rPr>
          <w:rFonts w:hint="eastAsia" w:ascii="宋体" w:hAnsi="宋体" w:cs="宋体"/>
          <w:color w:val="auto"/>
          <w:szCs w:val="21"/>
        </w:rPr>
        <w:t>5.1</w:t>
      </w:r>
      <w:r>
        <w:rPr>
          <w:rFonts w:hint="eastAsia" w:ascii="宋体" w:hAnsi="宋体" w:cs="宋体"/>
          <w:bCs/>
          <w:color w:val="auto"/>
          <w:szCs w:val="21"/>
        </w:rPr>
        <w:t>投标人</w:t>
      </w:r>
      <w:r>
        <w:rPr>
          <w:rFonts w:hint="eastAsia" w:ascii="宋体" w:hAnsi="宋体" w:cs="宋体"/>
          <w:color w:val="auto"/>
          <w:szCs w:val="21"/>
        </w:rPr>
        <w:t>应当认真阅读征集文件，完全明了采购项目之名称、用途、服务和服务期限等需求，完全明了</w:t>
      </w:r>
      <w:r>
        <w:rPr>
          <w:rFonts w:hint="eastAsia" w:ascii="宋体" w:hAnsi="宋体" w:cs="宋体"/>
          <w:bCs/>
          <w:color w:val="auto"/>
          <w:szCs w:val="21"/>
        </w:rPr>
        <w:t>投标人</w:t>
      </w:r>
      <w:r>
        <w:rPr>
          <w:rFonts w:hint="eastAsia" w:ascii="宋体" w:hAnsi="宋体" w:cs="宋体"/>
          <w:color w:val="auto"/>
          <w:szCs w:val="21"/>
        </w:rPr>
        <w:t>所应具备的资格条件。</w:t>
      </w:r>
    </w:p>
    <w:p w14:paraId="0A54AE30">
      <w:pPr>
        <w:spacing w:line="360" w:lineRule="auto"/>
        <w:ind w:firstLine="420"/>
        <w:rPr>
          <w:rFonts w:ascii="宋体" w:hAnsi="宋体" w:cs="宋体"/>
          <w:color w:val="auto"/>
          <w:szCs w:val="21"/>
        </w:rPr>
      </w:pPr>
      <w:r>
        <w:rPr>
          <w:rFonts w:hint="eastAsia" w:ascii="宋体" w:hAnsi="宋体" w:cs="宋体"/>
          <w:color w:val="auto"/>
          <w:szCs w:val="21"/>
        </w:rPr>
        <w:t>5.2</w:t>
      </w:r>
      <w:r>
        <w:rPr>
          <w:rFonts w:hint="eastAsia" w:ascii="宋体" w:hAnsi="宋体" w:cs="宋体"/>
          <w:bCs/>
          <w:color w:val="auto"/>
          <w:szCs w:val="21"/>
        </w:rPr>
        <w:t>投标人</w:t>
      </w:r>
      <w:r>
        <w:rPr>
          <w:rFonts w:hint="eastAsia" w:ascii="宋体" w:hAnsi="宋体" w:cs="宋体"/>
          <w:color w:val="auto"/>
          <w:szCs w:val="21"/>
        </w:rPr>
        <w:t>应当按照征集文件的要求编制投标文件。投标文件应对征集文件提出的实质性要求和条件作出完全投标。</w:t>
      </w:r>
    </w:p>
    <w:p w14:paraId="122BABC8">
      <w:pPr>
        <w:spacing w:line="360" w:lineRule="auto"/>
        <w:ind w:firstLine="420"/>
        <w:rPr>
          <w:rFonts w:ascii="宋体" w:hAnsi="宋体" w:cs="宋体"/>
          <w:color w:val="auto"/>
          <w:szCs w:val="21"/>
        </w:rPr>
      </w:pPr>
      <w:r>
        <w:rPr>
          <w:rFonts w:hint="eastAsia" w:ascii="宋体" w:hAnsi="宋体" w:cs="宋体"/>
          <w:color w:val="auto"/>
          <w:szCs w:val="21"/>
        </w:rPr>
        <w:t>5.3</w:t>
      </w:r>
      <w:r>
        <w:rPr>
          <w:rFonts w:hint="eastAsia" w:ascii="宋体" w:hAnsi="宋体"/>
          <w:color w:val="auto"/>
          <w:szCs w:val="21"/>
        </w:rPr>
        <w:t>投标人</w:t>
      </w:r>
      <w:r>
        <w:rPr>
          <w:rFonts w:ascii="宋体" w:hAnsi="宋体"/>
          <w:color w:val="auto"/>
          <w:szCs w:val="21"/>
        </w:rPr>
        <w:t>应在</w:t>
      </w:r>
      <w:r>
        <w:rPr>
          <w:rFonts w:hint="eastAsia" w:ascii="宋体" w:hAnsi="宋体"/>
          <w:color w:val="auto"/>
          <w:szCs w:val="21"/>
        </w:rPr>
        <w:t>投标</w:t>
      </w:r>
      <w:r>
        <w:rPr>
          <w:rFonts w:ascii="宋体" w:hAnsi="宋体"/>
          <w:color w:val="auto"/>
          <w:szCs w:val="21"/>
        </w:rPr>
        <w:t>文件提交截止时间前，将</w:t>
      </w:r>
      <w:r>
        <w:rPr>
          <w:rFonts w:hint="eastAsia" w:ascii="宋体" w:hAnsi="宋体"/>
          <w:color w:val="auto"/>
          <w:szCs w:val="21"/>
        </w:rPr>
        <w:t>加密</w:t>
      </w:r>
      <w:r>
        <w:rPr>
          <w:rFonts w:ascii="宋体" w:hAnsi="宋体"/>
          <w:color w:val="auto"/>
          <w:szCs w:val="21"/>
        </w:rPr>
        <w:t>的</w:t>
      </w:r>
      <w:r>
        <w:rPr>
          <w:rFonts w:hint="eastAsia" w:ascii="宋体" w:hAnsi="宋体"/>
          <w:color w:val="auto"/>
          <w:szCs w:val="21"/>
        </w:rPr>
        <w:t>电子投标</w:t>
      </w:r>
      <w:r>
        <w:rPr>
          <w:rFonts w:ascii="宋体" w:hAnsi="宋体"/>
          <w:color w:val="auto"/>
          <w:szCs w:val="21"/>
        </w:rPr>
        <w:t>文件</w:t>
      </w:r>
      <w:r>
        <w:rPr>
          <w:rFonts w:hint="eastAsia" w:ascii="宋体" w:hAnsi="宋体"/>
          <w:color w:val="auto"/>
          <w:szCs w:val="21"/>
        </w:rPr>
        <w:t>系统上传</w:t>
      </w:r>
      <w:r>
        <w:rPr>
          <w:rFonts w:ascii="宋体" w:hAnsi="宋体"/>
          <w:color w:val="auto"/>
          <w:szCs w:val="21"/>
        </w:rPr>
        <w:t>。</w:t>
      </w:r>
    </w:p>
    <w:p w14:paraId="5B680D4F">
      <w:pPr>
        <w:spacing w:line="360" w:lineRule="auto"/>
        <w:ind w:firstLine="420"/>
        <w:rPr>
          <w:rFonts w:ascii="宋体" w:hAnsi="宋体" w:cs="宋体"/>
          <w:color w:val="auto"/>
          <w:szCs w:val="21"/>
        </w:rPr>
      </w:pPr>
      <w:r>
        <w:rPr>
          <w:rFonts w:hint="eastAsia" w:ascii="宋体" w:hAnsi="宋体" w:cs="宋体"/>
          <w:color w:val="auto"/>
          <w:szCs w:val="21"/>
        </w:rPr>
        <w:t>5.4</w:t>
      </w:r>
      <w:r>
        <w:rPr>
          <w:rFonts w:hint="eastAsia" w:ascii="宋体" w:hAnsi="宋体" w:cs="宋体"/>
          <w:bCs/>
          <w:color w:val="auto"/>
          <w:szCs w:val="21"/>
        </w:rPr>
        <w:t>投标人</w:t>
      </w:r>
      <w:r>
        <w:rPr>
          <w:rFonts w:hint="eastAsia" w:ascii="宋体" w:hAnsi="宋体" w:cs="宋体"/>
          <w:color w:val="auto"/>
          <w:szCs w:val="21"/>
        </w:rPr>
        <w:t>不得相互串通投标报价，不得排挤其他</w:t>
      </w:r>
      <w:r>
        <w:rPr>
          <w:rFonts w:hint="eastAsia" w:ascii="宋体" w:hAnsi="宋体" w:cs="宋体"/>
          <w:bCs/>
          <w:color w:val="auto"/>
          <w:szCs w:val="21"/>
        </w:rPr>
        <w:t>投标人</w:t>
      </w:r>
      <w:r>
        <w:rPr>
          <w:rFonts w:hint="eastAsia" w:ascii="宋体" w:hAnsi="宋体" w:cs="宋体"/>
          <w:color w:val="auto"/>
          <w:szCs w:val="21"/>
        </w:rPr>
        <w:t>的公平竞争，损害征集人或者其他</w:t>
      </w:r>
      <w:r>
        <w:rPr>
          <w:rFonts w:hint="eastAsia" w:ascii="宋体" w:hAnsi="宋体" w:cs="宋体"/>
          <w:bCs/>
          <w:color w:val="auto"/>
          <w:szCs w:val="21"/>
        </w:rPr>
        <w:t>投标人</w:t>
      </w:r>
      <w:r>
        <w:rPr>
          <w:rFonts w:hint="eastAsia" w:ascii="宋体" w:hAnsi="宋体" w:cs="宋体"/>
          <w:color w:val="auto"/>
          <w:szCs w:val="21"/>
        </w:rPr>
        <w:t>合法权益。</w:t>
      </w:r>
      <w:r>
        <w:rPr>
          <w:rFonts w:hint="eastAsia" w:ascii="宋体" w:hAnsi="宋体" w:cs="宋体"/>
          <w:bCs/>
          <w:color w:val="auto"/>
          <w:szCs w:val="21"/>
        </w:rPr>
        <w:t>投标人</w:t>
      </w:r>
      <w:r>
        <w:rPr>
          <w:rFonts w:hint="eastAsia" w:ascii="宋体" w:hAnsi="宋体" w:cs="宋体"/>
          <w:color w:val="auto"/>
          <w:szCs w:val="21"/>
        </w:rPr>
        <w:t>不得与征集人串通，损害国家利益，公众利益或者他人的合法权益。</w:t>
      </w:r>
    </w:p>
    <w:p w14:paraId="110B499F">
      <w:pPr>
        <w:spacing w:line="360" w:lineRule="auto"/>
        <w:ind w:firstLine="420"/>
        <w:rPr>
          <w:rFonts w:ascii="宋体" w:hAnsi="宋体" w:cs="宋体"/>
          <w:color w:val="auto"/>
          <w:spacing w:val="-6"/>
          <w:sz w:val="40"/>
          <w:szCs w:val="44"/>
        </w:rPr>
      </w:pPr>
      <w:r>
        <w:rPr>
          <w:rFonts w:hint="eastAsia" w:ascii="宋体" w:hAnsi="宋体" w:cs="宋体"/>
          <w:color w:val="auto"/>
          <w:szCs w:val="21"/>
        </w:rPr>
        <w:t>5.5</w:t>
      </w:r>
      <w:r>
        <w:rPr>
          <w:rFonts w:hint="eastAsia" w:ascii="宋体" w:hAnsi="宋体" w:cs="宋体"/>
          <w:bCs/>
          <w:color w:val="auto"/>
          <w:szCs w:val="21"/>
        </w:rPr>
        <w:t>投标人</w:t>
      </w:r>
      <w:r>
        <w:rPr>
          <w:rFonts w:hint="eastAsia" w:ascii="宋体" w:hAnsi="宋体" w:cs="宋体"/>
          <w:color w:val="auto"/>
          <w:szCs w:val="21"/>
        </w:rPr>
        <w:t>在投标文件提交截止时间前，对所提交的投标文件可以补充、修改或者撤回，并书面通知采购中心。补充、修改的内容为投标文件的组成部分。</w:t>
      </w:r>
    </w:p>
    <w:p w14:paraId="1518DA63">
      <w:pPr>
        <w:spacing w:line="360" w:lineRule="auto"/>
        <w:rPr>
          <w:rFonts w:ascii="宋体" w:hAnsi="宋体" w:cs="宋体"/>
          <w:b/>
          <w:color w:val="auto"/>
          <w:szCs w:val="21"/>
        </w:rPr>
      </w:pPr>
      <w:bookmarkStart w:id="34" w:name="_Toc288738405"/>
      <w:bookmarkStart w:id="35" w:name="_Toc288738799"/>
      <w:bookmarkStart w:id="36" w:name="_Toc288738331"/>
      <w:r>
        <w:rPr>
          <w:rFonts w:hint="eastAsia" w:ascii="宋体" w:hAnsi="宋体" w:cs="宋体"/>
          <w:b/>
          <w:color w:val="auto"/>
          <w:szCs w:val="21"/>
        </w:rPr>
        <w:t>六、投标文件组成</w:t>
      </w:r>
      <w:bookmarkEnd w:id="34"/>
      <w:bookmarkEnd w:id="35"/>
      <w:bookmarkEnd w:id="36"/>
      <w:r>
        <w:rPr>
          <w:rFonts w:hint="eastAsia" w:ascii="宋体" w:hAnsi="宋体" w:cs="宋体"/>
          <w:b/>
          <w:bCs/>
          <w:color w:val="auto"/>
        </w:rPr>
        <w:t>及相关要求</w:t>
      </w:r>
    </w:p>
    <w:p w14:paraId="7D24F7CA">
      <w:pPr>
        <w:spacing w:line="360" w:lineRule="auto"/>
        <w:ind w:firstLine="420"/>
        <w:rPr>
          <w:rFonts w:ascii="宋体" w:hAnsi="宋体" w:cs="宋体"/>
          <w:color w:val="auto"/>
          <w:szCs w:val="21"/>
        </w:rPr>
      </w:pPr>
      <w:r>
        <w:rPr>
          <w:rFonts w:hint="eastAsia" w:ascii="宋体" w:hAnsi="宋体" w:cs="宋体"/>
          <w:color w:val="auto"/>
          <w:szCs w:val="21"/>
        </w:rPr>
        <w:t>6.1投标文件组成为投标文件格式、资性证明文件格式、符合证明文件格式。三部分内容指投标人提交的证明其有资格参加投标和中标后有能力履行合同以及能够证明投标人提供的服务符合征集文件规定的文件等材料。本次征集，投标人应按</w:t>
      </w:r>
      <w:r>
        <w:rPr>
          <w:rFonts w:hint="eastAsia" w:ascii="宋体" w:hAnsi="宋体" w:cs="宋体"/>
          <w:b/>
          <w:bCs/>
          <w:color w:val="auto"/>
          <w:szCs w:val="21"/>
        </w:rPr>
        <w:t>投标人须知前附表第7至9条</w:t>
      </w:r>
      <w:r>
        <w:rPr>
          <w:rFonts w:hint="eastAsia" w:ascii="宋体" w:hAnsi="宋体" w:cs="宋体"/>
          <w:color w:val="auto"/>
          <w:szCs w:val="21"/>
        </w:rPr>
        <w:t>规定提交投标文件格式、资性证明文件格式、符合证明文件格式材料，其中加*项目若有缺失或无效，将导致投标被拒绝且不允许在开标后补正（具体填写要求详见征集文件第七部分）。</w:t>
      </w:r>
    </w:p>
    <w:p w14:paraId="7BA78870">
      <w:pPr>
        <w:spacing w:line="360" w:lineRule="auto"/>
        <w:ind w:firstLine="420"/>
        <w:rPr>
          <w:rFonts w:ascii="宋体" w:hAnsi="宋体" w:cs="宋体"/>
          <w:color w:val="auto"/>
          <w:szCs w:val="21"/>
        </w:rPr>
      </w:pPr>
      <w:r>
        <w:rPr>
          <w:rFonts w:hint="eastAsia" w:ascii="宋体" w:hAnsi="宋体" w:cs="宋体"/>
          <w:color w:val="auto"/>
          <w:szCs w:val="21"/>
        </w:rPr>
        <w:t>6.2投标文件规格幅面（A4），按照征集文件第七部分对投标文件格式部分规定的顺序统一编制。由于编排混乱导致投标文件被误读或查找不到，责任应当由投标人承担。</w:t>
      </w:r>
    </w:p>
    <w:p w14:paraId="4363B155">
      <w:pPr>
        <w:spacing w:line="360" w:lineRule="auto"/>
        <w:ind w:firstLine="420"/>
        <w:rPr>
          <w:rFonts w:ascii="宋体" w:hAnsi="宋体" w:cs="宋体"/>
          <w:color w:val="auto"/>
          <w:szCs w:val="21"/>
        </w:rPr>
      </w:pPr>
      <w:bookmarkStart w:id="37" w:name="_Toc288738800"/>
      <w:bookmarkStart w:id="38" w:name="_Toc288738332"/>
      <w:bookmarkStart w:id="39" w:name="_Toc288738406"/>
      <w:r>
        <w:rPr>
          <w:rFonts w:hint="eastAsia" w:ascii="宋体" w:hAnsi="宋体" w:cs="宋体"/>
          <w:color w:val="auto"/>
          <w:szCs w:val="21"/>
        </w:rPr>
        <w:t>6.3投标报价：</w:t>
      </w:r>
    </w:p>
    <w:p w14:paraId="3A6F2086">
      <w:pPr>
        <w:numPr>
          <w:ilvl w:val="0"/>
          <w:numId w:val="0"/>
        </w:numPr>
        <w:spacing w:line="360" w:lineRule="auto"/>
        <w:ind w:firstLine="422" w:firstLineChars="200"/>
        <w:rPr>
          <w:rFonts w:ascii="宋体" w:hAnsi="宋体" w:cs="宋体"/>
          <w:b/>
          <w:bCs/>
          <w:color w:val="auto"/>
          <w:szCs w:val="21"/>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1）</w:t>
      </w:r>
      <w:r>
        <w:rPr>
          <w:rFonts w:hint="eastAsia" w:ascii="宋体" w:hAnsi="宋体" w:cs="宋体"/>
          <w:b/>
          <w:bCs/>
          <w:color w:val="auto"/>
          <w:szCs w:val="21"/>
        </w:rPr>
        <w:t>报价方式：下浮率。</w:t>
      </w:r>
    </w:p>
    <w:p w14:paraId="2D95D9E6">
      <w:pPr>
        <w:spacing w:line="360" w:lineRule="auto"/>
        <w:ind w:firstLine="420"/>
        <w:rPr>
          <w:rFonts w:ascii="宋体" w:hAnsi="宋体" w:cs="宋体"/>
          <w:color w:val="auto"/>
          <w:szCs w:val="21"/>
        </w:rPr>
      </w:pPr>
      <w:r>
        <w:rPr>
          <w:rFonts w:hint="eastAsia" w:ascii="宋体" w:hAnsi="宋体" w:cs="宋体"/>
          <w:color w:val="auto"/>
          <w:szCs w:val="21"/>
        </w:rPr>
        <w:t>（2）要求按下浮率报价（整体下浮），在所报费用中应当充分考虑并能涵盖车辆</w:t>
      </w:r>
      <w:r>
        <w:rPr>
          <w:rFonts w:hint="eastAsia" w:ascii="宋体" w:hAnsi="宋体" w:cs="宋体"/>
          <w:color w:val="auto"/>
          <w:szCs w:val="21"/>
          <w:lang w:val="en-US" w:eastAsia="zh-CN"/>
        </w:rPr>
        <w:t>维修</w:t>
      </w:r>
      <w:r>
        <w:rPr>
          <w:rFonts w:hint="eastAsia" w:ascii="宋体" w:hAnsi="宋体" w:cs="宋体"/>
          <w:color w:val="auto"/>
          <w:szCs w:val="21"/>
        </w:rPr>
        <w:t>所有费用，包括但不限于</w:t>
      </w:r>
      <w:r>
        <w:rPr>
          <w:rFonts w:hint="eastAsia" w:ascii="宋体" w:hAnsi="宋体" w:cs="宋体"/>
          <w:color w:val="auto"/>
          <w:szCs w:val="21"/>
          <w:lang w:val="en-US" w:eastAsia="zh-CN"/>
        </w:rPr>
        <w:t>工时费，材料费，</w:t>
      </w:r>
      <w:r>
        <w:rPr>
          <w:rFonts w:hint="eastAsia" w:ascii="宋体" w:hAnsi="宋体" w:eastAsia="宋体" w:cs="宋体"/>
          <w:b w:val="0"/>
          <w:bCs w:val="0"/>
          <w:color w:val="auto"/>
          <w:sz w:val="21"/>
          <w:szCs w:val="21"/>
          <w:lang w:val="en-US" w:eastAsia="zh-CN"/>
        </w:rPr>
        <w:t>维修诊断费</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检测费</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外加</w:t>
      </w:r>
      <w:r>
        <w:rPr>
          <w:rFonts w:hint="eastAsia" w:ascii="宋体" w:hAnsi="宋体" w:cs="宋体"/>
          <w:color w:val="auto"/>
          <w:szCs w:val="21"/>
        </w:rPr>
        <w:t>利润，税金等所有费用。</w:t>
      </w:r>
    </w:p>
    <w:p w14:paraId="3220DEB7">
      <w:pPr>
        <w:spacing w:line="360" w:lineRule="auto"/>
        <w:ind w:firstLine="420"/>
        <w:rPr>
          <w:rFonts w:ascii="宋体" w:hAnsi="宋体" w:cs="宋体"/>
          <w:color w:val="auto"/>
          <w:szCs w:val="21"/>
        </w:rPr>
      </w:pPr>
      <w:r>
        <w:rPr>
          <w:rFonts w:hint="eastAsia" w:ascii="宋体" w:hAnsi="宋体" w:cs="宋体"/>
          <w:color w:val="auto"/>
          <w:szCs w:val="21"/>
        </w:rPr>
        <w:t>（3）对于有分项及特殊需求的服务内容，应由投标人自行设计相关格式。投标人按照上述要求分类报价，其目的是便于评标，但在任何情况下并不限制采购人或征集人以其他条款签订合同的权利。</w:t>
      </w:r>
    </w:p>
    <w:p w14:paraId="7A7394A2">
      <w:pPr>
        <w:spacing w:line="360" w:lineRule="auto"/>
        <w:ind w:firstLine="420"/>
        <w:rPr>
          <w:rFonts w:ascii="宋体" w:hAnsi="宋体" w:cs="宋体"/>
          <w:color w:val="auto"/>
          <w:szCs w:val="21"/>
        </w:rPr>
      </w:pPr>
      <w:r>
        <w:rPr>
          <w:rFonts w:hint="eastAsia" w:ascii="宋体" w:hAnsi="宋体" w:cs="宋体"/>
          <w:color w:val="auto"/>
          <w:szCs w:val="21"/>
        </w:rPr>
        <w:t>6.4评审相关材料：</w:t>
      </w:r>
    </w:p>
    <w:p w14:paraId="54DFE454">
      <w:pPr>
        <w:spacing w:line="360" w:lineRule="auto"/>
        <w:ind w:firstLine="420"/>
        <w:jc w:val="left"/>
        <w:rPr>
          <w:rFonts w:ascii="宋体" w:hAnsi="宋体" w:cs="宋体"/>
          <w:color w:val="auto"/>
          <w:szCs w:val="21"/>
        </w:rPr>
      </w:pPr>
      <w:r>
        <w:rPr>
          <w:rFonts w:hint="eastAsia" w:ascii="宋体" w:hAnsi="宋体" w:cs="宋体"/>
          <w:color w:val="auto"/>
          <w:szCs w:val="28"/>
        </w:rPr>
        <w:t>（1）</w:t>
      </w:r>
      <w:r>
        <w:rPr>
          <w:rFonts w:hint="eastAsia" w:ascii="宋体" w:hAnsi="宋体" w:cs="宋体"/>
          <w:color w:val="auto"/>
          <w:szCs w:val="21"/>
        </w:rPr>
        <w:t>投标人依据征集文件应提交的各类证明资料(</w:t>
      </w:r>
      <w:r>
        <w:rPr>
          <w:rFonts w:hint="eastAsia" w:ascii="宋体" w:hAnsi="宋体" w:cs="宋体"/>
          <w:b/>
          <w:bCs/>
          <w:color w:val="auto"/>
          <w:szCs w:val="21"/>
        </w:rPr>
        <w:t>提供扫描件，材料内容、印章必须完整、清晰可辨且在有效期内。评标委员会成员半数以上认定模糊无法辨认的不得分。</w:t>
      </w:r>
      <w:r>
        <w:rPr>
          <w:rFonts w:hint="eastAsia" w:ascii="宋体" w:hAnsi="宋体" w:cs="宋体"/>
          <w:color w:val="auto"/>
          <w:szCs w:val="21"/>
        </w:rPr>
        <w:t>)</w:t>
      </w:r>
    </w:p>
    <w:p w14:paraId="7F6A00B3">
      <w:pPr>
        <w:spacing w:line="360" w:lineRule="auto"/>
        <w:ind w:firstLine="420"/>
        <w:rPr>
          <w:rFonts w:ascii="宋体" w:hAnsi="宋体" w:cs="宋体"/>
          <w:color w:val="auto"/>
          <w:szCs w:val="21"/>
        </w:rPr>
      </w:pPr>
      <w:r>
        <w:rPr>
          <w:rFonts w:hint="eastAsia" w:ascii="宋体" w:hAnsi="宋体" w:cs="宋体"/>
          <w:color w:val="auto"/>
          <w:szCs w:val="28"/>
        </w:rPr>
        <w:t>（2）</w:t>
      </w:r>
      <w:r>
        <w:rPr>
          <w:rFonts w:hint="eastAsia" w:ascii="宋体" w:hAnsi="宋体" w:cs="宋体"/>
          <w:color w:val="auto"/>
          <w:szCs w:val="21"/>
        </w:rPr>
        <w:t>其他需投标人对本次投标的详细说明（投标人视具体项目情况自行编制）；</w:t>
      </w:r>
    </w:p>
    <w:p w14:paraId="0A67AAC5">
      <w:pPr>
        <w:spacing w:line="360" w:lineRule="auto"/>
        <w:ind w:firstLine="420"/>
        <w:rPr>
          <w:rFonts w:ascii="宋体" w:hAnsi="宋体" w:cs="宋体"/>
          <w:color w:val="auto"/>
          <w:szCs w:val="21"/>
        </w:rPr>
      </w:pPr>
      <w:r>
        <w:rPr>
          <w:rFonts w:hint="eastAsia" w:ascii="宋体" w:hAnsi="宋体" w:cs="宋体"/>
          <w:color w:val="auto"/>
          <w:szCs w:val="21"/>
        </w:rPr>
        <w:t>6.5扫描件要求：</w:t>
      </w:r>
    </w:p>
    <w:p w14:paraId="48CB5776">
      <w:pPr>
        <w:numPr>
          <w:ilvl w:val="0"/>
          <w:numId w:val="2"/>
        </w:numPr>
        <w:spacing w:line="360" w:lineRule="auto"/>
        <w:ind w:firstLine="422"/>
        <w:rPr>
          <w:rFonts w:ascii="宋体" w:hAnsi="宋体" w:cs="宋体"/>
          <w:b/>
          <w:bCs/>
          <w:color w:val="auto"/>
          <w:szCs w:val="21"/>
        </w:rPr>
      </w:pPr>
      <w:r>
        <w:rPr>
          <w:rFonts w:hint="eastAsia" w:ascii="宋体" w:hAnsi="宋体" w:cs="宋体"/>
          <w:b/>
          <w:bCs/>
          <w:color w:val="auto"/>
          <w:szCs w:val="21"/>
        </w:rPr>
        <w:t>扫描件必须直接用原件扫描，要求字迹清晰，确保文字内容能看清无变形。</w:t>
      </w:r>
    </w:p>
    <w:p w14:paraId="7F52E015">
      <w:pPr>
        <w:spacing w:line="360" w:lineRule="auto"/>
        <w:ind w:firstLine="422"/>
        <w:rPr>
          <w:color w:val="auto"/>
        </w:rPr>
      </w:pPr>
      <w:r>
        <w:rPr>
          <w:rFonts w:hint="eastAsia" w:ascii="宋体" w:hAnsi="宋体" w:cs="宋体"/>
          <w:b/>
          <w:bCs/>
          <w:color w:val="auto"/>
          <w:szCs w:val="21"/>
        </w:rPr>
        <w:t>（2）采用电子证书或者网络截图，必须使用经过备案的政府官方网站截图，且必须是可供任何人查询的公开信息。截图必须包含网址和网站名称，保证他人能够通过网址再次查询到。</w:t>
      </w:r>
    </w:p>
    <w:bookmarkEnd w:id="37"/>
    <w:bookmarkEnd w:id="38"/>
    <w:bookmarkEnd w:id="39"/>
    <w:p w14:paraId="74D2C045">
      <w:pPr>
        <w:spacing w:line="360" w:lineRule="auto"/>
        <w:rPr>
          <w:rFonts w:ascii="宋体" w:hAnsi="宋体" w:cs="宋体"/>
          <w:b/>
          <w:color w:val="auto"/>
          <w:szCs w:val="21"/>
        </w:rPr>
      </w:pPr>
      <w:bookmarkStart w:id="40" w:name="_Toc288738333"/>
      <w:bookmarkStart w:id="41" w:name="_Toc288738801"/>
      <w:bookmarkStart w:id="42" w:name="_Toc288738407"/>
      <w:r>
        <w:rPr>
          <w:rFonts w:hint="eastAsia" w:ascii="宋体" w:hAnsi="宋体" w:cs="宋体"/>
          <w:b/>
          <w:color w:val="auto"/>
          <w:szCs w:val="21"/>
        </w:rPr>
        <w:t>七、投标内容填写应当符合以下要求</w:t>
      </w:r>
      <w:bookmarkEnd w:id="40"/>
      <w:bookmarkEnd w:id="41"/>
      <w:bookmarkEnd w:id="42"/>
    </w:p>
    <w:p w14:paraId="6CB7ABF0">
      <w:pPr>
        <w:spacing w:line="360" w:lineRule="auto"/>
        <w:ind w:firstLine="420"/>
        <w:rPr>
          <w:rFonts w:ascii="宋体" w:hAnsi="宋体" w:cs="宋体"/>
          <w:color w:val="auto"/>
          <w:szCs w:val="21"/>
        </w:rPr>
      </w:pPr>
      <w:r>
        <w:rPr>
          <w:rFonts w:hint="eastAsia" w:ascii="宋体" w:hAnsi="宋体" w:cs="宋体"/>
          <w:color w:val="auto"/>
          <w:szCs w:val="21"/>
        </w:rPr>
        <w:t>7.1投标人应详细阅读征集文件的全部内容。投标文件须对征集文件中的内容做出实质性和完整的响应，如果投标文件填报的内容资料不详，或没有提供征集文件中所要求的全部资料及数据，将被视为投标文件完整性有缺陷。</w:t>
      </w:r>
    </w:p>
    <w:p w14:paraId="192905FF">
      <w:pPr>
        <w:spacing w:line="360" w:lineRule="auto"/>
        <w:ind w:firstLine="420"/>
        <w:rPr>
          <w:rFonts w:ascii="宋体" w:hAnsi="宋体" w:cs="宋体"/>
          <w:color w:val="auto"/>
          <w:szCs w:val="21"/>
        </w:rPr>
      </w:pPr>
      <w:r>
        <w:rPr>
          <w:rFonts w:hint="eastAsia" w:ascii="宋体" w:hAnsi="宋体" w:cs="宋体"/>
          <w:color w:val="auto"/>
          <w:szCs w:val="21"/>
        </w:rPr>
        <w:t>7.2投标文件应按照征集文件的格式逐项填写，不准有空项。投标文件未按规定提交或留有空项，将被视为投标文件完整性有缺陷。</w:t>
      </w:r>
    </w:p>
    <w:p w14:paraId="5EBB7B77">
      <w:pPr>
        <w:spacing w:line="360" w:lineRule="auto"/>
        <w:ind w:firstLine="420"/>
        <w:rPr>
          <w:rFonts w:ascii="宋体" w:hAnsi="宋体" w:cs="宋体"/>
          <w:color w:val="auto"/>
          <w:szCs w:val="21"/>
        </w:rPr>
      </w:pPr>
      <w:r>
        <w:rPr>
          <w:rFonts w:hint="eastAsia" w:ascii="宋体" w:hAnsi="宋体" w:cs="宋体"/>
          <w:color w:val="auto"/>
          <w:szCs w:val="21"/>
        </w:rPr>
        <w:t>7.3开标一览表为在开标仪式上唱标的内容，要求按格式统一填写，不得自行增减内容。</w:t>
      </w:r>
    </w:p>
    <w:p w14:paraId="3EF14C81">
      <w:pPr>
        <w:spacing w:line="360" w:lineRule="auto"/>
        <w:ind w:firstLine="420"/>
        <w:rPr>
          <w:rFonts w:ascii="宋体" w:hAnsi="宋体" w:cs="宋体"/>
          <w:color w:val="auto"/>
          <w:szCs w:val="21"/>
        </w:rPr>
      </w:pPr>
      <w:r>
        <w:rPr>
          <w:rFonts w:hint="eastAsia" w:ascii="宋体" w:hAnsi="宋体" w:cs="宋体"/>
          <w:color w:val="auto"/>
          <w:szCs w:val="21"/>
        </w:rPr>
        <w:t>7.4投标人必须保证投标文件所提供的全部资料真实可靠，并接受采购人或评标委员会对其中任何资料进一步审查的要求。</w:t>
      </w:r>
    </w:p>
    <w:p w14:paraId="6BAE63B6">
      <w:pPr>
        <w:spacing w:line="360" w:lineRule="auto"/>
        <w:ind w:firstLine="420"/>
        <w:rPr>
          <w:rFonts w:ascii="宋体" w:hAnsi="宋体" w:cs="宋体"/>
          <w:color w:val="auto"/>
          <w:szCs w:val="21"/>
        </w:rPr>
      </w:pPr>
      <w:r>
        <w:rPr>
          <w:rFonts w:hint="eastAsia" w:ascii="宋体" w:hAnsi="宋体" w:cs="宋体"/>
          <w:color w:val="auto"/>
          <w:szCs w:val="21"/>
        </w:rPr>
        <w:t>7.5供应商的投标下浮率在框架协议执行过程中是固定不变的，不得以任何理由改变。</w:t>
      </w:r>
    </w:p>
    <w:p w14:paraId="6D2C6E67">
      <w:pPr>
        <w:spacing w:line="360" w:lineRule="auto"/>
        <w:rPr>
          <w:rFonts w:ascii="宋体" w:hAnsi="宋体" w:cs="宋体"/>
          <w:b/>
          <w:bCs/>
          <w:color w:val="auto"/>
          <w:szCs w:val="21"/>
        </w:rPr>
      </w:pPr>
      <w:bookmarkStart w:id="43" w:name="_Toc288738803"/>
      <w:bookmarkStart w:id="44" w:name="_Toc288738335"/>
      <w:bookmarkStart w:id="45" w:name="_Toc288738409"/>
      <w:r>
        <w:rPr>
          <w:rFonts w:hint="eastAsia" w:ascii="宋体" w:hAnsi="宋体" w:cs="宋体"/>
          <w:b/>
          <w:bCs/>
          <w:color w:val="auto"/>
          <w:szCs w:val="21"/>
        </w:rPr>
        <w:t>八、投标保证金</w:t>
      </w:r>
      <w:bookmarkEnd w:id="43"/>
      <w:bookmarkEnd w:id="44"/>
      <w:bookmarkEnd w:id="45"/>
      <w:r>
        <w:rPr>
          <w:rFonts w:hint="eastAsia" w:ascii="宋体" w:hAnsi="宋体" w:cs="宋体"/>
          <w:b/>
          <w:bCs/>
          <w:color w:val="auto"/>
          <w:szCs w:val="21"/>
        </w:rPr>
        <w:t>：</w:t>
      </w:r>
      <w:bookmarkStart w:id="46" w:name="_Toc288738411"/>
      <w:bookmarkStart w:id="47" w:name="_Toc288738337"/>
      <w:bookmarkStart w:id="48" w:name="_Toc288738805"/>
      <w:r>
        <w:rPr>
          <w:rFonts w:hint="eastAsia" w:ascii="宋体" w:hAnsi="宋体" w:cs="宋体"/>
          <w:color w:val="auto"/>
          <w:szCs w:val="21"/>
        </w:rPr>
        <w:t>本项目不收取投标保证金。</w:t>
      </w:r>
    </w:p>
    <w:bookmarkEnd w:id="46"/>
    <w:bookmarkEnd w:id="47"/>
    <w:bookmarkEnd w:id="48"/>
    <w:p w14:paraId="4E18668E">
      <w:pPr>
        <w:pStyle w:val="336"/>
        <w:numPr>
          <w:ilvl w:val="0"/>
          <w:numId w:val="0"/>
        </w:numPr>
        <w:spacing w:line="360" w:lineRule="auto"/>
        <w:rPr>
          <w:rFonts w:cs="宋体"/>
          <w:b/>
          <w:color w:val="auto"/>
        </w:rPr>
      </w:pPr>
      <w:bookmarkStart w:id="49" w:name="_Toc288738338"/>
      <w:bookmarkStart w:id="50" w:name="_Toc288738412"/>
      <w:bookmarkStart w:id="51" w:name="_Toc288738806"/>
      <w:r>
        <w:rPr>
          <w:rFonts w:hint="eastAsia" w:cs="宋体"/>
          <w:b/>
          <w:color w:val="auto"/>
        </w:rPr>
        <w:t>九、投标文件的签署及其他规定</w:t>
      </w:r>
    </w:p>
    <w:p w14:paraId="61A732A5">
      <w:pPr>
        <w:spacing w:line="360" w:lineRule="auto"/>
        <w:ind w:firstLine="420"/>
        <w:rPr>
          <w:rFonts w:ascii="宋体" w:hAnsi="宋体" w:cs="宋体"/>
          <w:color w:val="auto"/>
          <w:szCs w:val="21"/>
        </w:rPr>
      </w:pPr>
      <w:r>
        <w:rPr>
          <w:rFonts w:hint="eastAsia" w:ascii="宋体" w:hAnsi="宋体" w:cs="宋体"/>
          <w:color w:val="auto"/>
          <w:szCs w:val="21"/>
        </w:rPr>
        <w:t>9.1组成投标文件的各项文件均应遵守本条。</w:t>
      </w:r>
    </w:p>
    <w:p w14:paraId="5FEECC41">
      <w:pPr>
        <w:spacing w:line="360" w:lineRule="auto"/>
        <w:ind w:firstLine="420"/>
        <w:rPr>
          <w:rFonts w:ascii="宋体" w:hAnsi="宋体" w:cs="宋体"/>
          <w:color w:val="auto"/>
          <w:szCs w:val="21"/>
        </w:rPr>
      </w:pPr>
      <w:r>
        <w:rPr>
          <w:rFonts w:hint="eastAsia" w:ascii="宋体" w:hAnsi="宋体" w:cs="宋体"/>
          <w:color w:val="auto"/>
          <w:szCs w:val="21"/>
        </w:rPr>
        <w:t>9.2投标人在投标文件中所加盖公章应为与投标人（如为联合体投标，联合体各方均应加盖公章）名称全称相一致的标准公章，并签署法定代表人或投标人代表的全名或加盖名章。</w:t>
      </w:r>
    </w:p>
    <w:p w14:paraId="5DE6F302">
      <w:pPr>
        <w:spacing w:line="360" w:lineRule="auto"/>
        <w:ind w:firstLine="420"/>
        <w:rPr>
          <w:rFonts w:ascii="宋体" w:hAnsi="宋体" w:cs="宋体"/>
          <w:bCs/>
          <w:color w:val="auto"/>
          <w:szCs w:val="21"/>
        </w:rPr>
      </w:pPr>
      <w:r>
        <w:rPr>
          <w:rFonts w:hint="eastAsia" w:ascii="宋体" w:hAnsi="宋体" w:cs="宋体"/>
          <w:color w:val="auto"/>
          <w:szCs w:val="21"/>
        </w:rPr>
        <w:t>9.3投标人须注意：为合理节约政府采购评审成本，提倡诚实信用的投标行为，特别要求投标人应本着诚信精神，在本次投标文件的偏离表和其它偏离文件中（若本次征集文件中没有提供偏离表或其它偏离文件样本，投标人亦应当自制偏离表并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直至加倍扣分或对该投标予以拒绝。</w:t>
      </w:r>
    </w:p>
    <w:p w14:paraId="7C978450">
      <w:pPr>
        <w:spacing w:line="360" w:lineRule="auto"/>
        <w:rPr>
          <w:rFonts w:ascii="宋体" w:hAnsi="宋体" w:cs="宋体"/>
          <w:b/>
          <w:color w:val="auto"/>
          <w:szCs w:val="21"/>
        </w:rPr>
      </w:pPr>
      <w:r>
        <w:rPr>
          <w:rFonts w:hint="eastAsia" w:ascii="宋体" w:hAnsi="宋体" w:cs="宋体"/>
          <w:b/>
          <w:color w:val="auto"/>
          <w:szCs w:val="21"/>
        </w:rPr>
        <w:t>十、投标文件提交，截止时间和地</w:t>
      </w:r>
      <w:bookmarkEnd w:id="49"/>
      <w:bookmarkEnd w:id="50"/>
      <w:bookmarkEnd w:id="51"/>
      <w:r>
        <w:rPr>
          <w:rFonts w:hint="eastAsia" w:ascii="宋体" w:hAnsi="宋体" w:cs="宋体"/>
          <w:b/>
          <w:color w:val="auto"/>
          <w:szCs w:val="21"/>
        </w:rPr>
        <w:t>点</w:t>
      </w:r>
    </w:p>
    <w:p w14:paraId="23205BBB">
      <w:pPr>
        <w:pStyle w:val="336"/>
        <w:numPr>
          <w:ilvl w:val="0"/>
          <w:numId w:val="0"/>
        </w:numPr>
        <w:spacing w:line="360" w:lineRule="auto"/>
        <w:ind w:firstLine="420"/>
        <w:rPr>
          <w:rFonts w:cs="宋体"/>
          <w:color w:val="auto"/>
        </w:rPr>
      </w:pPr>
      <w:r>
        <w:rPr>
          <w:rFonts w:hint="eastAsia" w:cs="宋体"/>
          <w:color w:val="auto"/>
        </w:rPr>
        <w:t>10.1投标截止时间：投标文件须按照征集文件规定的投标时间上传。截至投标截止时间，电子政采系统投标通道将关闭，投标人未完成电子投标文件上传的，投标将被</w:t>
      </w:r>
      <w:r>
        <w:rPr>
          <w:rFonts w:hint="eastAsia" w:cs="宋体"/>
          <w:b/>
          <w:bCs/>
          <w:color w:val="auto"/>
        </w:rPr>
        <w:t>拒绝</w:t>
      </w:r>
      <w:r>
        <w:rPr>
          <w:rFonts w:hint="eastAsia" w:cs="宋体"/>
          <w:color w:val="auto"/>
        </w:rPr>
        <w:t>。</w:t>
      </w:r>
    </w:p>
    <w:p w14:paraId="7A8FDDF2">
      <w:pPr>
        <w:pStyle w:val="336"/>
        <w:numPr>
          <w:ilvl w:val="0"/>
          <w:numId w:val="0"/>
        </w:numPr>
        <w:spacing w:line="360" w:lineRule="auto"/>
        <w:ind w:firstLine="420"/>
        <w:rPr>
          <w:rFonts w:cs="宋体"/>
          <w:color w:val="auto"/>
        </w:rPr>
      </w:pPr>
      <w:r>
        <w:rPr>
          <w:rFonts w:hint="eastAsia" w:cs="宋体"/>
          <w:color w:val="auto"/>
        </w:rPr>
        <w:t>10.2投标文件的补充、修改和撤回：投标人在投标截止时间前，可对其所递交的投标文件进行补充、修改或者撤回。投标人在投标截止时间前需要对投标文件进行补充、修改的，应当使用投标文件制作工具重新制作并上传。在投标截止时间之后，投标人不得撤回投标。</w:t>
      </w:r>
    </w:p>
    <w:p w14:paraId="290AD3A1">
      <w:pPr>
        <w:pStyle w:val="336"/>
        <w:numPr>
          <w:ilvl w:val="0"/>
          <w:numId w:val="0"/>
        </w:numPr>
        <w:spacing w:line="360" w:lineRule="auto"/>
        <w:ind w:firstLine="420"/>
        <w:rPr>
          <w:rFonts w:cs="宋体"/>
          <w:color w:val="auto"/>
        </w:rPr>
      </w:pPr>
      <w:r>
        <w:rPr>
          <w:rFonts w:hint="eastAsia" w:cs="宋体"/>
          <w:color w:val="auto"/>
        </w:rPr>
        <w:t>10.3投标文件的递交方式：投标人应按投标人须知前附表第</w:t>
      </w:r>
      <w:r>
        <w:rPr>
          <w:rFonts w:hint="eastAsia" w:cs="宋体"/>
          <w:b/>
          <w:bCs/>
          <w:color w:val="auto"/>
        </w:rPr>
        <w:t>17</w:t>
      </w:r>
      <w:r>
        <w:rPr>
          <w:rFonts w:hint="eastAsia" w:cs="宋体"/>
          <w:color w:val="auto"/>
        </w:rPr>
        <w:t>条规定的方式，应用投标工具自行将投标文件上传至</w:t>
      </w:r>
      <w:r>
        <w:rPr>
          <w:rFonts w:hint="eastAsia" w:cs="宋体"/>
          <w:bCs/>
          <w:color w:val="auto"/>
          <w:lang w:val="zh-CN"/>
        </w:rPr>
        <w:t>政采</w:t>
      </w:r>
      <w:r>
        <w:rPr>
          <w:rFonts w:hint="eastAsia" w:cs="宋体"/>
          <w:color w:val="auto"/>
        </w:rPr>
        <w:t>电子系统。</w:t>
      </w:r>
    </w:p>
    <w:p w14:paraId="165102FE">
      <w:pPr>
        <w:spacing w:line="360" w:lineRule="auto"/>
        <w:ind w:firstLine="430"/>
        <w:rPr>
          <w:rFonts w:ascii="宋体" w:hAnsi="宋体" w:cs="宋体"/>
          <w:b/>
          <w:color w:val="auto"/>
          <w:spacing w:val="2"/>
          <w:szCs w:val="21"/>
        </w:rPr>
      </w:pPr>
      <w:r>
        <w:rPr>
          <w:rFonts w:hint="eastAsia" w:ascii="宋体" w:hAnsi="宋体" w:cs="宋体"/>
          <w:b/>
          <w:color w:val="auto"/>
          <w:spacing w:val="2"/>
          <w:szCs w:val="21"/>
        </w:rPr>
        <w:t>10.4本项目采用不见面交易的方式，投标人无需到现场参与开标会。</w:t>
      </w:r>
      <w:bookmarkStart w:id="52" w:name="_Toc288738807"/>
      <w:bookmarkStart w:id="53" w:name="_Toc288738413"/>
      <w:bookmarkStart w:id="54" w:name="_Toc288738339"/>
      <w:r>
        <w:rPr>
          <w:rFonts w:hint="eastAsia" w:ascii="宋体" w:hAnsi="宋体" w:cs="宋体"/>
          <w:b/>
          <w:color w:val="auto"/>
          <w:spacing w:val="2"/>
          <w:szCs w:val="21"/>
        </w:rPr>
        <w:t>各投标人须在开标前使用“验证CA”功能验证本地计算机的控件环境是否正常</w:t>
      </w:r>
      <w:r>
        <w:rPr>
          <w:rFonts w:hint="eastAsia" w:ascii="宋体" w:hAnsi="宋体" w:cs="宋体"/>
          <w:b/>
          <w:color w:val="auto"/>
          <w:spacing w:val="2"/>
          <w:szCs w:val="21"/>
          <w:u w:val="single"/>
        </w:rPr>
        <w:t>（电脑需配备摄像头、音响和麦克风，用于保障不见面交易能够完成相关视频对话）</w:t>
      </w:r>
      <w:r>
        <w:rPr>
          <w:rFonts w:hint="eastAsia" w:ascii="宋体" w:hAnsi="宋体" w:cs="宋体"/>
          <w:b/>
          <w:color w:val="auto"/>
          <w:spacing w:val="2"/>
          <w:szCs w:val="21"/>
        </w:rPr>
        <w:t>，并且在开评标过程中不可随意更换电脑，必须使用验证成功的电脑进行操作，</w:t>
      </w:r>
      <w:r>
        <w:rPr>
          <w:rFonts w:hint="eastAsia" w:ascii="宋体" w:hAnsi="宋体" w:cs="宋体"/>
          <w:b/>
          <w:bCs/>
          <w:color w:val="auto"/>
          <w:szCs w:val="21"/>
        </w:rPr>
        <w:t>在开评标过程中，必须保证操作电脑前有相关责任人，</w:t>
      </w:r>
      <w:r>
        <w:rPr>
          <w:rFonts w:hint="eastAsia" w:ascii="宋体" w:hAnsi="宋体" w:cs="宋体"/>
          <w:b/>
          <w:color w:val="auto"/>
          <w:spacing w:val="2"/>
          <w:szCs w:val="21"/>
        </w:rPr>
        <w:t>否则造成相应后果由投标人自行承担。</w:t>
      </w:r>
    </w:p>
    <w:p w14:paraId="5EFD73E5">
      <w:pPr>
        <w:spacing w:line="360" w:lineRule="auto"/>
        <w:rPr>
          <w:rFonts w:ascii="宋体" w:hAnsi="宋体" w:cs="宋体"/>
          <w:b/>
          <w:color w:val="auto"/>
          <w:szCs w:val="21"/>
        </w:rPr>
      </w:pPr>
      <w:r>
        <w:rPr>
          <w:rFonts w:hint="eastAsia" w:ascii="宋体" w:hAnsi="宋体" w:cs="宋体"/>
          <w:b/>
          <w:color w:val="auto"/>
          <w:szCs w:val="21"/>
        </w:rPr>
        <w:t>十一、</w:t>
      </w:r>
      <w:bookmarkEnd w:id="52"/>
      <w:bookmarkEnd w:id="53"/>
      <w:bookmarkEnd w:id="54"/>
      <w:r>
        <w:rPr>
          <w:rFonts w:hint="eastAsia" w:ascii="宋体" w:hAnsi="宋体" w:cs="宋体"/>
          <w:b/>
          <w:color w:val="auto"/>
          <w:szCs w:val="21"/>
        </w:rPr>
        <w:t>投标人注意事项</w:t>
      </w:r>
      <w:bookmarkEnd w:id="2"/>
    </w:p>
    <w:p w14:paraId="50BC9EEF">
      <w:pPr>
        <w:pStyle w:val="336"/>
        <w:numPr>
          <w:ilvl w:val="0"/>
          <w:numId w:val="0"/>
        </w:numPr>
        <w:spacing w:line="360" w:lineRule="auto"/>
        <w:ind w:firstLine="630"/>
        <w:rPr>
          <w:rFonts w:cs="宋体"/>
          <w:color w:val="auto"/>
        </w:rPr>
      </w:pPr>
      <w:r>
        <w:rPr>
          <w:rFonts w:hint="eastAsia" w:cs="宋体"/>
          <w:color w:val="auto"/>
        </w:rPr>
        <w:t>11.1投标人有下列情形之一的,评标委员会认定为投标人串通投标，其投标无效，书面报告财政部门：</w:t>
      </w:r>
    </w:p>
    <w:p w14:paraId="42CAFE2B">
      <w:pPr>
        <w:pStyle w:val="336"/>
        <w:numPr>
          <w:ilvl w:val="0"/>
          <w:numId w:val="0"/>
        </w:numPr>
        <w:spacing w:line="360" w:lineRule="auto"/>
        <w:ind w:firstLine="1260"/>
        <w:rPr>
          <w:rFonts w:cs="宋体"/>
          <w:color w:val="auto"/>
        </w:rPr>
      </w:pPr>
      <w:r>
        <w:rPr>
          <w:rFonts w:hint="eastAsia" w:cs="宋体"/>
          <w:color w:val="auto"/>
        </w:rPr>
        <w:t>1)不同投标人的投标文件由同一单位或者个人编制；</w:t>
      </w:r>
    </w:p>
    <w:p w14:paraId="5EA3DDD7">
      <w:pPr>
        <w:pStyle w:val="336"/>
        <w:numPr>
          <w:ilvl w:val="0"/>
          <w:numId w:val="0"/>
        </w:numPr>
        <w:spacing w:line="360" w:lineRule="auto"/>
        <w:ind w:firstLine="1260"/>
        <w:rPr>
          <w:rFonts w:cs="宋体"/>
          <w:color w:val="auto"/>
        </w:rPr>
      </w:pPr>
      <w:r>
        <w:rPr>
          <w:rFonts w:hint="eastAsia" w:cs="宋体"/>
          <w:color w:val="auto"/>
        </w:rPr>
        <w:t>2)不同投标人委托同一单位或者个人办理投标事宜；</w:t>
      </w:r>
    </w:p>
    <w:p w14:paraId="4E6CB4DC">
      <w:pPr>
        <w:pStyle w:val="336"/>
        <w:numPr>
          <w:ilvl w:val="0"/>
          <w:numId w:val="0"/>
        </w:numPr>
        <w:spacing w:line="360" w:lineRule="auto"/>
        <w:ind w:firstLine="1260"/>
        <w:rPr>
          <w:rFonts w:cs="宋体"/>
          <w:color w:val="auto"/>
        </w:rPr>
      </w:pPr>
      <w:r>
        <w:rPr>
          <w:rFonts w:hint="eastAsia" w:cs="宋体"/>
          <w:color w:val="auto"/>
        </w:rPr>
        <w:t>3)不同投标人的投标文件载明的项目管理成员或者联系人员为同一人；</w:t>
      </w:r>
    </w:p>
    <w:p w14:paraId="458110A7">
      <w:pPr>
        <w:pStyle w:val="336"/>
        <w:numPr>
          <w:ilvl w:val="0"/>
          <w:numId w:val="0"/>
        </w:numPr>
        <w:spacing w:line="360" w:lineRule="auto"/>
        <w:ind w:firstLine="1260"/>
        <w:rPr>
          <w:rFonts w:cs="宋体"/>
          <w:color w:val="auto"/>
        </w:rPr>
      </w:pPr>
      <w:r>
        <w:rPr>
          <w:rFonts w:hint="eastAsia" w:cs="宋体"/>
          <w:color w:val="auto"/>
        </w:rPr>
        <w:t>4)不同投标人的投标文件异常一致或者投标报价呈规律性差异；</w:t>
      </w:r>
    </w:p>
    <w:p w14:paraId="362805D3">
      <w:pPr>
        <w:pStyle w:val="336"/>
        <w:numPr>
          <w:ilvl w:val="0"/>
          <w:numId w:val="0"/>
        </w:numPr>
        <w:spacing w:line="360" w:lineRule="auto"/>
        <w:ind w:firstLine="1260"/>
        <w:rPr>
          <w:rFonts w:cs="宋体"/>
          <w:color w:val="auto"/>
        </w:rPr>
      </w:pPr>
      <w:r>
        <w:rPr>
          <w:rFonts w:hint="eastAsia" w:cs="宋体"/>
          <w:color w:val="auto"/>
        </w:rPr>
        <w:t>5)不同投标人的投标文件相互混传。</w:t>
      </w:r>
    </w:p>
    <w:p w14:paraId="43A7BBDB">
      <w:pPr>
        <w:pStyle w:val="336"/>
        <w:numPr>
          <w:ilvl w:val="0"/>
          <w:numId w:val="0"/>
        </w:numPr>
        <w:spacing w:line="360" w:lineRule="auto"/>
        <w:ind w:firstLine="630"/>
        <w:rPr>
          <w:rFonts w:cs="宋体"/>
          <w:color w:val="auto"/>
        </w:rPr>
      </w:pPr>
      <w:r>
        <w:rPr>
          <w:rFonts w:hint="eastAsia" w:cs="宋体"/>
          <w:color w:val="auto"/>
        </w:rPr>
        <w:t>11.2在评标期间，投标人企图影响采购人、采购代理机构或评标委员会评审公正性的任何活动，将导致投标无效，并由其承担相应的法律责任。</w:t>
      </w:r>
    </w:p>
    <w:p w14:paraId="7654C0E2">
      <w:pPr>
        <w:spacing w:line="360" w:lineRule="auto"/>
        <w:rPr>
          <w:rFonts w:ascii="宋体" w:hAnsi="宋体" w:cs="宋体"/>
          <w:b/>
          <w:color w:val="auto"/>
          <w:szCs w:val="21"/>
        </w:rPr>
      </w:pPr>
      <w:r>
        <w:rPr>
          <w:rFonts w:hint="eastAsia" w:ascii="宋体" w:hAnsi="宋体" w:cs="宋体"/>
          <w:b/>
          <w:color w:val="auto"/>
          <w:szCs w:val="21"/>
        </w:rPr>
        <w:t>十二、</w:t>
      </w:r>
      <w:bookmarkEnd w:id="3"/>
      <w:bookmarkStart w:id="55" w:name="_Toc288738418"/>
      <w:bookmarkStart w:id="56" w:name="_Toc288738812"/>
      <w:bookmarkStart w:id="57" w:name="_Toc288738344"/>
      <w:r>
        <w:rPr>
          <w:rFonts w:hint="eastAsia" w:ascii="宋体" w:hAnsi="宋体" w:cs="宋体"/>
          <w:b/>
          <w:color w:val="auto"/>
          <w:szCs w:val="21"/>
        </w:rPr>
        <w:t>投标文件的有效期</w:t>
      </w:r>
    </w:p>
    <w:p w14:paraId="19192E73">
      <w:pPr>
        <w:spacing w:line="360" w:lineRule="auto"/>
        <w:ind w:firstLine="630"/>
        <w:rPr>
          <w:rFonts w:ascii="宋体" w:hAnsi="宋体" w:cs="宋体"/>
          <w:bCs/>
          <w:color w:val="auto"/>
          <w:szCs w:val="21"/>
        </w:rPr>
      </w:pPr>
      <w:r>
        <w:rPr>
          <w:rFonts w:hint="eastAsia" w:ascii="宋体" w:hAnsi="宋体" w:cs="宋体"/>
          <w:bCs/>
          <w:color w:val="auto"/>
          <w:szCs w:val="21"/>
        </w:rPr>
        <w:t>12.1本项目投标文件的有效期</w:t>
      </w:r>
      <w:r>
        <w:rPr>
          <w:rFonts w:hint="eastAsia" w:ascii="宋体" w:hAnsi="宋体" w:cs="宋体"/>
          <w:b/>
          <w:color w:val="auto"/>
          <w:szCs w:val="21"/>
        </w:rPr>
        <w:t>详见投标人须知前附表第21条</w:t>
      </w:r>
      <w:r>
        <w:rPr>
          <w:rFonts w:hint="eastAsia" w:ascii="宋体" w:hAnsi="宋体" w:cs="宋体"/>
          <w:bCs/>
          <w:color w:val="auto"/>
          <w:szCs w:val="21"/>
        </w:rPr>
        <w:t>。投标截止时间后，投标人在投标有效期内不得撤销投标文件。</w:t>
      </w:r>
    </w:p>
    <w:p w14:paraId="0F8D3CAA">
      <w:pPr>
        <w:spacing w:line="360" w:lineRule="auto"/>
        <w:ind w:firstLine="630"/>
        <w:rPr>
          <w:rFonts w:ascii="宋体" w:hAnsi="宋体" w:cs="宋体"/>
          <w:bCs/>
          <w:color w:val="auto"/>
          <w:szCs w:val="21"/>
        </w:rPr>
      </w:pPr>
      <w:r>
        <w:rPr>
          <w:rFonts w:hint="eastAsia" w:ascii="宋体" w:hAnsi="宋体" w:cs="宋体"/>
          <w:bCs/>
          <w:color w:val="auto"/>
          <w:szCs w:val="21"/>
        </w:rPr>
        <w:t>12.2在特殊情况下，采购人或采购中心可与投标人协商延长投标文件的有效期。这种要求和答复都应以书面形式进行。同意延长有效期的投标人除按照征集人或代理机构要求修改投标文件有效期外，不得修改投标文件的其他内容。</w:t>
      </w:r>
    </w:p>
    <w:p w14:paraId="5BE1F695">
      <w:pPr>
        <w:spacing w:line="360" w:lineRule="auto"/>
        <w:rPr>
          <w:rFonts w:ascii="宋体" w:hAnsi="宋体" w:cs="宋体"/>
          <w:b/>
          <w:color w:val="auto"/>
          <w:szCs w:val="21"/>
        </w:rPr>
      </w:pPr>
      <w:r>
        <w:rPr>
          <w:rFonts w:hint="eastAsia" w:ascii="宋体" w:hAnsi="宋体" w:cs="宋体"/>
          <w:b/>
          <w:color w:val="auto"/>
          <w:szCs w:val="21"/>
        </w:rPr>
        <w:t>十三、</w:t>
      </w:r>
      <w:bookmarkEnd w:id="55"/>
      <w:bookmarkEnd w:id="56"/>
      <w:bookmarkEnd w:id="57"/>
      <w:r>
        <w:rPr>
          <w:rFonts w:hint="eastAsia" w:ascii="宋体" w:hAnsi="宋体" w:cs="宋体"/>
          <w:b/>
          <w:color w:val="auto"/>
          <w:szCs w:val="21"/>
        </w:rPr>
        <w:t>中标服务费</w:t>
      </w:r>
    </w:p>
    <w:p w14:paraId="03E1900F">
      <w:pPr>
        <w:spacing w:line="360" w:lineRule="auto"/>
        <w:ind w:firstLine="630"/>
        <w:rPr>
          <w:rFonts w:ascii="宋体" w:hAnsi="宋体" w:cs="宋体"/>
          <w:bCs/>
          <w:color w:val="auto"/>
          <w:szCs w:val="21"/>
        </w:rPr>
      </w:pPr>
      <w:r>
        <w:rPr>
          <w:rFonts w:hint="eastAsia" w:ascii="宋体" w:hAnsi="宋体" w:cs="宋体"/>
          <w:bCs/>
          <w:color w:val="auto"/>
          <w:szCs w:val="21"/>
        </w:rPr>
        <w:t>13.1本次征集无入围服务费。</w:t>
      </w:r>
    </w:p>
    <w:p w14:paraId="5776A163">
      <w:pPr>
        <w:spacing w:line="360" w:lineRule="auto"/>
        <w:rPr>
          <w:rFonts w:ascii="宋体" w:hAnsi="宋体" w:cs="宋体"/>
          <w:b/>
          <w:color w:val="auto"/>
          <w:szCs w:val="21"/>
        </w:rPr>
      </w:pPr>
      <w:bookmarkStart w:id="58" w:name="_Toc288738346"/>
      <w:bookmarkStart w:id="59" w:name="_Toc288738814"/>
      <w:bookmarkStart w:id="60" w:name="_Toc288738420"/>
      <w:r>
        <w:rPr>
          <w:rFonts w:hint="eastAsia" w:ascii="宋体" w:hAnsi="宋体" w:cs="宋体"/>
          <w:b/>
          <w:color w:val="auto"/>
          <w:szCs w:val="21"/>
        </w:rPr>
        <w:t>十四、开标</w:t>
      </w:r>
    </w:p>
    <w:bookmarkEnd w:id="58"/>
    <w:bookmarkEnd w:id="59"/>
    <w:bookmarkEnd w:id="60"/>
    <w:p w14:paraId="33CC1901">
      <w:pPr>
        <w:spacing w:line="360" w:lineRule="auto"/>
        <w:ind w:firstLine="630"/>
        <w:rPr>
          <w:rFonts w:ascii="宋体" w:hAnsi="宋体" w:cs="宋体"/>
          <w:bCs/>
          <w:color w:val="auto"/>
          <w:szCs w:val="21"/>
        </w:rPr>
      </w:pPr>
      <w:bookmarkStart w:id="61" w:name="_Toc288738817"/>
      <w:bookmarkStart w:id="62" w:name="_Toc288738349"/>
      <w:bookmarkStart w:id="63" w:name="_Toc288738423"/>
      <w:r>
        <w:rPr>
          <w:rFonts w:hint="eastAsia" w:ascii="宋体" w:hAnsi="宋体" w:cs="宋体"/>
          <w:bCs/>
          <w:color w:val="auto"/>
          <w:szCs w:val="21"/>
        </w:rPr>
        <w:t>14.1</w:t>
      </w:r>
      <w:r>
        <w:rPr>
          <w:rFonts w:hint="eastAsia" w:ascii="宋体" w:hAnsi="宋体" w:cs="宋体"/>
          <w:b/>
          <w:color w:val="auto"/>
          <w:spacing w:val="2"/>
          <w:szCs w:val="21"/>
        </w:rPr>
        <w:t>本项目采用不见面交易的方式，投标人无需到现场参与开标会，但</w:t>
      </w:r>
      <w:r>
        <w:rPr>
          <w:rFonts w:hint="eastAsia" w:ascii="宋体" w:hAnsi="宋体" w:cs="宋体"/>
          <w:b/>
          <w:bCs/>
          <w:color w:val="auto"/>
          <w:szCs w:val="21"/>
        </w:rPr>
        <w:t>必须保证操作电脑前有相关责任人，</w:t>
      </w:r>
      <w:r>
        <w:rPr>
          <w:rFonts w:hint="eastAsia" w:ascii="宋体" w:hAnsi="宋体" w:cs="宋体"/>
          <w:b/>
          <w:color w:val="auto"/>
          <w:spacing w:val="2"/>
          <w:szCs w:val="21"/>
        </w:rPr>
        <w:t>否则造成相应后果由投标人自行承担。</w:t>
      </w:r>
    </w:p>
    <w:p w14:paraId="626A8A36">
      <w:pPr>
        <w:spacing w:line="360" w:lineRule="auto"/>
        <w:ind w:firstLine="630"/>
        <w:rPr>
          <w:rFonts w:ascii="宋体" w:hAnsi="宋体" w:cs="宋体"/>
          <w:b/>
          <w:color w:val="auto"/>
          <w:szCs w:val="21"/>
        </w:rPr>
      </w:pPr>
      <w:r>
        <w:rPr>
          <w:rFonts w:hint="eastAsia" w:ascii="宋体" w:hAnsi="宋体" w:cs="宋体"/>
          <w:bCs/>
          <w:color w:val="auto"/>
          <w:szCs w:val="21"/>
        </w:rPr>
        <w:t>14.2</w:t>
      </w:r>
      <w:r>
        <w:rPr>
          <w:rFonts w:hint="eastAsia" w:ascii="宋体" w:hAnsi="宋体" w:cs="宋体"/>
          <w:b/>
          <w:color w:val="auto"/>
          <w:szCs w:val="21"/>
        </w:rPr>
        <w:t>系统语音提示</w:t>
      </w:r>
      <w:r>
        <w:rPr>
          <w:rFonts w:hint="eastAsia" w:ascii="宋体" w:hAnsi="宋体" w:cs="宋体"/>
          <w:b/>
          <w:color w:val="auto"/>
          <w:szCs w:val="21"/>
          <w:lang w:val="zh-CN"/>
        </w:rPr>
        <w:t>允许解密后，投标人完成解密，否则视为该投标人自动放弃该项目的投标，其投标文件</w:t>
      </w:r>
      <w:r>
        <w:rPr>
          <w:rFonts w:hint="eastAsia" w:ascii="宋体" w:hAnsi="宋体" w:cs="宋体"/>
          <w:b/>
          <w:color w:val="auto"/>
          <w:szCs w:val="21"/>
        </w:rPr>
        <w:t>征集人</w:t>
      </w:r>
      <w:r>
        <w:rPr>
          <w:rFonts w:hint="eastAsia" w:ascii="宋体" w:hAnsi="宋体" w:cs="宋体"/>
          <w:b/>
          <w:color w:val="auto"/>
          <w:szCs w:val="21"/>
          <w:lang w:val="zh-CN"/>
        </w:rPr>
        <w:t>不予受理。</w:t>
      </w:r>
      <w:bookmarkStart w:id="64" w:name="_Toc288738422"/>
      <w:bookmarkStart w:id="65" w:name="_Toc288738348"/>
      <w:bookmarkStart w:id="66" w:name="_Toc288738816"/>
      <w:r>
        <w:rPr>
          <w:rFonts w:hint="eastAsia" w:ascii="宋体" w:hAnsi="宋体" w:cs="宋体"/>
          <w:b/>
          <w:color w:val="auto"/>
          <w:szCs w:val="21"/>
          <w:lang w:val="zh-CN"/>
        </w:rPr>
        <w:t>全部投标人解密完成后，系统公布投标人名称、投标价格和征集文件规定的需要宣布的其他内容。有效投标人不足</w:t>
      </w:r>
      <w:r>
        <w:rPr>
          <w:rFonts w:hint="eastAsia" w:ascii="宋体" w:hAnsi="宋体" w:cs="宋体"/>
          <w:b/>
          <w:color w:val="auto"/>
          <w:szCs w:val="21"/>
        </w:rPr>
        <w:t>2</w:t>
      </w:r>
      <w:r>
        <w:rPr>
          <w:rFonts w:hint="eastAsia" w:ascii="宋体" w:hAnsi="宋体" w:cs="宋体"/>
          <w:b/>
          <w:color w:val="auto"/>
          <w:szCs w:val="21"/>
          <w:lang w:val="zh-CN"/>
        </w:rPr>
        <w:t>家的，不得开标。</w:t>
      </w:r>
    </w:p>
    <w:p w14:paraId="674B73D2">
      <w:pPr>
        <w:spacing w:line="360" w:lineRule="auto"/>
        <w:ind w:firstLine="630"/>
        <w:rPr>
          <w:rFonts w:ascii="宋体" w:hAnsi="宋体" w:cs="宋体"/>
          <w:bCs/>
          <w:color w:val="auto"/>
          <w:szCs w:val="21"/>
        </w:rPr>
      </w:pPr>
      <w:r>
        <w:rPr>
          <w:rFonts w:hint="eastAsia" w:ascii="宋体" w:hAnsi="宋体" w:cs="宋体"/>
          <w:bCs/>
          <w:color w:val="auto"/>
          <w:szCs w:val="21"/>
        </w:rPr>
        <w:t>14.</w:t>
      </w:r>
      <w:bookmarkEnd w:id="64"/>
      <w:bookmarkEnd w:id="65"/>
      <w:bookmarkEnd w:id="66"/>
      <w:r>
        <w:rPr>
          <w:rFonts w:hint="eastAsia" w:ascii="宋体" w:hAnsi="宋体" w:cs="宋体"/>
          <w:bCs/>
          <w:color w:val="auto"/>
          <w:szCs w:val="21"/>
        </w:rPr>
        <w:t>3超过项目预算（分包预算）或最高限价的投标将被拒绝，公布的项目预算</w:t>
      </w:r>
      <w:r>
        <w:rPr>
          <w:rFonts w:hint="eastAsia" w:ascii="宋体" w:hAnsi="宋体" w:cs="宋体"/>
          <w:b/>
          <w:color w:val="auto"/>
          <w:szCs w:val="21"/>
        </w:rPr>
        <w:t>详见投标人须知前附表第2条</w:t>
      </w:r>
      <w:r>
        <w:rPr>
          <w:rFonts w:hint="eastAsia" w:ascii="宋体" w:hAnsi="宋体" w:cs="宋体"/>
          <w:bCs/>
          <w:color w:val="auto"/>
          <w:szCs w:val="21"/>
        </w:rPr>
        <w:t>，最高限价</w:t>
      </w:r>
      <w:r>
        <w:rPr>
          <w:rFonts w:hint="eastAsia" w:ascii="宋体" w:hAnsi="宋体" w:cs="宋体"/>
          <w:b/>
          <w:color w:val="auto"/>
          <w:szCs w:val="21"/>
        </w:rPr>
        <w:t>详见投标人须知前附表第3条</w:t>
      </w:r>
      <w:r>
        <w:rPr>
          <w:rFonts w:hint="eastAsia" w:ascii="宋体" w:hAnsi="宋体" w:cs="宋体"/>
          <w:bCs/>
          <w:color w:val="auto"/>
          <w:szCs w:val="21"/>
        </w:rPr>
        <w:t>。</w:t>
      </w:r>
    </w:p>
    <w:p w14:paraId="1995C60E">
      <w:pPr>
        <w:spacing w:line="360" w:lineRule="auto"/>
        <w:ind w:firstLine="630"/>
        <w:rPr>
          <w:rFonts w:ascii="宋体" w:hAnsi="宋体" w:cs="宋体"/>
          <w:bCs/>
          <w:color w:val="auto"/>
          <w:szCs w:val="21"/>
        </w:rPr>
      </w:pPr>
      <w:r>
        <w:rPr>
          <w:rFonts w:hint="eastAsia" w:ascii="宋体" w:hAnsi="宋体" w:cs="宋体"/>
          <w:bCs/>
          <w:color w:val="auto"/>
          <w:szCs w:val="21"/>
        </w:rPr>
        <w:t>14.4采购中心工作人员通过系统将对开标过程进行记录，由参加开标的各投标人进行系统确认，并存档备查。</w:t>
      </w:r>
    </w:p>
    <w:p w14:paraId="543F4D99">
      <w:pPr>
        <w:spacing w:line="360" w:lineRule="auto"/>
        <w:ind w:firstLine="630"/>
        <w:rPr>
          <w:rFonts w:ascii="宋体" w:hAnsi="宋体" w:cs="宋体"/>
          <w:bCs/>
          <w:color w:val="auto"/>
          <w:szCs w:val="21"/>
        </w:rPr>
      </w:pPr>
      <w:r>
        <w:rPr>
          <w:rFonts w:hint="eastAsia" w:ascii="宋体" w:hAnsi="宋体" w:cs="宋体"/>
          <w:bCs/>
          <w:color w:val="auto"/>
          <w:szCs w:val="21"/>
        </w:rPr>
        <w:t xml:space="preserve">14.5开标开始之后不再接受投标人提供的任何补充材料。 </w:t>
      </w:r>
    </w:p>
    <w:p w14:paraId="429C58A5">
      <w:pPr>
        <w:spacing w:line="360" w:lineRule="auto"/>
        <w:rPr>
          <w:rFonts w:ascii="宋体" w:hAnsi="宋体" w:cs="宋体"/>
          <w:b/>
          <w:color w:val="auto"/>
          <w:szCs w:val="21"/>
        </w:rPr>
      </w:pPr>
      <w:r>
        <w:rPr>
          <w:rFonts w:hint="eastAsia" w:ascii="宋体" w:hAnsi="宋体" w:cs="宋体"/>
          <w:b/>
          <w:color w:val="auto"/>
          <w:szCs w:val="21"/>
        </w:rPr>
        <w:t>十五、组建评标委员会</w:t>
      </w:r>
    </w:p>
    <w:p w14:paraId="28EC3858">
      <w:pPr>
        <w:spacing w:line="360" w:lineRule="auto"/>
        <w:ind w:firstLine="630"/>
        <w:rPr>
          <w:rFonts w:ascii="宋体" w:hAnsi="宋体" w:cs="宋体"/>
          <w:bCs/>
          <w:color w:val="auto"/>
          <w:szCs w:val="21"/>
        </w:rPr>
      </w:pPr>
      <w:r>
        <w:rPr>
          <w:rFonts w:hint="eastAsia" w:ascii="宋体" w:hAnsi="宋体" w:cs="宋体"/>
          <w:bCs/>
          <w:color w:val="auto"/>
          <w:szCs w:val="21"/>
        </w:rPr>
        <w:t>15.1采购中心根据有关法律法规和本征集文件的规定，结合本次征集项目专业要求组建评标委员会，对具备实质性响应的投标文件进行评估和比较。评标委员会由采购人代表和评审专家组成，成员人数应当为5人以上单数，其中评审专家不得少于成员总数的三分之二。</w:t>
      </w:r>
    </w:p>
    <w:p w14:paraId="7764D63F">
      <w:pPr>
        <w:spacing w:line="360" w:lineRule="auto"/>
        <w:ind w:firstLine="630"/>
        <w:rPr>
          <w:rFonts w:ascii="宋体" w:hAnsi="宋体" w:cs="宋体"/>
          <w:bCs/>
          <w:color w:val="auto"/>
          <w:szCs w:val="21"/>
        </w:rPr>
      </w:pPr>
      <w:r>
        <w:rPr>
          <w:rFonts w:hint="eastAsia" w:ascii="宋体" w:hAnsi="宋体" w:cs="宋体"/>
          <w:bCs/>
          <w:color w:val="auto"/>
          <w:szCs w:val="21"/>
        </w:rPr>
        <w:t>15.2评标委员会成员与参加采购活动的投标人存在下列利害关系之一的，不能参加评标：</w:t>
      </w:r>
    </w:p>
    <w:p w14:paraId="0CBB9BF7">
      <w:pPr>
        <w:spacing w:line="360" w:lineRule="auto"/>
        <w:ind w:firstLine="630"/>
        <w:rPr>
          <w:rFonts w:ascii="宋体" w:hAnsi="宋体" w:cs="宋体"/>
          <w:bCs/>
          <w:color w:val="auto"/>
          <w:szCs w:val="21"/>
        </w:rPr>
      </w:pPr>
      <w:r>
        <w:rPr>
          <w:rFonts w:hint="eastAsia" w:ascii="宋体" w:hAnsi="宋体" w:cs="宋体"/>
          <w:bCs/>
          <w:color w:val="auto"/>
          <w:szCs w:val="21"/>
        </w:rPr>
        <w:t>（1）参加采购活动前三年内，与投标人存在劳动关系，或者担任过投标人的董事、监事，或者是投标人的控股股东或实际控制人；</w:t>
      </w:r>
    </w:p>
    <w:p w14:paraId="74C29DD1">
      <w:pPr>
        <w:spacing w:line="360" w:lineRule="auto"/>
        <w:ind w:firstLine="630"/>
        <w:rPr>
          <w:rFonts w:ascii="宋体" w:hAnsi="宋体" w:cs="宋体"/>
          <w:bCs/>
          <w:color w:val="auto"/>
          <w:szCs w:val="21"/>
        </w:rPr>
      </w:pPr>
      <w:r>
        <w:rPr>
          <w:rFonts w:hint="eastAsia" w:ascii="宋体" w:hAnsi="宋体" w:cs="宋体"/>
          <w:bCs/>
          <w:color w:val="auto"/>
          <w:szCs w:val="21"/>
        </w:rPr>
        <w:t>（2）与投标人的法定代表人或者负责人有夫妻、直系血亲、三代以内旁系血亲或者近姻亲关系；</w:t>
      </w:r>
    </w:p>
    <w:p w14:paraId="516B9C74">
      <w:pPr>
        <w:spacing w:line="360" w:lineRule="auto"/>
        <w:ind w:firstLine="630"/>
        <w:rPr>
          <w:rFonts w:ascii="宋体" w:hAnsi="宋体" w:cs="宋体"/>
          <w:bCs/>
          <w:color w:val="auto"/>
          <w:szCs w:val="21"/>
        </w:rPr>
      </w:pPr>
      <w:r>
        <w:rPr>
          <w:rFonts w:hint="eastAsia" w:ascii="宋体" w:hAnsi="宋体" w:cs="宋体"/>
          <w:bCs/>
          <w:color w:val="auto"/>
          <w:szCs w:val="21"/>
        </w:rPr>
        <w:t>（3）与投标人有其他可能影响政府采购活动公平、公正进行的关系。</w:t>
      </w:r>
    </w:p>
    <w:p w14:paraId="539A6C4F">
      <w:pPr>
        <w:spacing w:line="360" w:lineRule="auto"/>
        <w:ind w:firstLine="630"/>
        <w:rPr>
          <w:rFonts w:ascii="宋体" w:hAnsi="宋体" w:cs="宋体"/>
          <w:bCs/>
          <w:color w:val="auto"/>
          <w:szCs w:val="21"/>
        </w:rPr>
      </w:pPr>
      <w:r>
        <w:rPr>
          <w:rFonts w:hint="eastAsia" w:ascii="宋体" w:hAnsi="宋体" w:cs="宋体"/>
          <w:bCs/>
          <w:color w:val="auto"/>
          <w:szCs w:val="21"/>
        </w:rPr>
        <w:t>15.3采购人只能以采购人代表的身份参与评标，采购中心工作人员不得参加评标。</w:t>
      </w:r>
    </w:p>
    <w:p w14:paraId="3B4CB3C3">
      <w:pPr>
        <w:spacing w:line="360" w:lineRule="auto"/>
        <w:ind w:firstLine="630"/>
        <w:rPr>
          <w:rFonts w:ascii="宋体" w:hAnsi="宋体" w:cs="宋体"/>
          <w:bCs/>
          <w:color w:val="auto"/>
          <w:szCs w:val="21"/>
        </w:rPr>
      </w:pPr>
      <w:r>
        <w:rPr>
          <w:rFonts w:hint="eastAsia" w:ascii="宋体" w:hAnsi="宋体" w:cs="宋体"/>
          <w:bCs/>
          <w:color w:val="auto"/>
          <w:szCs w:val="21"/>
        </w:rPr>
        <w:t>15.4评标委员会负责具体评标事务，并独立履行下列职责：</w:t>
      </w:r>
    </w:p>
    <w:p w14:paraId="25F2DF62">
      <w:pPr>
        <w:spacing w:line="360" w:lineRule="auto"/>
        <w:ind w:firstLine="630"/>
        <w:rPr>
          <w:rFonts w:ascii="宋体" w:hAnsi="宋体" w:cs="宋体"/>
          <w:bCs/>
          <w:color w:val="auto"/>
          <w:szCs w:val="21"/>
        </w:rPr>
      </w:pPr>
      <w:r>
        <w:rPr>
          <w:rFonts w:hint="eastAsia" w:ascii="宋体" w:hAnsi="宋体" w:cs="宋体"/>
          <w:bCs/>
          <w:color w:val="auto"/>
          <w:szCs w:val="21"/>
        </w:rPr>
        <w:t>（1）审查、评价投标文件是否符合征集文件的资格、商务、技术等实质性要求；</w:t>
      </w:r>
    </w:p>
    <w:p w14:paraId="538AD34B">
      <w:pPr>
        <w:spacing w:line="360" w:lineRule="auto"/>
        <w:ind w:firstLine="630"/>
        <w:rPr>
          <w:rFonts w:ascii="宋体" w:hAnsi="宋体" w:cs="宋体"/>
          <w:bCs/>
          <w:color w:val="auto"/>
          <w:szCs w:val="21"/>
        </w:rPr>
      </w:pPr>
      <w:r>
        <w:rPr>
          <w:rFonts w:hint="eastAsia" w:ascii="宋体" w:hAnsi="宋体" w:cs="宋体"/>
          <w:bCs/>
          <w:color w:val="auto"/>
          <w:szCs w:val="21"/>
        </w:rPr>
        <w:t>（2）要求投标人对投标文件有关事项作出澄清或者说明；</w:t>
      </w:r>
    </w:p>
    <w:p w14:paraId="6F511F6C">
      <w:pPr>
        <w:spacing w:line="360" w:lineRule="auto"/>
        <w:ind w:firstLine="630"/>
        <w:rPr>
          <w:rFonts w:ascii="宋体" w:hAnsi="宋体" w:cs="宋体"/>
          <w:bCs/>
          <w:color w:val="auto"/>
          <w:szCs w:val="21"/>
        </w:rPr>
      </w:pPr>
      <w:r>
        <w:rPr>
          <w:rFonts w:hint="eastAsia" w:ascii="宋体" w:hAnsi="宋体" w:cs="宋体"/>
          <w:bCs/>
          <w:color w:val="auto"/>
          <w:szCs w:val="21"/>
        </w:rPr>
        <w:t>（3）对投标文件进行比较和评价；</w:t>
      </w:r>
    </w:p>
    <w:p w14:paraId="4E939085">
      <w:pPr>
        <w:spacing w:line="360" w:lineRule="auto"/>
        <w:ind w:firstLine="630"/>
        <w:rPr>
          <w:rFonts w:ascii="宋体" w:hAnsi="宋体" w:cs="宋体"/>
          <w:bCs/>
          <w:color w:val="auto"/>
          <w:szCs w:val="21"/>
        </w:rPr>
      </w:pPr>
      <w:r>
        <w:rPr>
          <w:rFonts w:hint="eastAsia" w:ascii="宋体" w:hAnsi="宋体" w:cs="宋体"/>
          <w:bCs/>
          <w:color w:val="auto"/>
          <w:szCs w:val="21"/>
        </w:rPr>
        <w:t>（4）确定中标候选人名单，以及根据征集人委托直接确定中标人；</w:t>
      </w:r>
    </w:p>
    <w:p w14:paraId="7472AA73">
      <w:pPr>
        <w:spacing w:line="360" w:lineRule="auto"/>
        <w:ind w:firstLine="630"/>
        <w:rPr>
          <w:rFonts w:ascii="宋体" w:hAnsi="宋体" w:cs="宋体"/>
          <w:color w:val="auto"/>
        </w:rPr>
      </w:pPr>
      <w:r>
        <w:rPr>
          <w:rFonts w:hint="eastAsia" w:ascii="宋体" w:hAnsi="宋体" w:cs="宋体"/>
          <w:bCs/>
          <w:color w:val="auto"/>
          <w:szCs w:val="21"/>
        </w:rPr>
        <w:t>（5）向采购人、采购中心或者有关部门报告评标中发现的违法行为。</w:t>
      </w:r>
    </w:p>
    <w:p w14:paraId="5DBE2649">
      <w:pPr>
        <w:spacing w:line="360" w:lineRule="auto"/>
        <w:rPr>
          <w:rFonts w:ascii="宋体" w:hAnsi="宋体" w:cs="宋体"/>
          <w:b/>
          <w:color w:val="auto"/>
          <w:szCs w:val="21"/>
        </w:rPr>
      </w:pPr>
      <w:r>
        <w:rPr>
          <w:rFonts w:hint="eastAsia" w:ascii="宋体" w:hAnsi="宋体" w:cs="宋体"/>
          <w:b/>
          <w:color w:val="auto"/>
          <w:szCs w:val="21"/>
        </w:rPr>
        <w:t>十六、投标文件出现下列情况之一的，将作为无效投标文件处理，无效投标文件不予参加评审。</w:t>
      </w:r>
      <w:bookmarkEnd w:id="61"/>
      <w:bookmarkEnd w:id="62"/>
      <w:bookmarkEnd w:id="63"/>
    </w:p>
    <w:p w14:paraId="242FEB8D">
      <w:pPr>
        <w:spacing w:line="360" w:lineRule="auto"/>
        <w:ind w:firstLine="630"/>
        <w:rPr>
          <w:rFonts w:ascii="宋体" w:hAnsi="宋体" w:cs="宋体"/>
          <w:color w:val="auto"/>
          <w:szCs w:val="21"/>
        </w:rPr>
      </w:pPr>
      <w:r>
        <w:rPr>
          <w:rFonts w:hint="eastAsia" w:ascii="宋体" w:hAnsi="宋体" w:cs="宋体"/>
          <w:color w:val="auto"/>
          <w:szCs w:val="21"/>
        </w:rPr>
        <w:t>16.1投标文件未递交；</w:t>
      </w:r>
    </w:p>
    <w:p w14:paraId="0DD3057D">
      <w:pPr>
        <w:spacing w:line="360" w:lineRule="auto"/>
        <w:ind w:firstLine="630"/>
        <w:rPr>
          <w:rFonts w:ascii="宋体" w:hAnsi="宋体" w:cs="宋体"/>
          <w:color w:val="auto"/>
          <w:szCs w:val="21"/>
        </w:rPr>
      </w:pPr>
      <w:r>
        <w:rPr>
          <w:rFonts w:hint="eastAsia" w:ascii="宋体" w:hAnsi="宋体" w:cs="宋体"/>
          <w:color w:val="auto"/>
          <w:szCs w:val="21"/>
        </w:rPr>
        <w:t>16.2投标文件未加盖投标人公章的；</w:t>
      </w:r>
    </w:p>
    <w:p w14:paraId="3DAFA7E0">
      <w:pPr>
        <w:spacing w:line="360" w:lineRule="auto"/>
        <w:ind w:firstLine="630"/>
        <w:rPr>
          <w:rFonts w:ascii="宋体" w:hAnsi="宋体" w:cs="宋体"/>
          <w:color w:val="auto"/>
          <w:szCs w:val="21"/>
        </w:rPr>
      </w:pPr>
      <w:r>
        <w:rPr>
          <w:rFonts w:hint="eastAsia" w:ascii="宋体" w:hAnsi="宋体" w:cs="宋体"/>
          <w:color w:val="auto"/>
          <w:szCs w:val="21"/>
        </w:rPr>
        <w:t>16.3授权委托书无投标人公章、法定代表人的印鉴（或签名），或委托书非原件的；</w:t>
      </w:r>
    </w:p>
    <w:p w14:paraId="00E900E8">
      <w:pPr>
        <w:spacing w:line="360" w:lineRule="auto"/>
        <w:ind w:firstLine="630"/>
        <w:rPr>
          <w:rFonts w:ascii="宋体" w:hAnsi="宋体" w:cs="宋体"/>
          <w:color w:val="auto"/>
          <w:szCs w:val="21"/>
        </w:rPr>
      </w:pPr>
      <w:r>
        <w:rPr>
          <w:rFonts w:hint="eastAsia" w:ascii="宋体" w:hAnsi="宋体" w:cs="宋体"/>
          <w:color w:val="auto"/>
          <w:szCs w:val="21"/>
        </w:rPr>
        <w:t>16.4投标人未通过报名的或者在名称上和法人地位上与报名情况发生实质性的改变的；</w:t>
      </w:r>
    </w:p>
    <w:p w14:paraId="2D9CC0CD">
      <w:pPr>
        <w:spacing w:line="360" w:lineRule="auto"/>
        <w:ind w:firstLine="630"/>
        <w:rPr>
          <w:rFonts w:ascii="宋体" w:hAnsi="宋体" w:cs="宋体"/>
          <w:color w:val="auto"/>
          <w:szCs w:val="21"/>
        </w:rPr>
      </w:pPr>
      <w:r>
        <w:rPr>
          <w:rFonts w:hint="eastAsia" w:ascii="宋体" w:hAnsi="宋体" w:cs="宋体"/>
          <w:color w:val="auto"/>
          <w:szCs w:val="21"/>
        </w:rPr>
        <w:t>16.5投标人不符合征集文件中规定资格要求的，或者资格要求证明材料提供不齐全的；</w:t>
      </w:r>
    </w:p>
    <w:p w14:paraId="0B031DD0">
      <w:pPr>
        <w:spacing w:line="360" w:lineRule="auto"/>
        <w:ind w:firstLine="630"/>
        <w:rPr>
          <w:rFonts w:ascii="宋体" w:hAnsi="宋体" w:cs="宋体"/>
          <w:color w:val="auto"/>
          <w:szCs w:val="21"/>
        </w:rPr>
      </w:pPr>
      <w:r>
        <w:rPr>
          <w:rFonts w:hint="eastAsia" w:ascii="宋体" w:hAnsi="宋体" w:cs="宋体"/>
          <w:color w:val="auto"/>
          <w:szCs w:val="21"/>
        </w:rPr>
        <w:t>16.6投标文件未按征集文件规定的格式、内容和要求编制；</w:t>
      </w:r>
    </w:p>
    <w:p w14:paraId="61ADA560">
      <w:pPr>
        <w:spacing w:line="360" w:lineRule="auto"/>
        <w:ind w:firstLine="630"/>
        <w:rPr>
          <w:rFonts w:ascii="宋体" w:hAnsi="宋体" w:cs="宋体"/>
          <w:color w:val="auto"/>
          <w:szCs w:val="21"/>
        </w:rPr>
      </w:pPr>
      <w:r>
        <w:rPr>
          <w:rFonts w:hint="eastAsia" w:ascii="宋体" w:hAnsi="宋体" w:cs="宋体"/>
          <w:color w:val="auto"/>
          <w:szCs w:val="21"/>
        </w:rPr>
        <w:t>16.7投标人在一份投标文件中，对同一采购项目报有两个或多个报价，且未书面确定以哪个报价为准的；</w:t>
      </w:r>
    </w:p>
    <w:p w14:paraId="7C9DAD39">
      <w:pPr>
        <w:spacing w:line="360" w:lineRule="auto"/>
        <w:ind w:firstLine="630"/>
        <w:rPr>
          <w:rFonts w:ascii="宋体" w:hAnsi="宋体" w:cs="宋体"/>
          <w:color w:val="auto"/>
          <w:szCs w:val="21"/>
        </w:rPr>
      </w:pPr>
      <w:r>
        <w:rPr>
          <w:rFonts w:hint="eastAsia" w:ascii="宋体" w:hAnsi="宋体" w:cs="宋体"/>
          <w:color w:val="auto"/>
          <w:szCs w:val="21"/>
        </w:rPr>
        <w:t>16.8投标人在投标报价中存在严重错误，并影响对其他投标人的评分的；</w:t>
      </w:r>
    </w:p>
    <w:p w14:paraId="3034F668">
      <w:pPr>
        <w:spacing w:line="360" w:lineRule="auto"/>
        <w:ind w:firstLine="630"/>
        <w:rPr>
          <w:rFonts w:ascii="宋体" w:hAnsi="宋体" w:cs="宋体"/>
          <w:color w:val="auto"/>
          <w:szCs w:val="21"/>
        </w:rPr>
      </w:pPr>
      <w:r>
        <w:rPr>
          <w:rFonts w:hint="eastAsia" w:ascii="宋体" w:hAnsi="宋体" w:cs="宋体"/>
          <w:color w:val="auto"/>
          <w:szCs w:val="21"/>
        </w:rPr>
        <w:t>16.9投标文件材料所述情况和所附相关资料不实的；</w:t>
      </w:r>
    </w:p>
    <w:p w14:paraId="75C218B5">
      <w:pPr>
        <w:spacing w:line="360" w:lineRule="auto"/>
        <w:ind w:firstLine="630"/>
        <w:rPr>
          <w:rFonts w:ascii="宋体" w:hAnsi="宋体" w:cs="宋体"/>
          <w:color w:val="auto"/>
          <w:szCs w:val="21"/>
        </w:rPr>
      </w:pPr>
      <w:r>
        <w:rPr>
          <w:rFonts w:hint="eastAsia" w:ascii="宋体" w:hAnsi="宋体" w:cs="宋体"/>
          <w:color w:val="auto"/>
          <w:szCs w:val="21"/>
        </w:rPr>
        <w:t>16.10投标人以他人的名义投标、串通投标、以行贿手段谋取中标或者以其他弄虚作假方式投标的。</w:t>
      </w:r>
    </w:p>
    <w:p w14:paraId="4A8F5D28">
      <w:pPr>
        <w:spacing w:line="360" w:lineRule="auto"/>
        <w:ind w:firstLine="630"/>
        <w:rPr>
          <w:rFonts w:ascii="宋体" w:hAnsi="宋体" w:cs="宋体"/>
          <w:color w:val="auto"/>
          <w:szCs w:val="21"/>
        </w:rPr>
      </w:pPr>
      <w:r>
        <w:rPr>
          <w:rFonts w:hint="eastAsia" w:ascii="宋体" w:hAnsi="宋体" w:cs="宋体"/>
          <w:color w:val="auto"/>
          <w:szCs w:val="21"/>
        </w:rPr>
        <w:t>16.11投标文件含有采购人不能接受的附加条件的,或者不能满足征集文件要求的售后服务期限、交货时间或者工期、付款条件的；</w:t>
      </w:r>
    </w:p>
    <w:p w14:paraId="5A08D90E">
      <w:pPr>
        <w:spacing w:line="360" w:lineRule="auto"/>
        <w:ind w:firstLine="630"/>
        <w:rPr>
          <w:rFonts w:ascii="宋体" w:hAnsi="宋体" w:cs="宋体"/>
          <w:color w:val="auto"/>
          <w:szCs w:val="21"/>
        </w:rPr>
      </w:pPr>
      <w:r>
        <w:rPr>
          <w:rFonts w:hint="eastAsia" w:ascii="宋体" w:hAnsi="宋体" w:cs="宋体"/>
          <w:color w:val="auto"/>
          <w:szCs w:val="21"/>
        </w:rPr>
        <w:t>16.12投标人因自身原因造成无法在规定时间内解密电子投标文件的。</w:t>
      </w:r>
    </w:p>
    <w:p w14:paraId="45D58C73">
      <w:pPr>
        <w:spacing w:line="360" w:lineRule="auto"/>
        <w:ind w:firstLine="630"/>
        <w:rPr>
          <w:rFonts w:ascii="宋体" w:hAnsi="宋体" w:cs="宋体"/>
          <w:color w:val="auto"/>
          <w:szCs w:val="21"/>
        </w:rPr>
      </w:pPr>
      <w:r>
        <w:rPr>
          <w:rFonts w:hint="eastAsia" w:ascii="宋体" w:hAnsi="宋体" w:cs="宋体"/>
          <w:color w:val="auto"/>
          <w:szCs w:val="21"/>
        </w:rPr>
        <w:t>16.13征集文件明确规定无效的其他情形，或者其他被</w:t>
      </w:r>
      <w:r>
        <w:rPr>
          <w:rFonts w:hint="eastAsia" w:ascii="宋体" w:hAnsi="宋体" w:cs="宋体"/>
          <w:bCs/>
          <w:color w:val="auto"/>
          <w:szCs w:val="21"/>
        </w:rPr>
        <w:t>评标委员会</w:t>
      </w:r>
      <w:r>
        <w:rPr>
          <w:rFonts w:hint="eastAsia" w:ascii="宋体" w:hAnsi="宋体" w:cs="宋体"/>
          <w:color w:val="auto"/>
          <w:szCs w:val="21"/>
        </w:rPr>
        <w:t>认定无效的情况；</w:t>
      </w:r>
    </w:p>
    <w:p w14:paraId="3E65F499">
      <w:pPr>
        <w:spacing w:line="360" w:lineRule="auto"/>
        <w:ind w:firstLine="630"/>
        <w:rPr>
          <w:rFonts w:ascii="宋体" w:hAnsi="宋体" w:cs="宋体"/>
          <w:color w:val="auto"/>
          <w:szCs w:val="21"/>
        </w:rPr>
      </w:pPr>
      <w:r>
        <w:rPr>
          <w:rFonts w:hint="eastAsia" w:ascii="宋体" w:hAnsi="宋体" w:cs="宋体"/>
          <w:color w:val="auto"/>
          <w:szCs w:val="21"/>
        </w:rPr>
        <w:t>16.14征集文件中约定的其他无效标要求。</w:t>
      </w:r>
    </w:p>
    <w:p w14:paraId="4F3290D8">
      <w:pPr>
        <w:spacing w:line="360" w:lineRule="auto"/>
        <w:ind w:firstLine="630"/>
        <w:rPr>
          <w:rFonts w:ascii="宋体" w:hAnsi="宋体" w:cs="宋体"/>
          <w:color w:val="auto"/>
          <w:szCs w:val="21"/>
        </w:rPr>
      </w:pPr>
      <w:r>
        <w:rPr>
          <w:rFonts w:hint="eastAsia" w:ascii="宋体" w:hAnsi="宋体" w:cs="宋体"/>
          <w:color w:val="auto"/>
          <w:szCs w:val="21"/>
        </w:rPr>
        <w:t>16.15不符合法律、法规和征集文件规定的其他实质性要求的。</w:t>
      </w:r>
    </w:p>
    <w:p w14:paraId="099EE489">
      <w:pPr>
        <w:spacing w:line="360" w:lineRule="auto"/>
        <w:rPr>
          <w:rFonts w:ascii="宋体" w:hAnsi="宋体" w:cs="宋体"/>
          <w:b/>
          <w:color w:val="auto"/>
          <w:szCs w:val="21"/>
        </w:rPr>
      </w:pPr>
      <w:bookmarkStart w:id="67" w:name="_Toc288738818"/>
      <w:bookmarkStart w:id="68" w:name="_Toc288738424"/>
      <w:bookmarkStart w:id="69" w:name="_Toc288738350"/>
      <w:r>
        <w:rPr>
          <w:rFonts w:hint="eastAsia" w:ascii="宋体" w:hAnsi="宋体" w:cs="宋体"/>
          <w:b/>
          <w:color w:val="auto"/>
          <w:szCs w:val="21"/>
        </w:rPr>
        <w:t>十七、资格审查</w:t>
      </w:r>
    </w:p>
    <w:p w14:paraId="22788FCB">
      <w:pPr>
        <w:spacing w:line="360" w:lineRule="auto"/>
        <w:ind w:firstLine="420" w:firstLineChars="200"/>
        <w:rPr>
          <w:rFonts w:ascii="宋体" w:hAnsi="宋体" w:cs="宋体"/>
          <w:b/>
          <w:color w:val="auto"/>
          <w:szCs w:val="21"/>
        </w:rPr>
      </w:pPr>
      <w:r>
        <w:rPr>
          <w:rFonts w:hint="eastAsia" w:ascii="宋体" w:hAnsi="宋体" w:cs="宋体"/>
          <w:bCs/>
          <w:color w:val="auto"/>
          <w:szCs w:val="21"/>
        </w:rPr>
        <w:t>17.1开标结束后，评标委员会依据法律法规和征集文件的规定，对照投标文件资格审查材料对投标人的资格进行审查。</w:t>
      </w:r>
    </w:p>
    <w:p w14:paraId="7BE8251C">
      <w:pPr>
        <w:spacing w:line="360" w:lineRule="auto"/>
        <w:rPr>
          <w:rFonts w:ascii="宋体" w:hAnsi="宋体" w:cs="宋体"/>
          <w:b/>
          <w:color w:val="auto"/>
          <w:szCs w:val="21"/>
        </w:rPr>
      </w:pPr>
      <w:r>
        <w:rPr>
          <w:rFonts w:hint="eastAsia" w:ascii="宋体" w:hAnsi="宋体" w:cs="宋体"/>
          <w:b/>
          <w:color w:val="auto"/>
          <w:szCs w:val="21"/>
        </w:rPr>
        <w:t>十八、</w:t>
      </w:r>
      <w:bookmarkEnd w:id="67"/>
      <w:bookmarkEnd w:id="68"/>
      <w:bookmarkEnd w:id="69"/>
      <w:r>
        <w:rPr>
          <w:rFonts w:hint="eastAsia" w:ascii="宋体" w:hAnsi="宋体" w:cs="宋体"/>
          <w:b/>
          <w:color w:val="auto"/>
          <w:szCs w:val="21"/>
        </w:rPr>
        <w:t>评标准备与初步评审</w:t>
      </w:r>
    </w:p>
    <w:p w14:paraId="6986C4DA">
      <w:pPr>
        <w:spacing w:line="360" w:lineRule="auto"/>
        <w:ind w:firstLine="420" w:firstLineChars="200"/>
        <w:rPr>
          <w:rFonts w:ascii="宋体" w:hAnsi="宋体" w:cs="宋体"/>
          <w:bCs/>
          <w:color w:val="auto"/>
          <w:szCs w:val="21"/>
        </w:rPr>
      </w:pPr>
      <w:r>
        <w:rPr>
          <w:rFonts w:hint="eastAsia" w:ascii="宋体" w:hAnsi="宋体" w:cs="宋体"/>
          <w:bCs/>
          <w:color w:val="auto"/>
          <w:szCs w:val="21"/>
        </w:rPr>
        <w:t>18.1在详细评标之前，评标委员会应当对符合资格的投标人的投标文件进行符合性审查，以确定其是否满足征集文件的实质性要求。</w:t>
      </w:r>
    </w:p>
    <w:p w14:paraId="3E27F268">
      <w:pPr>
        <w:spacing w:line="360" w:lineRule="auto"/>
        <w:ind w:firstLine="420"/>
        <w:rPr>
          <w:rFonts w:ascii="宋体" w:hAnsi="宋体" w:cs="宋体"/>
          <w:bCs/>
          <w:color w:val="auto"/>
          <w:szCs w:val="21"/>
        </w:rPr>
      </w:pPr>
      <w:bookmarkStart w:id="70" w:name="_Toc288738351"/>
      <w:bookmarkStart w:id="71" w:name="_Toc288738819"/>
      <w:bookmarkStart w:id="72" w:name="_Toc288738425"/>
      <w:r>
        <w:rPr>
          <w:rFonts w:hint="eastAsia" w:ascii="宋体" w:hAnsi="宋体" w:cs="宋体"/>
          <w:bCs/>
          <w:color w:val="auto"/>
          <w:szCs w:val="21"/>
        </w:rPr>
        <w:t>18.2符合性审查中，投标文件报价出现前后不一致的，除征集文件另有规定外，按照下列规定修正：</w:t>
      </w:r>
    </w:p>
    <w:p w14:paraId="523C55CA">
      <w:pPr>
        <w:spacing w:line="360" w:lineRule="auto"/>
        <w:ind w:firstLine="420"/>
        <w:rPr>
          <w:rFonts w:ascii="宋体" w:hAnsi="宋体" w:cs="宋体"/>
          <w:bCs/>
          <w:color w:val="auto"/>
          <w:szCs w:val="21"/>
        </w:rPr>
      </w:pPr>
      <w:r>
        <w:rPr>
          <w:rFonts w:hint="eastAsia" w:ascii="宋体" w:hAnsi="宋体" w:cs="宋体"/>
          <w:bCs/>
          <w:color w:val="auto"/>
          <w:szCs w:val="21"/>
        </w:rPr>
        <w:t>（1）投标文件中开标一览表（报价表）内容与投标文件中相应内容不一致的，以开标一览表（报价表）为准；</w:t>
      </w:r>
    </w:p>
    <w:p w14:paraId="1FD4D5A1">
      <w:pPr>
        <w:spacing w:line="360" w:lineRule="auto"/>
        <w:ind w:firstLine="420"/>
        <w:rPr>
          <w:rFonts w:ascii="宋体" w:hAnsi="宋体" w:cs="宋体"/>
          <w:bCs/>
          <w:color w:val="auto"/>
          <w:szCs w:val="21"/>
        </w:rPr>
      </w:pPr>
      <w:r>
        <w:rPr>
          <w:rFonts w:hint="eastAsia" w:ascii="宋体" w:hAnsi="宋体" w:cs="宋体"/>
          <w:bCs/>
          <w:color w:val="auto"/>
          <w:szCs w:val="21"/>
        </w:rPr>
        <w:t>同时出现两种以上不一致的，按照前款规定的顺序修正。投标人不确认修正后报价的，其投标无效。</w:t>
      </w:r>
    </w:p>
    <w:p w14:paraId="6CD85628">
      <w:pPr>
        <w:spacing w:line="360" w:lineRule="auto"/>
        <w:ind w:firstLine="420"/>
        <w:rPr>
          <w:rFonts w:ascii="宋体" w:hAnsi="宋体" w:cs="宋体"/>
          <w:bCs/>
          <w:color w:val="auto"/>
          <w:szCs w:val="21"/>
        </w:rPr>
      </w:pPr>
      <w:r>
        <w:rPr>
          <w:rFonts w:hint="eastAsia" w:ascii="宋体" w:hAnsi="宋体" w:cs="宋体"/>
          <w:bCs/>
          <w:color w:val="auto"/>
          <w:szCs w:val="21"/>
        </w:rPr>
        <w:t>18.3评标委员会对投标文件的判定,只依据投标文件内容本身,不依据任何外来证明。</w:t>
      </w:r>
    </w:p>
    <w:p w14:paraId="328AC8BE">
      <w:pPr>
        <w:spacing w:line="360" w:lineRule="auto"/>
        <w:ind w:firstLine="420"/>
        <w:rPr>
          <w:rFonts w:ascii="宋体" w:hAnsi="宋体" w:cs="宋体"/>
          <w:bCs/>
          <w:color w:val="auto"/>
          <w:szCs w:val="21"/>
        </w:rPr>
      </w:pPr>
      <w:r>
        <w:rPr>
          <w:rFonts w:hint="eastAsia" w:ascii="宋体" w:hAnsi="宋体" w:cs="宋体"/>
          <w:bCs/>
          <w:color w:val="auto"/>
          <w:szCs w:val="21"/>
        </w:rPr>
        <w:t>18.4评标委员会发现征集文件存在歧义、重大缺陷导致评标工作无法进行，或者征集文件内容违反国家有关强制性规定的，应当停止评标工作，与采购人或者采购代理机构沟通并作书面记录。采购人或者采购代理机构确认后，应当修改征集文件，重新组织采购活动。</w:t>
      </w:r>
    </w:p>
    <w:p w14:paraId="181B3D6A">
      <w:pPr>
        <w:spacing w:line="360" w:lineRule="auto"/>
        <w:rPr>
          <w:rFonts w:ascii="宋体" w:hAnsi="宋体" w:cs="宋体"/>
          <w:b/>
          <w:color w:val="auto"/>
          <w:szCs w:val="21"/>
        </w:rPr>
      </w:pPr>
      <w:r>
        <w:rPr>
          <w:rFonts w:hint="eastAsia" w:ascii="宋体" w:hAnsi="宋体" w:cs="宋体"/>
          <w:b/>
          <w:color w:val="auto"/>
          <w:szCs w:val="21"/>
        </w:rPr>
        <w:t>十九、投标文件的澄清</w:t>
      </w:r>
      <w:bookmarkEnd w:id="70"/>
      <w:bookmarkEnd w:id="71"/>
      <w:bookmarkEnd w:id="72"/>
    </w:p>
    <w:p w14:paraId="0F7A4CBD">
      <w:pPr>
        <w:spacing w:line="360" w:lineRule="auto"/>
        <w:ind w:firstLine="420"/>
        <w:rPr>
          <w:rFonts w:ascii="宋体" w:hAnsi="宋体" w:cs="宋体"/>
          <w:color w:val="auto"/>
          <w:szCs w:val="21"/>
        </w:rPr>
      </w:pPr>
      <w:r>
        <w:rPr>
          <w:rFonts w:hint="eastAsia" w:ascii="宋体" w:hAnsi="宋体" w:cs="宋体"/>
          <w:color w:val="auto"/>
          <w:szCs w:val="21"/>
        </w:rPr>
        <w:t>19.1为了有助于投标文件的审查、评价和比较，</w:t>
      </w:r>
      <w:r>
        <w:rPr>
          <w:rFonts w:hint="eastAsia" w:ascii="宋体" w:hAnsi="宋体" w:cs="宋体"/>
          <w:bCs/>
          <w:color w:val="auto"/>
          <w:szCs w:val="21"/>
        </w:rPr>
        <w:t>评标委员会</w:t>
      </w:r>
      <w:r>
        <w:rPr>
          <w:rFonts w:hint="eastAsia" w:ascii="宋体" w:hAnsi="宋体" w:cs="宋体"/>
          <w:color w:val="auto"/>
          <w:szCs w:val="21"/>
        </w:rPr>
        <w:t>可以书面方式要求投标人对投标文件中含义不明确、对同类问题表述不一致或者明显文字和计算错误的内容作必要的澄清、说明或者补正。投标人的澄清、说明或者补正应以书面方式进行并不得超出投标文件的范围或者改变投标文件的实质性内容。</w:t>
      </w:r>
    </w:p>
    <w:p w14:paraId="0AAB63C5">
      <w:pPr>
        <w:spacing w:line="360" w:lineRule="auto"/>
        <w:ind w:firstLine="420"/>
        <w:rPr>
          <w:rFonts w:ascii="宋体" w:hAnsi="宋体" w:cs="宋体"/>
          <w:color w:val="auto"/>
          <w:szCs w:val="21"/>
        </w:rPr>
      </w:pPr>
      <w:r>
        <w:rPr>
          <w:rFonts w:hint="eastAsia" w:ascii="宋体" w:hAnsi="宋体" w:cs="宋体"/>
          <w:color w:val="auto"/>
          <w:szCs w:val="21"/>
        </w:rPr>
        <w:t>19.2所有澄清或说明必须以书面方式正式为之，由法定代表人或其代理人的签名或盖章。</w:t>
      </w:r>
    </w:p>
    <w:p w14:paraId="1AE08CD8">
      <w:pPr>
        <w:spacing w:line="360" w:lineRule="auto"/>
        <w:ind w:firstLine="420"/>
        <w:rPr>
          <w:rFonts w:ascii="宋体" w:hAnsi="宋体" w:cs="宋体"/>
          <w:color w:val="auto"/>
          <w:szCs w:val="21"/>
        </w:rPr>
      </w:pPr>
      <w:r>
        <w:rPr>
          <w:rFonts w:hint="eastAsia" w:ascii="宋体" w:hAnsi="宋体" w:cs="宋体"/>
          <w:color w:val="auto"/>
          <w:szCs w:val="21"/>
        </w:rPr>
        <w:t>19.3投标人拒不按照</w:t>
      </w:r>
      <w:r>
        <w:rPr>
          <w:rFonts w:hint="eastAsia" w:ascii="宋体" w:hAnsi="宋体" w:cs="宋体"/>
          <w:bCs/>
          <w:color w:val="auto"/>
          <w:szCs w:val="21"/>
        </w:rPr>
        <w:t>评标委员会</w:t>
      </w:r>
      <w:r>
        <w:rPr>
          <w:rFonts w:hint="eastAsia" w:ascii="宋体" w:hAnsi="宋体" w:cs="宋体"/>
          <w:color w:val="auto"/>
          <w:szCs w:val="21"/>
        </w:rPr>
        <w:t>要求作出澄清、说明或者补正的，作为无效投标处理。</w:t>
      </w:r>
    </w:p>
    <w:p w14:paraId="08BE172D">
      <w:pPr>
        <w:spacing w:line="360" w:lineRule="auto"/>
        <w:rPr>
          <w:rFonts w:ascii="宋体" w:hAnsi="宋体" w:cs="宋体"/>
          <w:b/>
          <w:color w:val="auto"/>
          <w:szCs w:val="21"/>
        </w:rPr>
      </w:pPr>
      <w:bookmarkStart w:id="73" w:name="_Toc288738820"/>
      <w:bookmarkStart w:id="74" w:name="_Toc288738426"/>
      <w:bookmarkStart w:id="75" w:name="_Toc288738352"/>
      <w:r>
        <w:rPr>
          <w:rFonts w:hint="eastAsia" w:ascii="宋体" w:hAnsi="宋体" w:cs="宋体"/>
          <w:b/>
          <w:color w:val="auto"/>
          <w:szCs w:val="21"/>
        </w:rPr>
        <w:t>二十、对投标文件的详细评审</w:t>
      </w:r>
    </w:p>
    <w:p w14:paraId="69F52DA8">
      <w:pPr>
        <w:spacing w:line="360" w:lineRule="auto"/>
        <w:ind w:firstLine="420"/>
        <w:rPr>
          <w:rFonts w:ascii="宋体" w:hAnsi="宋体" w:cs="宋体"/>
          <w:b/>
          <w:color w:val="auto"/>
          <w:szCs w:val="21"/>
        </w:rPr>
      </w:pPr>
      <w:r>
        <w:rPr>
          <w:rFonts w:hint="eastAsia" w:ascii="宋体" w:hAnsi="宋体" w:cs="宋体"/>
          <w:bCs/>
          <w:color w:val="auto"/>
          <w:szCs w:val="21"/>
        </w:rPr>
        <w:t>20.1评标委员会只对实质上响应征集文件的投标进行详细评审；评审应严格按照征集文件的要求和条件进行，评委会不得擅自改动、细化征集文件及评分细则；具体评审原则、方法和中标条件</w:t>
      </w:r>
      <w:r>
        <w:rPr>
          <w:rFonts w:hint="eastAsia" w:ascii="宋体" w:hAnsi="宋体" w:cs="宋体"/>
          <w:b/>
          <w:color w:val="auto"/>
          <w:szCs w:val="21"/>
        </w:rPr>
        <w:t>详见第五部分评标方法和评标标准。</w:t>
      </w:r>
    </w:p>
    <w:p w14:paraId="3BEFB746">
      <w:pPr>
        <w:spacing w:line="360" w:lineRule="auto"/>
        <w:ind w:firstLine="420"/>
        <w:rPr>
          <w:rFonts w:ascii="宋体" w:hAnsi="宋体" w:cs="宋体"/>
          <w:bCs/>
          <w:color w:val="auto"/>
          <w:szCs w:val="21"/>
        </w:rPr>
      </w:pPr>
      <w:r>
        <w:rPr>
          <w:rFonts w:hint="eastAsia" w:ascii="宋体" w:hAnsi="宋体" w:cs="宋体"/>
          <w:bCs/>
          <w:color w:val="auto"/>
          <w:szCs w:val="21"/>
        </w:rPr>
        <w:t>20.2因落实政府采购政策进行价格调整的，以调整后的价格计算评标基准价和投标报价。根据《政府采购促进中小企业发展管理办法》等相关规定，</w:t>
      </w:r>
      <w:r>
        <w:rPr>
          <w:rFonts w:ascii="宋体" w:hAnsi="宋体"/>
          <w:color w:val="auto"/>
          <w:szCs w:val="21"/>
        </w:rPr>
        <w:t>对于非专门面向中小企业的</w:t>
      </w:r>
      <w:r>
        <w:rPr>
          <w:rFonts w:hint="eastAsia" w:ascii="宋体" w:hAnsi="宋体"/>
          <w:color w:val="auto"/>
          <w:szCs w:val="21"/>
        </w:rPr>
        <w:t>服务</w:t>
      </w:r>
      <w:r>
        <w:rPr>
          <w:rFonts w:ascii="宋体" w:hAnsi="宋体"/>
          <w:color w:val="auto"/>
          <w:szCs w:val="21"/>
        </w:rPr>
        <w:t>项目，对</w:t>
      </w:r>
      <w:r>
        <w:rPr>
          <w:rFonts w:hint="eastAsia" w:ascii="宋体" w:hAnsi="宋体"/>
          <w:color w:val="auto"/>
          <w:szCs w:val="21"/>
        </w:rPr>
        <w:t>于符合条件的</w:t>
      </w:r>
      <w:r>
        <w:rPr>
          <w:rFonts w:ascii="宋体" w:hAnsi="宋体"/>
          <w:color w:val="auto"/>
          <w:szCs w:val="21"/>
        </w:rPr>
        <w:t>小型和微型企业给予</w:t>
      </w:r>
      <w:r>
        <w:rPr>
          <w:rFonts w:hint="eastAsia" w:ascii="宋体" w:hAnsi="宋体"/>
          <w:color w:val="auto"/>
          <w:szCs w:val="21"/>
        </w:rPr>
        <w:t>20</w:t>
      </w:r>
      <w:r>
        <w:rPr>
          <w:color w:val="auto"/>
          <w:szCs w:val="21"/>
        </w:rPr>
        <w:t>%</w:t>
      </w:r>
      <w:r>
        <w:rPr>
          <w:rFonts w:ascii="宋体" w:hAnsi="宋体"/>
          <w:color w:val="auto"/>
          <w:szCs w:val="21"/>
        </w:rPr>
        <w:t>的扣除，用扣除后的价格参与评审，具体扣除的比例</w:t>
      </w:r>
      <w:r>
        <w:rPr>
          <w:rFonts w:ascii="宋体" w:hAnsi="宋体"/>
          <w:b/>
          <w:bCs/>
          <w:color w:val="auto"/>
          <w:szCs w:val="21"/>
        </w:rPr>
        <w:t>详见</w:t>
      </w:r>
      <w:r>
        <w:rPr>
          <w:rFonts w:hint="eastAsia" w:ascii="宋体" w:hAnsi="宋体"/>
          <w:b/>
          <w:bCs/>
          <w:color w:val="auto"/>
          <w:szCs w:val="21"/>
        </w:rPr>
        <w:t>投标人</w:t>
      </w:r>
      <w:r>
        <w:rPr>
          <w:rFonts w:ascii="宋体" w:hAnsi="宋体"/>
          <w:b/>
          <w:bCs/>
          <w:color w:val="auto"/>
          <w:szCs w:val="21"/>
        </w:rPr>
        <w:t>须知前附表第</w:t>
      </w:r>
      <w:r>
        <w:rPr>
          <w:rFonts w:hint="eastAsia" w:cs="宋体"/>
          <w:b/>
          <w:bCs/>
          <w:color w:val="auto"/>
          <w:szCs w:val="21"/>
        </w:rPr>
        <w:t>25</w:t>
      </w:r>
      <w:r>
        <w:rPr>
          <w:rFonts w:ascii="宋体" w:hAnsi="宋体"/>
          <w:b/>
          <w:bCs/>
          <w:color w:val="auto"/>
          <w:szCs w:val="21"/>
        </w:rPr>
        <w:t>条</w:t>
      </w:r>
      <w:r>
        <w:rPr>
          <w:rFonts w:ascii="宋体" w:hAnsi="宋体"/>
          <w:color w:val="auto"/>
          <w:szCs w:val="21"/>
        </w:rPr>
        <w:t>。</w:t>
      </w:r>
    </w:p>
    <w:p w14:paraId="4DF5BBA6">
      <w:pPr>
        <w:spacing w:line="360" w:lineRule="auto"/>
        <w:rPr>
          <w:rFonts w:ascii="宋体" w:hAnsi="宋体" w:cs="宋体"/>
          <w:b/>
          <w:color w:val="auto"/>
          <w:szCs w:val="21"/>
        </w:rPr>
      </w:pPr>
      <w:r>
        <w:rPr>
          <w:rFonts w:hint="eastAsia" w:ascii="宋体" w:hAnsi="宋体" w:cs="宋体"/>
          <w:b/>
          <w:color w:val="auto"/>
          <w:szCs w:val="21"/>
        </w:rPr>
        <w:t>二十一、评标过程要求</w:t>
      </w:r>
    </w:p>
    <w:p w14:paraId="211CF0AC">
      <w:pPr>
        <w:spacing w:line="360" w:lineRule="auto"/>
        <w:ind w:firstLine="420"/>
        <w:rPr>
          <w:rFonts w:ascii="宋体" w:hAnsi="宋体" w:cs="宋体"/>
          <w:bCs/>
          <w:color w:val="auto"/>
          <w:szCs w:val="21"/>
        </w:rPr>
      </w:pPr>
      <w:r>
        <w:rPr>
          <w:rFonts w:hint="eastAsia" w:ascii="宋体" w:hAnsi="宋体" w:cs="宋体"/>
          <w:bCs/>
          <w:color w:val="auto"/>
          <w:szCs w:val="21"/>
        </w:rPr>
        <w:t>21.1评审时除考虑供应商的报价之外，还将考虑以下因素：</w:t>
      </w:r>
    </w:p>
    <w:p w14:paraId="661ACF86">
      <w:pPr>
        <w:spacing w:line="360" w:lineRule="auto"/>
        <w:ind w:firstLine="420"/>
        <w:rPr>
          <w:rFonts w:ascii="宋体" w:hAnsi="宋体" w:cs="宋体"/>
          <w:bCs/>
          <w:color w:val="auto"/>
          <w:szCs w:val="21"/>
        </w:rPr>
      </w:pPr>
      <w:r>
        <w:rPr>
          <w:rFonts w:hint="eastAsia" w:ascii="宋体" w:hAnsi="宋体" w:cs="宋体"/>
          <w:bCs/>
          <w:color w:val="auto"/>
          <w:szCs w:val="21"/>
        </w:rPr>
        <w:t>（1）投标文件的响应状况（包括是否按照征集文件要求制作）；</w:t>
      </w:r>
    </w:p>
    <w:p w14:paraId="5173C8F1">
      <w:pPr>
        <w:spacing w:line="360" w:lineRule="auto"/>
        <w:ind w:firstLine="420"/>
        <w:rPr>
          <w:rFonts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lang w:val="en-US" w:eastAsia="zh-CN"/>
        </w:rPr>
        <w:t>整体</w:t>
      </w:r>
      <w:r>
        <w:rPr>
          <w:rFonts w:hint="eastAsia" w:ascii="宋体" w:hAnsi="宋体" w:cs="宋体"/>
          <w:bCs/>
          <w:color w:val="auto"/>
          <w:szCs w:val="21"/>
        </w:rPr>
        <w:t>方案（包括</w:t>
      </w:r>
      <w:r>
        <w:rPr>
          <w:rFonts w:hint="eastAsia" w:ascii="宋体" w:hAnsi="宋体" w:cs="宋体"/>
          <w:bCs/>
          <w:color w:val="auto"/>
          <w:szCs w:val="21"/>
          <w:lang w:val="en-US" w:eastAsia="zh-CN"/>
        </w:rPr>
        <w:t>基本服务方案、特色服务方案</w:t>
      </w:r>
      <w:r>
        <w:rPr>
          <w:rFonts w:hint="eastAsia" w:ascii="宋体" w:hAnsi="宋体" w:cs="宋体"/>
          <w:bCs/>
          <w:color w:val="auto"/>
          <w:szCs w:val="21"/>
        </w:rPr>
        <w:t>）、</w:t>
      </w:r>
      <w:r>
        <w:rPr>
          <w:rFonts w:hint="eastAsia" w:ascii="宋体" w:hAnsi="宋体" w:cs="宋体"/>
          <w:bCs/>
          <w:color w:val="auto"/>
          <w:szCs w:val="21"/>
          <w:lang w:val="en-US" w:eastAsia="zh-CN"/>
        </w:rPr>
        <w:t>信息化监管设备</w:t>
      </w:r>
      <w:r>
        <w:rPr>
          <w:rFonts w:hint="eastAsia" w:ascii="宋体" w:hAnsi="宋体" w:cs="宋体"/>
          <w:bCs/>
          <w:color w:val="auto"/>
          <w:szCs w:val="21"/>
        </w:rPr>
        <w:t>、</w:t>
      </w:r>
      <w:r>
        <w:rPr>
          <w:rFonts w:hint="eastAsia" w:ascii="宋体" w:hAnsi="宋体" w:cs="宋体"/>
          <w:bCs/>
          <w:color w:val="auto"/>
          <w:szCs w:val="21"/>
          <w:lang w:val="en-US" w:eastAsia="zh-CN"/>
        </w:rPr>
        <w:t>从业人员资质、维修设备、基础台账</w:t>
      </w:r>
      <w:r>
        <w:rPr>
          <w:rFonts w:hint="eastAsia" w:ascii="宋体" w:hAnsi="宋体" w:cs="宋体"/>
          <w:bCs/>
          <w:color w:val="auto"/>
          <w:szCs w:val="21"/>
        </w:rPr>
        <w:t>等；</w:t>
      </w:r>
    </w:p>
    <w:p w14:paraId="0378A830">
      <w:pPr>
        <w:spacing w:line="360" w:lineRule="auto"/>
        <w:ind w:firstLine="420"/>
        <w:rPr>
          <w:rFonts w:ascii="宋体" w:hAnsi="宋体" w:cs="宋体"/>
          <w:bCs/>
          <w:color w:val="auto"/>
          <w:szCs w:val="21"/>
        </w:rPr>
      </w:pPr>
      <w:r>
        <w:rPr>
          <w:rFonts w:hint="eastAsia" w:ascii="宋体" w:hAnsi="宋体" w:cs="宋体"/>
          <w:bCs/>
          <w:color w:val="auto"/>
          <w:szCs w:val="21"/>
        </w:rPr>
        <w:t>（3）征集文件规定的其它评审因素。</w:t>
      </w:r>
    </w:p>
    <w:p w14:paraId="1BB655F3">
      <w:pPr>
        <w:spacing w:line="360" w:lineRule="auto"/>
        <w:ind w:firstLine="420"/>
        <w:rPr>
          <w:rFonts w:ascii="宋体" w:hAnsi="宋体" w:cs="宋体"/>
          <w:bCs/>
          <w:color w:val="auto"/>
          <w:szCs w:val="21"/>
        </w:rPr>
      </w:pPr>
      <w:r>
        <w:rPr>
          <w:rFonts w:hint="eastAsia" w:ascii="宋体" w:hAnsi="宋体" w:cs="宋体"/>
          <w:bCs/>
          <w:color w:val="auto"/>
          <w:szCs w:val="21"/>
        </w:rPr>
        <w:t>21.2评标委员会成员应当在评审报告上签字，对自己的评审意见承担法律责任。对需要共同认定的事项存在争议的，应当按照少数服从多数的原则作出结论。持不同意见的评标委员会成员应当在评标报告上签署不同意见及理由，否则视为同意评标报告。</w:t>
      </w:r>
    </w:p>
    <w:p w14:paraId="25522A37">
      <w:pPr>
        <w:spacing w:line="360" w:lineRule="auto"/>
        <w:rPr>
          <w:rFonts w:ascii="宋体" w:hAnsi="宋体" w:cs="宋体"/>
          <w:b/>
          <w:color w:val="auto"/>
          <w:szCs w:val="21"/>
        </w:rPr>
      </w:pPr>
      <w:r>
        <w:rPr>
          <w:rFonts w:hint="eastAsia" w:ascii="宋体" w:hAnsi="宋体" w:cs="宋体"/>
          <w:b/>
          <w:color w:val="auto"/>
          <w:szCs w:val="21"/>
        </w:rPr>
        <w:t>二十二、关于重新评审及投标文件瑕疵滞后发现的处理规则</w:t>
      </w:r>
    </w:p>
    <w:p w14:paraId="1B299140">
      <w:pPr>
        <w:spacing w:line="360" w:lineRule="auto"/>
        <w:ind w:firstLine="420"/>
        <w:rPr>
          <w:rFonts w:ascii="宋体" w:hAnsi="宋体" w:cs="宋体"/>
          <w:bCs/>
          <w:color w:val="auto"/>
          <w:szCs w:val="21"/>
        </w:rPr>
      </w:pPr>
      <w:r>
        <w:rPr>
          <w:rFonts w:hint="eastAsia" w:ascii="宋体" w:hAnsi="宋体" w:cs="宋体"/>
          <w:bCs/>
          <w:color w:val="auto"/>
          <w:szCs w:val="21"/>
        </w:rPr>
        <w:t>22.1评标结果汇总完成后，除下列情形外，任何人不得修改评标结果：</w:t>
      </w:r>
    </w:p>
    <w:p w14:paraId="637C8313">
      <w:pPr>
        <w:spacing w:line="360" w:lineRule="auto"/>
        <w:ind w:firstLine="420" w:firstLineChars="200"/>
        <w:rPr>
          <w:rFonts w:ascii="宋体" w:hAnsi="宋体" w:cs="宋体"/>
          <w:bCs/>
          <w:color w:val="auto"/>
          <w:szCs w:val="21"/>
        </w:rPr>
      </w:pPr>
      <w:r>
        <w:rPr>
          <w:rFonts w:hint="eastAsia" w:ascii="宋体" w:hAnsi="宋体" w:cs="宋体"/>
          <w:bCs/>
          <w:color w:val="auto"/>
          <w:szCs w:val="21"/>
        </w:rPr>
        <w:t>（1）分值汇总计算错误的；</w:t>
      </w:r>
    </w:p>
    <w:p w14:paraId="7A2E17DF">
      <w:pPr>
        <w:spacing w:line="360" w:lineRule="auto"/>
        <w:ind w:firstLine="420" w:firstLineChars="200"/>
        <w:rPr>
          <w:rFonts w:ascii="宋体" w:hAnsi="宋体" w:cs="宋体"/>
          <w:bCs/>
          <w:color w:val="auto"/>
          <w:szCs w:val="21"/>
        </w:rPr>
      </w:pPr>
      <w:r>
        <w:rPr>
          <w:rFonts w:hint="eastAsia" w:ascii="宋体" w:hAnsi="宋体" w:cs="宋体"/>
          <w:bCs/>
          <w:color w:val="auto"/>
          <w:szCs w:val="21"/>
        </w:rPr>
        <w:t>（2）分项评分超出评分标准范围的；</w:t>
      </w:r>
    </w:p>
    <w:p w14:paraId="7E72EFF2">
      <w:pPr>
        <w:spacing w:line="360" w:lineRule="auto"/>
        <w:ind w:firstLine="420" w:firstLineChars="200"/>
        <w:rPr>
          <w:rFonts w:ascii="宋体" w:hAnsi="宋体" w:cs="宋体"/>
          <w:bCs/>
          <w:color w:val="auto"/>
          <w:szCs w:val="21"/>
        </w:rPr>
      </w:pPr>
      <w:r>
        <w:rPr>
          <w:rFonts w:hint="eastAsia" w:ascii="宋体" w:hAnsi="宋体" w:cs="宋体"/>
          <w:bCs/>
          <w:color w:val="auto"/>
          <w:szCs w:val="21"/>
        </w:rPr>
        <w:t>（3）评标委员会成员对客观评审因素评分不一致的；</w:t>
      </w:r>
    </w:p>
    <w:p w14:paraId="2106304C">
      <w:pPr>
        <w:spacing w:line="360" w:lineRule="auto"/>
        <w:ind w:firstLine="420" w:firstLineChars="200"/>
        <w:rPr>
          <w:rFonts w:ascii="宋体" w:hAnsi="宋体" w:cs="宋体"/>
          <w:bCs/>
          <w:color w:val="auto"/>
          <w:szCs w:val="21"/>
        </w:rPr>
      </w:pPr>
      <w:r>
        <w:rPr>
          <w:rFonts w:hint="eastAsia" w:ascii="宋体" w:hAnsi="宋体" w:cs="宋体"/>
          <w:bCs/>
          <w:color w:val="auto"/>
          <w:szCs w:val="21"/>
        </w:rPr>
        <w:t>（4）经评标委员会认定评分畸高、畸低的。</w:t>
      </w:r>
    </w:p>
    <w:p w14:paraId="0D3F8D8B">
      <w:pPr>
        <w:spacing w:line="360" w:lineRule="auto"/>
        <w:ind w:firstLine="420"/>
        <w:rPr>
          <w:rFonts w:ascii="宋体" w:hAnsi="宋体" w:cs="宋体"/>
          <w:bCs/>
          <w:color w:val="auto"/>
          <w:szCs w:val="21"/>
        </w:rPr>
      </w:pPr>
      <w:r>
        <w:rPr>
          <w:rFonts w:hint="eastAsia" w:ascii="宋体" w:hAnsi="宋体" w:cs="宋体"/>
          <w:bCs/>
          <w:color w:val="auto"/>
          <w:szCs w:val="21"/>
        </w:rPr>
        <w:t>评标报告签署前，经复核发现存在以上情形之一的，评标委员会应当当场修改评标结果，并在评标报告中记载；评标报告签署后，征集人或者采购中心发现存在以上情形之一的，应当组织原评标委员会进行重新评审，重新评审改变评标结果的，书面报告本级财政部门。</w:t>
      </w:r>
    </w:p>
    <w:p w14:paraId="5A0E909B">
      <w:pPr>
        <w:spacing w:line="360" w:lineRule="auto"/>
        <w:ind w:firstLine="420"/>
        <w:rPr>
          <w:rFonts w:ascii="宋体" w:hAnsi="宋体" w:cs="宋体"/>
          <w:bCs/>
          <w:color w:val="auto"/>
          <w:szCs w:val="21"/>
        </w:rPr>
      </w:pPr>
      <w:r>
        <w:rPr>
          <w:rFonts w:hint="eastAsia" w:ascii="宋体" w:hAnsi="宋体" w:cs="宋体"/>
          <w:bCs/>
          <w:color w:val="auto"/>
          <w:szCs w:val="21"/>
        </w:rPr>
        <w:t>22.2无论基于何种原因，各项本应作拒绝投标处理的情形即便未被及时发现而使该投标人进入符合性审查、详细评审或其它后续程序，一旦被发现存在上述情形，将按照相关法律法规的规定进行处理，必要时将提请监管部门进行处理。</w:t>
      </w:r>
    </w:p>
    <w:bookmarkEnd w:id="73"/>
    <w:bookmarkEnd w:id="74"/>
    <w:bookmarkEnd w:id="75"/>
    <w:p w14:paraId="5AA93590">
      <w:pPr>
        <w:spacing w:line="360" w:lineRule="auto"/>
        <w:rPr>
          <w:rFonts w:ascii="宋体" w:hAnsi="宋体" w:cs="宋体"/>
          <w:b/>
          <w:color w:val="auto"/>
          <w:szCs w:val="21"/>
        </w:rPr>
      </w:pPr>
      <w:bookmarkStart w:id="76" w:name="_Toc288738354"/>
      <w:bookmarkStart w:id="77" w:name="_Toc288738428"/>
      <w:bookmarkStart w:id="78" w:name="_Toc288738822"/>
      <w:r>
        <w:rPr>
          <w:rFonts w:hint="eastAsia" w:ascii="宋体" w:hAnsi="宋体" w:cs="宋体"/>
          <w:b/>
          <w:color w:val="auto"/>
          <w:szCs w:val="21"/>
        </w:rPr>
        <w:t>二十三、</w:t>
      </w:r>
      <w:bookmarkEnd w:id="76"/>
      <w:bookmarkEnd w:id="77"/>
      <w:bookmarkEnd w:id="78"/>
      <w:r>
        <w:rPr>
          <w:rFonts w:hint="eastAsia" w:ascii="宋体" w:hAnsi="宋体" w:cs="宋体"/>
          <w:b/>
          <w:color w:val="auto"/>
          <w:szCs w:val="21"/>
        </w:rPr>
        <w:t>定标</w:t>
      </w:r>
    </w:p>
    <w:p w14:paraId="56828ED2">
      <w:pPr>
        <w:spacing w:line="360" w:lineRule="auto"/>
        <w:ind w:firstLine="420"/>
        <w:rPr>
          <w:rFonts w:ascii="宋体" w:hAnsi="宋体" w:cs="宋体"/>
          <w:color w:val="auto"/>
          <w:szCs w:val="21"/>
        </w:rPr>
      </w:pPr>
      <w:r>
        <w:rPr>
          <w:rFonts w:hint="eastAsia" w:ascii="宋体" w:hAnsi="宋体" w:cs="宋体"/>
          <w:color w:val="auto"/>
          <w:szCs w:val="21"/>
        </w:rPr>
        <w:t>23.1评标委员会按照征集文件确定的评标方法、步骤、标准，对投标文件进行评审。评标结束后，对供应商的评审名次进行排序，确定入围候选人排序，根据全体评标成员签字的原始评标记录和评标结果编写评标报告。</w:t>
      </w:r>
    </w:p>
    <w:p w14:paraId="49513446">
      <w:pPr>
        <w:spacing w:line="360" w:lineRule="auto"/>
        <w:ind w:firstLine="420"/>
        <w:rPr>
          <w:rFonts w:ascii="宋体" w:hAnsi="宋体" w:cs="宋体"/>
          <w:color w:val="auto"/>
          <w:szCs w:val="21"/>
        </w:rPr>
      </w:pPr>
      <w:r>
        <w:rPr>
          <w:rFonts w:hint="eastAsia" w:ascii="宋体" w:hAnsi="宋体" w:cs="宋体"/>
          <w:color w:val="auto"/>
          <w:szCs w:val="21"/>
        </w:rPr>
        <w:t>23.2评委会所有成员应当在评标报告上签字确认，评标报告的主要内容包括：</w:t>
      </w:r>
    </w:p>
    <w:p w14:paraId="50E630CB">
      <w:pPr>
        <w:spacing w:line="360" w:lineRule="auto"/>
        <w:ind w:firstLine="630"/>
        <w:rPr>
          <w:rFonts w:ascii="宋体" w:hAnsi="宋体" w:cs="宋体"/>
          <w:color w:val="auto"/>
          <w:szCs w:val="21"/>
        </w:rPr>
      </w:pPr>
      <w:r>
        <w:rPr>
          <w:rFonts w:hint="eastAsia" w:ascii="宋体" w:hAnsi="宋体" w:cs="宋体"/>
          <w:color w:val="auto"/>
          <w:szCs w:val="21"/>
        </w:rPr>
        <w:t>（1）供应商名单和评标委员会成员名单；</w:t>
      </w:r>
    </w:p>
    <w:p w14:paraId="09832B8E">
      <w:pPr>
        <w:spacing w:line="360" w:lineRule="auto"/>
        <w:ind w:firstLine="630"/>
        <w:rPr>
          <w:rFonts w:ascii="宋体" w:hAnsi="宋体" w:cs="宋体"/>
          <w:color w:val="auto"/>
          <w:szCs w:val="21"/>
        </w:rPr>
      </w:pPr>
      <w:r>
        <w:rPr>
          <w:rFonts w:hint="eastAsia" w:ascii="宋体" w:hAnsi="宋体" w:cs="宋体"/>
          <w:color w:val="auto"/>
          <w:szCs w:val="21"/>
        </w:rPr>
        <w:t>（2）评标方法和评标标准；</w:t>
      </w:r>
    </w:p>
    <w:p w14:paraId="72DC9140">
      <w:pPr>
        <w:spacing w:line="360" w:lineRule="auto"/>
        <w:ind w:firstLine="630"/>
        <w:rPr>
          <w:rFonts w:ascii="宋体" w:hAnsi="宋体" w:cs="宋体"/>
          <w:color w:val="auto"/>
          <w:szCs w:val="21"/>
        </w:rPr>
      </w:pPr>
      <w:r>
        <w:rPr>
          <w:rFonts w:hint="eastAsia" w:ascii="宋体" w:hAnsi="宋体" w:cs="宋体"/>
          <w:color w:val="auto"/>
          <w:szCs w:val="21"/>
        </w:rPr>
        <w:t>（3）开启记录和评标情况及说明，包括投标无效供应商名单及原因；</w:t>
      </w:r>
    </w:p>
    <w:p w14:paraId="1E83D3BD">
      <w:pPr>
        <w:spacing w:line="360" w:lineRule="auto"/>
        <w:ind w:firstLine="630"/>
        <w:rPr>
          <w:rFonts w:ascii="宋体" w:hAnsi="宋体" w:cs="宋体"/>
          <w:color w:val="auto"/>
          <w:szCs w:val="21"/>
        </w:rPr>
      </w:pPr>
      <w:r>
        <w:rPr>
          <w:rFonts w:hint="eastAsia" w:ascii="宋体" w:hAnsi="宋体" w:cs="宋体"/>
          <w:color w:val="auto"/>
          <w:szCs w:val="21"/>
        </w:rPr>
        <w:t>（4）评标结果，确定的入围候选人名单或者经征集人委托直接确定的入围供应商；</w:t>
      </w:r>
    </w:p>
    <w:p w14:paraId="421906D1">
      <w:pPr>
        <w:spacing w:line="360" w:lineRule="auto"/>
        <w:ind w:firstLine="630"/>
        <w:rPr>
          <w:rFonts w:ascii="宋体" w:hAnsi="宋体" w:cs="宋体"/>
          <w:color w:val="auto"/>
          <w:szCs w:val="21"/>
        </w:rPr>
      </w:pPr>
      <w:r>
        <w:rPr>
          <w:rFonts w:hint="eastAsia" w:ascii="宋体" w:hAnsi="宋体" w:cs="宋体"/>
          <w:color w:val="auto"/>
          <w:szCs w:val="21"/>
        </w:rPr>
        <w:t>（5）其他需要说明的情况，包括评标过程中供应商根据评标委员会要求进行澄清、说明或者补正，评标委员会成员的更换等。</w:t>
      </w:r>
    </w:p>
    <w:p w14:paraId="63EC5DE7">
      <w:pPr>
        <w:spacing w:line="360" w:lineRule="auto"/>
        <w:ind w:firstLine="420"/>
        <w:rPr>
          <w:rFonts w:ascii="宋体" w:hAnsi="宋体" w:cs="宋体"/>
          <w:color w:val="auto"/>
          <w:szCs w:val="21"/>
        </w:rPr>
      </w:pPr>
      <w:r>
        <w:rPr>
          <w:rFonts w:hint="eastAsia" w:ascii="宋体" w:hAnsi="宋体" w:cs="宋体"/>
          <w:color w:val="auto"/>
          <w:szCs w:val="21"/>
        </w:rPr>
        <w:t>23.3由评标委员会直接确定预入围候选人的，征集人自评标结束之日起2个工作日内在指定媒体上公布评标结果；需要采购人确认的，采购人应当自收到评标报告之日起5个工作日内在评标报告确定的入围候选人名单中按顺序确定预入围供应商。</w:t>
      </w:r>
    </w:p>
    <w:p w14:paraId="3DB5B15D">
      <w:pPr>
        <w:spacing w:line="360" w:lineRule="auto"/>
        <w:rPr>
          <w:rFonts w:ascii="宋体" w:hAnsi="宋体" w:cs="宋体"/>
          <w:b/>
          <w:color w:val="auto"/>
          <w:szCs w:val="21"/>
        </w:rPr>
      </w:pPr>
      <w:r>
        <w:rPr>
          <w:rFonts w:hint="eastAsia" w:ascii="宋体" w:hAnsi="宋体" w:cs="宋体"/>
          <w:b/>
          <w:color w:val="auto"/>
          <w:szCs w:val="21"/>
        </w:rPr>
        <w:t>二十四、采购项目的废标情况</w:t>
      </w:r>
    </w:p>
    <w:p w14:paraId="39A9B16A">
      <w:pPr>
        <w:spacing w:line="360" w:lineRule="auto"/>
        <w:ind w:firstLine="420"/>
        <w:rPr>
          <w:rFonts w:ascii="宋体" w:hAnsi="宋体" w:cs="宋体"/>
          <w:bCs/>
          <w:color w:val="auto"/>
          <w:szCs w:val="21"/>
        </w:rPr>
      </w:pPr>
      <w:r>
        <w:rPr>
          <w:rFonts w:hint="eastAsia" w:ascii="宋体" w:hAnsi="宋体" w:cs="宋体"/>
          <w:bCs/>
          <w:color w:val="auto"/>
          <w:szCs w:val="21"/>
        </w:rPr>
        <w:t>24.1在评标采购中，出现下列情况之一的，应予废标；</w:t>
      </w:r>
    </w:p>
    <w:p w14:paraId="2C52683E">
      <w:pPr>
        <w:spacing w:line="360" w:lineRule="auto"/>
        <w:ind w:firstLine="840"/>
        <w:rPr>
          <w:rFonts w:ascii="宋体" w:hAnsi="宋体" w:cs="宋体"/>
          <w:bCs/>
          <w:color w:val="auto"/>
          <w:szCs w:val="21"/>
        </w:rPr>
      </w:pPr>
      <w:r>
        <w:rPr>
          <w:rFonts w:hint="eastAsia" w:ascii="宋体" w:hAnsi="宋体" w:cs="宋体"/>
          <w:bCs/>
          <w:color w:val="auto"/>
          <w:szCs w:val="21"/>
        </w:rPr>
        <w:t>1）符合专业条件的投标人或者对征集文件做出实质性响应的投标人不足2家的；</w:t>
      </w:r>
    </w:p>
    <w:p w14:paraId="034F27B9">
      <w:pPr>
        <w:spacing w:line="360" w:lineRule="auto"/>
        <w:ind w:firstLine="840"/>
        <w:rPr>
          <w:rFonts w:ascii="宋体" w:hAnsi="宋体" w:cs="宋体"/>
          <w:bCs/>
          <w:color w:val="auto"/>
          <w:szCs w:val="21"/>
        </w:rPr>
      </w:pPr>
      <w:r>
        <w:rPr>
          <w:rFonts w:hint="eastAsia" w:ascii="宋体" w:hAnsi="宋体" w:cs="宋体"/>
          <w:bCs/>
          <w:color w:val="auto"/>
          <w:szCs w:val="21"/>
        </w:rPr>
        <w:t>2）出现影响采购公正的违法、违规行为的；</w:t>
      </w:r>
    </w:p>
    <w:p w14:paraId="16CB84EA">
      <w:pPr>
        <w:spacing w:line="360" w:lineRule="auto"/>
        <w:ind w:firstLine="840"/>
        <w:rPr>
          <w:rFonts w:ascii="宋体" w:hAnsi="宋体" w:cs="宋体"/>
          <w:bCs/>
          <w:color w:val="auto"/>
          <w:szCs w:val="21"/>
        </w:rPr>
      </w:pPr>
      <w:r>
        <w:rPr>
          <w:rFonts w:hint="eastAsia" w:ascii="宋体" w:hAnsi="宋体" w:cs="宋体"/>
          <w:bCs/>
          <w:color w:val="auto"/>
          <w:szCs w:val="21"/>
        </w:rPr>
        <w:t>3）因重大变故，采购任务取消的。</w:t>
      </w:r>
    </w:p>
    <w:p w14:paraId="4B8D9723">
      <w:pPr>
        <w:spacing w:line="360" w:lineRule="auto"/>
        <w:rPr>
          <w:rFonts w:ascii="宋体" w:hAnsi="宋体" w:cs="宋体"/>
          <w:b/>
          <w:color w:val="auto"/>
          <w:szCs w:val="21"/>
        </w:rPr>
      </w:pPr>
      <w:r>
        <w:rPr>
          <w:rFonts w:hint="eastAsia" w:ascii="宋体" w:hAnsi="宋体" w:cs="宋体"/>
          <w:b/>
          <w:color w:val="auto"/>
          <w:szCs w:val="21"/>
        </w:rPr>
        <w:t>二十五、入围结果通知</w:t>
      </w:r>
    </w:p>
    <w:p w14:paraId="777724E1">
      <w:pPr>
        <w:spacing w:line="360" w:lineRule="auto"/>
        <w:ind w:firstLine="420"/>
        <w:rPr>
          <w:rFonts w:hint="eastAsia" w:ascii="宋体" w:hAnsi="宋体" w:cs="宋体"/>
          <w:bCs/>
          <w:color w:val="auto"/>
          <w:szCs w:val="21"/>
        </w:rPr>
      </w:pPr>
      <w:r>
        <w:rPr>
          <w:rFonts w:hint="eastAsia" w:ascii="宋体" w:hAnsi="宋体" w:cs="宋体"/>
          <w:bCs/>
          <w:color w:val="auto"/>
          <w:szCs w:val="21"/>
        </w:rPr>
        <w:t>25.1入围供应商确定后，采购人或采购中心应于2个工作日内，在刊登本次征集公告的媒体上发布入围结果公告。入围结果公告期限为1个工作日。入围结果公告应当包括下列内容：</w:t>
      </w:r>
    </w:p>
    <w:p w14:paraId="43ED275B">
      <w:pPr>
        <w:spacing w:line="360" w:lineRule="auto"/>
        <w:ind w:firstLine="420" w:firstLineChars="200"/>
        <w:rPr>
          <w:rFonts w:ascii="宋体" w:hAnsi="宋体" w:cs="宋体"/>
          <w:bCs/>
          <w:color w:val="auto"/>
          <w:szCs w:val="21"/>
        </w:rPr>
      </w:pPr>
      <w:r>
        <w:rPr>
          <w:rFonts w:hint="eastAsia" w:ascii="宋体" w:hAnsi="宋体" w:cs="宋体"/>
          <w:bCs/>
          <w:color w:val="auto"/>
          <w:szCs w:val="21"/>
        </w:rPr>
        <w:t>（1）采购项目名称、编号； </w:t>
      </w:r>
    </w:p>
    <w:p w14:paraId="64155532">
      <w:pPr>
        <w:spacing w:line="360" w:lineRule="auto"/>
        <w:rPr>
          <w:rFonts w:ascii="宋体" w:hAnsi="宋体" w:cs="宋体"/>
          <w:bCs/>
          <w:color w:val="auto"/>
          <w:szCs w:val="21"/>
        </w:rPr>
      </w:pPr>
      <w:r>
        <w:rPr>
          <w:rFonts w:hint="eastAsia" w:ascii="宋体" w:hAnsi="宋体" w:cs="宋体"/>
          <w:bCs/>
          <w:color w:val="auto"/>
          <w:szCs w:val="21"/>
        </w:rPr>
        <w:t>　　（2）征集人的名称、地址、联系人和联系方式； </w:t>
      </w:r>
    </w:p>
    <w:p w14:paraId="11B80796">
      <w:pPr>
        <w:spacing w:line="360" w:lineRule="auto"/>
        <w:rPr>
          <w:rFonts w:ascii="宋体" w:hAnsi="宋体" w:cs="宋体"/>
          <w:bCs/>
          <w:color w:val="auto"/>
          <w:szCs w:val="21"/>
        </w:rPr>
      </w:pPr>
      <w:r>
        <w:rPr>
          <w:rFonts w:hint="eastAsia" w:ascii="宋体" w:hAnsi="宋体" w:cs="宋体"/>
          <w:bCs/>
          <w:color w:val="auto"/>
          <w:szCs w:val="21"/>
        </w:rPr>
        <w:t>　　（3）入围供应商名称、地址及排序； </w:t>
      </w:r>
    </w:p>
    <w:p w14:paraId="3F8FCE9C">
      <w:pPr>
        <w:spacing w:line="360" w:lineRule="auto"/>
        <w:rPr>
          <w:rFonts w:ascii="宋体" w:hAnsi="宋体" w:cs="宋体"/>
          <w:bCs/>
          <w:color w:val="auto"/>
          <w:szCs w:val="21"/>
        </w:rPr>
      </w:pPr>
      <w:r>
        <w:rPr>
          <w:rFonts w:hint="eastAsia" w:ascii="宋体" w:hAnsi="宋体" w:cs="宋体"/>
          <w:bCs/>
          <w:color w:val="auto"/>
          <w:szCs w:val="21"/>
        </w:rPr>
        <w:t>　　（4）最高入围价格或者最低入围分值； </w:t>
      </w:r>
    </w:p>
    <w:p w14:paraId="539DC4EC">
      <w:pPr>
        <w:spacing w:line="360" w:lineRule="auto"/>
        <w:rPr>
          <w:rFonts w:ascii="宋体" w:hAnsi="宋体" w:cs="宋体"/>
          <w:bCs/>
          <w:color w:val="auto"/>
          <w:szCs w:val="21"/>
        </w:rPr>
      </w:pPr>
      <w:r>
        <w:rPr>
          <w:rFonts w:hint="eastAsia" w:ascii="宋体" w:hAnsi="宋体" w:cs="宋体"/>
          <w:bCs/>
          <w:color w:val="auto"/>
          <w:szCs w:val="21"/>
        </w:rPr>
        <w:t>　　（5）入围主要服务内容及服务标准，入围单价； </w:t>
      </w:r>
    </w:p>
    <w:p w14:paraId="4DD320D0">
      <w:pPr>
        <w:spacing w:line="360" w:lineRule="auto"/>
        <w:rPr>
          <w:rFonts w:ascii="宋体" w:hAnsi="宋体" w:cs="宋体"/>
          <w:bCs/>
          <w:color w:val="auto"/>
          <w:szCs w:val="21"/>
        </w:rPr>
      </w:pPr>
      <w:r>
        <w:rPr>
          <w:rFonts w:hint="eastAsia" w:ascii="宋体" w:hAnsi="宋体" w:cs="宋体"/>
          <w:bCs/>
          <w:color w:val="auto"/>
          <w:szCs w:val="21"/>
        </w:rPr>
        <w:t>　　（6）评审小组成员名单； </w:t>
      </w:r>
    </w:p>
    <w:p w14:paraId="1AE31292">
      <w:pPr>
        <w:spacing w:line="360" w:lineRule="auto"/>
        <w:rPr>
          <w:rFonts w:ascii="宋体" w:hAnsi="宋体" w:cs="宋体"/>
          <w:bCs/>
          <w:color w:val="auto"/>
          <w:szCs w:val="21"/>
        </w:rPr>
      </w:pPr>
      <w:r>
        <w:rPr>
          <w:rFonts w:hint="eastAsia" w:ascii="宋体" w:hAnsi="宋体" w:cs="宋体"/>
          <w:bCs/>
          <w:color w:val="auto"/>
          <w:szCs w:val="21"/>
        </w:rPr>
        <w:t>　　（7）采购代理服务收费标准及金额； </w:t>
      </w:r>
    </w:p>
    <w:p w14:paraId="6CBC5952">
      <w:pPr>
        <w:spacing w:line="360" w:lineRule="auto"/>
        <w:ind w:firstLine="420"/>
        <w:rPr>
          <w:rFonts w:hint="eastAsia" w:ascii="宋体" w:hAnsi="宋体" w:cs="宋体"/>
          <w:bCs/>
          <w:color w:val="auto"/>
          <w:szCs w:val="21"/>
        </w:rPr>
      </w:pPr>
      <w:r>
        <w:rPr>
          <w:rFonts w:hint="eastAsia" w:ascii="宋体" w:hAnsi="宋体" w:cs="宋体"/>
          <w:bCs/>
          <w:color w:val="auto"/>
          <w:szCs w:val="21"/>
        </w:rPr>
        <w:t>（8）公告期限； </w:t>
      </w:r>
    </w:p>
    <w:p w14:paraId="1E7154F2">
      <w:pPr>
        <w:spacing w:line="360" w:lineRule="auto"/>
        <w:ind w:firstLine="420"/>
        <w:rPr>
          <w:rFonts w:ascii="宋体" w:hAnsi="宋体" w:cs="宋体"/>
          <w:bCs/>
          <w:color w:val="auto"/>
          <w:szCs w:val="21"/>
        </w:rPr>
      </w:pPr>
      <w:r>
        <w:rPr>
          <w:rFonts w:hint="eastAsia" w:ascii="宋体" w:hAnsi="宋体" w:cs="宋体"/>
          <w:bCs/>
          <w:color w:val="auto"/>
          <w:szCs w:val="21"/>
        </w:rPr>
        <w:t>（9）省级以上财政部门规定的其他事项。</w:t>
      </w:r>
    </w:p>
    <w:p w14:paraId="60751535">
      <w:pPr>
        <w:spacing w:line="360" w:lineRule="auto"/>
        <w:ind w:firstLine="420"/>
        <w:rPr>
          <w:rFonts w:ascii="宋体" w:hAnsi="宋体" w:cs="宋体"/>
          <w:bCs/>
          <w:color w:val="auto"/>
          <w:szCs w:val="21"/>
        </w:rPr>
      </w:pPr>
      <w:r>
        <w:rPr>
          <w:rFonts w:hint="eastAsia" w:ascii="宋体" w:hAnsi="宋体" w:cs="宋体"/>
          <w:bCs/>
          <w:color w:val="auto"/>
          <w:szCs w:val="21"/>
        </w:rPr>
        <w:t>25.2征集人应当在公告入围结果的同时，向入围供应商发出《入围通知书》；对未通过资格审查的供应商，应当告知其未通过的原因；《入围通知书》是框架协议的组成部分,对入围供应商和征集人具有同等法律效力。《入围通知书》发出后，征集人不得违法改变入围结果，入围供应商无正当理由不得放弃入围资格。</w:t>
      </w:r>
    </w:p>
    <w:p w14:paraId="4DB228ED">
      <w:pPr>
        <w:spacing w:line="360" w:lineRule="auto"/>
        <w:ind w:firstLine="420"/>
        <w:rPr>
          <w:rFonts w:ascii="宋体" w:hAnsi="宋体" w:cs="宋体"/>
          <w:bCs/>
          <w:color w:val="auto"/>
          <w:szCs w:val="21"/>
        </w:rPr>
      </w:pPr>
      <w:r>
        <w:rPr>
          <w:rFonts w:hint="eastAsia" w:ascii="宋体" w:hAnsi="宋体" w:cs="宋体"/>
          <w:bCs/>
          <w:color w:val="auto"/>
          <w:szCs w:val="21"/>
        </w:rPr>
        <w:t>25.3入围通知书是合同的组成部分。</w:t>
      </w:r>
    </w:p>
    <w:p w14:paraId="21E00116">
      <w:pPr>
        <w:spacing w:line="360" w:lineRule="auto"/>
        <w:rPr>
          <w:rFonts w:ascii="宋体" w:hAnsi="宋体" w:cs="宋体"/>
          <w:b/>
          <w:color w:val="auto"/>
          <w:szCs w:val="21"/>
        </w:rPr>
      </w:pPr>
      <w:r>
        <w:rPr>
          <w:rFonts w:hint="eastAsia" w:ascii="宋体" w:hAnsi="宋体" w:cs="宋体"/>
          <w:b/>
          <w:color w:val="auto"/>
          <w:szCs w:val="21"/>
        </w:rPr>
        <w:t>二十六、询问、质疑、投诉</w:t>
      </w:r>
    </w:p>
    <w:p w14:paraId="67168871">
      <w:pPr>
        <w:spacing w:line="360" w:lineRule="auto"/>
        <w:ind w:firstLine="422"/>
        <w:rPr>
          <w:rFonts w:ascii="宋体" w:hAnsi="宋体" w:cs="宋体"/>
          <w:b/>
          <w:color w:val="auto"/>
          <w:szCs w:val="21"/>
        </w:rPr>
      </w:pPr>
      <w:r>
        <w:rPr>
          <w:rFonts w:hint="eastAsia" w:ascii="宋体" w:hAnsi="宋体" w:cs="宋体"/>
          <w:b/>
          <w:color w:val="auto"/>
          <w:szCs w:val="21"/>
        </w:rPr>
        <w:t>26.1询问</w:t>
      </w:r>
    </w:p>
    <w:p w14:paraId="17BD1E0F">
      <w:pPr>
        <w:numPr>
          <w:ilvl w:val="0"/>
          <w:numId w:val="3"/>
        </w:numPr>
        <w:spacing w:line="360" w:lineRule="auto"/>
        <w:ind w:firstLine="630"/>
        <w:rPr>
          <w:rFonts w:ascii="宋体" w:hAnsi="宋体" w:cs="宋体"/>
          <w:bCs/>
          <w:color w:val="auto"/>
          <w:szCs w:val="21"/>
        </w:rPr>
      </w:pPr>
      <w:r>
        <w:rPr>
          <w:rFonts w:hint="eastAsia" w:ascii="宋体" w:hAnsi="宋体" w:cs="宋体"/>
          <w:bCs/>
          <w:color w:val="auto"/>
          <w:szCs w:val="21"/>
        </w:rPr>
        <w:t>投标人对政府采购活动有疑问的，可以按照</w:t>
      </w:r>
      <w:r>
        <w:rPr>
          <w:rFonts w:hint="eastAsia" w:ascii="宋体" w:hAnsi="宋体" w:cs="宋体"/>
          <w:b/>
          <w:color w:val="auto"/>
          <w:szCs w:val="21"/>
        </w:rPr>
        <w:t>投标人须知前附表第13条要求</w:t>
      </w:r>
      <w:r>
        <w:rPr>
          <w:rFonts w:hint="eastAsia" w:ascii="宋体" w:hAnsi="宋体" w:cs="宋体"/>
          <w:bCs/>
          <w:color w:val="auto"/>
          <w:szCs w:val="21"/>
        </w:rPr>
        <w:t>向征集人或采购中心提出询问。</w:t>
      </w:r>
    </w:p>
    <w:p w14:paraId="17798325">
      <w:pPr>
        <w:spacing w:line="360" w:lineRule="auto"/>
        <w:ind w:firstLine="422"/>
        <w:rPr>
          <w:rFonts w:ascii="宋体" w:hAnsi="宋体" w:cs="宋体"/>
          <w:b/>
          <w:color w:val="auto"/>
          <w:szCs w:val="21"/>
        </w:rPr>
      </w:pPr>
      <w:r>
        <w:rPr>
          <w:rFonts w:hint="eastAsia" w:ascii="宋体" w:hAnsi="宋体" w:cs="宋体"/>
          <w:b/>
          <w:color w:val="auto"/>
          <w:szCs w:val="21"/>
        </w:rPr>
        <w:t>26.2质疑</w:t>
      </w:r>
    </w:p>
    <w:p w14:paraId="47A4219E">
      <w:pPr>
        <w:spacing w:line="360" w:lineRule="auto"/>
        <w:ind w:firstLine="630"/>
        <w:rPr>
          <w:rFonts w:ascii="宋体" w:hAnsi="宋体" w:cs="宋体"/>
          <w:bCs/>
          <w:color w:val="auto"/>
          <w:szCs w:val="21"/>
        </w:rPr>
      </w:pPr>
      <w:r>
        <w:rPr>
          <w:rFonts w:hint="eastAsia" w:ascii="宋体" w:hAnsi="宋体" w:cs="宋体"/>
          <w:bCs/>
          <w:color w:val="auto"/>
          <w:szCs w:val="21"/>
        </w:rPr>
        <w:t>（1）投标人（潜在投标人）对征集文件条款或技术参数有异议的，应当在投标截止时间前提出，于投标截止时间后对征集文件提出质疑的，其质疑被视为无效质疑。</w:t>
      </w:r>
    </w:p>
    <w:p w14:paraId="6799FC45">
      <w:pPr>
        <w:spacing w:line="360" w:lineRule="auto"/>
        <w:ind w:firstLine="630"/>
        <w:rPr>
          <w:rFonts w:ascii="宋体" w:hAnsi="宋体" w:cs="宋体"/>
          <w:bCs/>
          <w:color w:val="auto"/>
          <w:szCs w:val="21"/>
        </w:rPr>
      </w:pPr>
      <w:r>
        <w:rPr>
          <w:rFonts w:hint="eastAsia" w:ascii="宋体" w:hAnsi="宋体" w:cs="宋体"/>
          <w:bCs/>
          <w:color w:val="auto"/>
          <w:szCs w:val="21"/>
        </w:rPr>
        <w:t>（2）投标人（潜在投标人）认为征集文件、征集过程、成交结果使自己的权益受到损害的，可以在知道或者应知其权益受到损害之日起7个工作日内，通过书面材料向采购中心提出质疑。投标人应知其权益受到损害之日，是指：</w:t>
      </w:r>
    </w:p>
    <w:p w14:paraId="42D0D596">
      <w:pPr>
        <w:spacing w:line="360" w:lineRule="auto"/>
        <w:ind w:firstLine="840"/>
        <w:rPr>
          <w:rFonts w:ascii="宋体" w:hAnsi="宋体" w:cs="宋体"/>
          <w:bCs/>
          <w:color w:val="auto"/>
          <w:szCs w:val="21"/>
        </w:rPr>
      </w:pPr>
      <w:r>
        <w:rPr>
          <w:rFonts w:hint="eastAsia" w:ascii="宋体" w:hAnsi="宋体" w:cs="宋体"/>
          <w:bCs/>
          <w:color w:val="auto"/>
          <w:szCs w:val="21"/>
        </w:rPr>
        <w:t>a.对征集文件提出质疑的，在满足26.2第（1）条款的前提下，为获取征集文件之日或者征集文件公告期限届满之日；</w:t>
      </w:r>
    </w:p>
    <w:p w14:paraId="7CA42447">
      <w:pPr>
        <w:spacing w:line="360" w:lineRule="auto"/>
        <w:ind w:firstLine="840"/>
        <w:rPr>
          <w:rFonts w:ascii="宋体" w:hAnsi="宋体" w:cs="宋体"/>
          <w:bCs/>
          <w:color w:val="auto"/>
          <w:szCs w:val="21"/>
        </w:rPr>
      </w:pPr>
      <w:r>
        <w:rPr>
          <w:rFonts w:hint="eastAsia" w:ascii="宋体" w:hAnsi="宋体" w:cs="宋体"/>
          <w:bCs/>
          <w:color w:val="auto"/>
          <w:szCs w:val="21"/>
        </w:rPr>
        <w:t>b.对征集过程提出质疑的，为各征集程序环节结束之日；</w:t>
      </w:r>
    </w:p>
    <w:p w14:paraId="0D3C75D2">
      <w:pPr>
        <w:spacing w:line="360" w:lineRule="auto"/>
        <w:ind w:firstLine="840"/>
        <w:rPr>
          <w:rFonts w:ascii="宋体" w:hAnsi="宋体" w:cs="宋体"/>
          <w:bCs/>
          <w:color w:val="auto"/>
          <w:szCs w:val="21"/>
        </w:rPr>
      </w:pPr>
      <w:r>
        <w:rPr>
          <w:rFonts w:hint="eastAsia" w:ascii="宋体" w:hAnsi="宋体" w:cs="宋体"/>
          <w:bCs/>
          <w:color w:val="auto"/>
          <w:szCs w:val="21"/>
        </w:rPr>
        <w:t>c.对入围结果提出质疑的，为入围结果公告期限届满之日。</w:t>
      </w:r>
    </w:p>
    <w:p w14:paraId="39D3FF0E">
      <w:pPr>
        <w:spacing w:line="360" w:lineRule="auto"/>
        <w:ind w:firstLine="840"/>
        <w:rPr>
          <w:rFonts w:ascii="宋体" w:hAnsi="宋体" w:cs="宋体"/>
          <w:bCs/>
          <w:color w:val="auto"/>
          <w:szCs w:val="21"/>
        </w:rPr>
      </w:pPr>
      <w:r>
        <w:rPr>
          <w:rFonts w:hint="eastAsia" w:ascii="宋体" w:hAnsi="宋体" w:cs="宋体"/>
          <w:bCs/>
          <w:color w:val="auto"/>
          <w:szCs w:val="21"/>
        </w:rPr>
        <w:t>投标人（潜在投标人）针对同一采购程序环节的质疑须一次性提出。</w:t>
      </w:r>
    </w:p>
    <w:p w14:paraId="5610F8E2">
      <w:pPr>
        <w:spacing w:line="360" w:lineRule="auto"/>
        <w:ind w:firstLine="630"/>
        <w:rPr>
          <w:rFonts w:ascii="宋体" w:hAnsi="宋体" w:cs="宋体"/>
          <w:bCs/>
          <w:color w:val="auto"/>
          <w:szCs w:val="21"/>
        </w:rPr>
      </w:pPr>
      <w:r>
        <w:rPr>
          <w:rFonts w:hint="eastAsia" w:ascii="宋体" w:hAnsi="宋体" w:cs="宋体"/>
          <w:bCs/>
          <w:color w:val="auto"/>
          <w:szCs w:val="21"/>
        </w:rPr>
        <w:t>（3）提出质疑的投标人（潜在投标人）应当是参与所质疑项目采购活动的投标人，潜在投标人已依法获取其可质疑的征集文件的，可以对该文件提出质疑。</w:t>
      </w:r>
    </w:p>
    <w:p w14:paraId="4EC4BD2E">
      <w:pPr>
        <w:spacing w:line="360" w:lineRule="auto"/>
        <w:ind w:firstLine="630"/>
        <w:rPr>
          <w:rFonts w:ascii="宋体" w:hAnsi="宋体" w:cs="宋体"/>
          <w:bCs/>
          <w:color w:val="auto"/>
          <w:szCs w:val="21"/>
        </w:rPr>
      </w:pPr>
      <w:r>
        <w:rPr>
          <w:rFonts w:hint="eastAsia" w:ascii="宋体" w:hAnsi="宋体" w:cs="宋体"/>
          <w:bCs/>
          <w:color w:val="auto"/>
          <w:szCs w:val="21"/>
        </w:rPr>
        <w:t>（4）投标人（潜在投标人）提出质疑应当提交质疑函和必要的证明材料。质疑函应当包括下列内容：</w:t>
      </w:r>
    </w:p>
    <w:p w14:paraId="24D6E08A">
      <w:pPr>
        <w:spacing w:line="360" w:lineRule="auto"/>
        <w:ind w:firstLine="840"/>
        <w:rPr>
          <w:rFonts w:ascii="宋体" w:hAnsi="宋体" w:cs="宋体"/>
          <w:bCs/>
          <w:color w:val="auto"/>
          <w:szCs w:val="21"/>
        </w:rPr>
      </w:pPr>
      <w:r>
        <w:rPr>
          <w:rFonts w:hint="eastAsia" w:ascii="宋体" w:hAnsi="宋体" w:cs="宋体"/>
          <w:bCs/>
          <w:color w:val="auto"/>
          <w:szCs w:val="21"/>
        </w:rPr>
        <w:t>a.投标人（潜在投标人）的姓名或者名称、地址、邮编、联系人及联系电话；</w:t>
      </w:r>
    </w:p>
    <w:p w14:paraId="2903C4D1">
      <w:pPr>
        <w:spacing w:line="360" w:lineRule="auto"/>
        <w:ind w:firstLine="840"/>
        <w:rPr>
          <w:rFonts w:ascii="宋体" w:hAnsi="宋体" w:cs="宋体"/>
          <w:bCs/>
          <w:color w:val="auto"/>
          <w:szCs w:val="21"/>
        </w:rPr>
      </w:pPr>
      <w:r>
        <w:rPr>
          <w:rFonts w:hint="eastAsia" w:ascii="宋体" w:hAnsi="宋体" w:cs="宋体"/>
          <w:bCs/>
          <w:color w:val="auto"/>
          <w:szCs w:val="21"/>
        </w:rPr>
        <w:t>b.质疑项目的名称、编号；</w:t>
      </w:r>
    </w:p>
    <w:p w14:paraId="026F8659">
      <w:pPr>
        <w:spacing w:line="360" w:lineRule="auto"/>
        <w:ind w:firstLine="840"/>
        <w:rPr>
          <w:rFonts w:ascii="宋体" w:hAnsi="宋体" w:cs="宋体"/>
          <w:bCs/>
          <w:color w:val="auto"/>
          <w:szCs w:val="21"/>
        </w:rPr>
      </w:pPr>
      <w:r>
        <w:rPr>
          <w:rFonts w:hint="eastAsia" w:ascii="宋体" w:hAnsi="宋体" w:cs="宋体"/>
          <w:bCs/>
          <w:color w:val="auto"/>
          <w:szCs w:val="21"/>
        </w:rPr>
        <w:t>c.具体、明确的质疑事项和与质疑事项相关的请求；</w:t>
      </w:r>
    </w:p>
    <w:p w14:paraId="040DEB7F">
      <w:pPr>
        <w:spacing w:line="360" w:lineRule="auto"/>
        <w:ind w:firstLine="840"/>
        <w:rPr>
          <w:rFonts w:ascii="宋体" w:hAnsi="宋体" w:cs="宋体"/>
          <w:bCs/>
          <w:color w:val="auto"/>
          <w:szCs w:val="21"/>
        </w:rPr>
      </w:pPr>
      <w:r>
        <w:rPr>
          <w:rFonts w:hint="eastAsia" w:ascii="宋体" w:hAnsi="宋体" w:cs="宋体"/>
          <w:bCs/>
          <w:color w:val="auto"/>
          <w:szCs w:val="21"/>
        </w:rPr>
        <w:t>d.事实依据；</w:t>
      </w:r>
    </w:p>
    <w:p w14:paraId="66C38FCE">
      <w:pPr>
        <w:spacing w:line="360" w:lineRule="auto"/>
        <w:ind w:firstLine="840"/>
        <w:rPr>
          <w:rFonts w:ascii="宋体" w:hAnsi="宋体" w:cs="宋体"/>
          <w:bCs/>
          <w:color w:val="auto"/>
          <w:szCs w:val="21"/>
        </w:rPr>
      </w:pPr>
      <w:r>
        <w:rPr>
          <w:rFonts w:hint="eastAsia" w:ascii="宋体" w:hAnsi="宋体" w:cs="宋体"/>
          <w:bCs/>
          <w:color w:val="auto"/>
          <w:szCs w:val="21"/>
        </w:rPr>
        <w:t>e.必要的法律依据；</w:t>
      </w:r>
    </w:p>
    <w:p w14:paraId="384F896F">
      <w:pPr>
        <w:spacing w:line="360" w:lineRule="auto"/>
        <w:ind w:firstLine="840"/>
        <w:rPr>
          <w:rFonts w:ascii="宋体" w:hAnsi="宋体" w:cs="宋体"/>
          <w:bCs/>
          <w:color w:val="auto"/>
          <w:szCs w:val="21"/>
        </w:rPr>
      </w:pPr>
      <w:r>
        <w:rPr>
          <w:rFonts w:hint="eastAsia" w:ascii="宋体" w:hAnsi="宋体" w:cs="宋体"/>
          <w:bCs/>
          <w:color w:val="auto"/>
          <w:szCs w:val="21"/>
        </w:rPr>
        <w:t>f.提出质疑的日期。</w:t>
      </w:r>
    </w:p>
    <w:p w14:paraId="7842DE7A">
      <w:pPr>
        <w:spacing w:line="360" w:lineRule="auto"/>
        <w:ind w:firstLine="630"/>
        <w:jc w:val="left"/>
        <w:rPr>
          <w:rFonts w:ascii="宋体" w:hAnsi="宋体" w:cs="宋体"/>
          <w:b/>
          <w:color w:val="auto"/>
        </w:rPr>
      </w:pPr>
      <w:r>
        <w:rPr>
          <w:rFonts w:hint="eastAsia" w:ascii="宋体" w:hAnsi="宋体" w:cs="宋体"/>
          <w:bCs/>
          <w:color w:val="auto"/>
          <w:szCs w:val="21"/>
        </w:rPr>
        <w:t>投标人（潜在投标人）为自然人的，应当由本人签字；投标人（潜在投标人）为法人或者其他组织的，应当由法定代表人、主要负责人，或者其授权代表签字或者盖名章，并加盖公章。质疑函内容有缺失的，采购中心、征集人应当一次性告知质疑人需补全的材料及补交的截止时间。补交的截止时间与法定质疑期的截止时间一致。质疑人于截止时间后递交补充材料的，将被拒绝，质疑函应按照财政部《政府采购投标人质疑函范本》格式和要求制作，网址：</w:t>
      </w:r>
      <w:r>
        <w:rPr>
          <w:rStyle w:val="46"/>
          <w:rFonts w:hint="eastAsia" w:ascii="宋体" w:hAnsi="宋体" w:cs="宋体"/>
          <w:b/>
          <w:color w:val="auto"/>
          <w:szCs w:val="21"/>
        </w:rPr>
        <w:t>http://zfcg.changzhou.gov.cn/html/ns/down/629326.html</w:t>
      </w:r>
    </w:p>
    <w:p w14:paraId="5A2AFEBF">
      <w:pPr>
        <w:spacing w:line="360" w:lineRule="auto"/>
        <w:ind w:firstLine="630"/>
        <w:rPr>
          <w:rFonts w:ascii="宋体" w:hAnsi="宋体" w:cs="宋体"/>
          <w:bCs/>
          <w:color w:val="auto"/>
          <w:szCs w:val="21"/>
        </w:rPr>
      </w:pPr>
      <w:r>
        <w:rPr>
          <w:rFonts w:hint="eastAsia" w:ascii="宋体" w:hAnsi="宋体" w:cs="宋体"/>
          <w:bCs/>
          <w:color w:val="auto"/>
          <w:szCs w:val="21"/>
        </w:rPr>
        <w:t>（5）质疑事项如无实质内容，仅为询问质疑人得分情况或质疑人未中标原因等的，采购中心、征集人可将此类质疑函作为书面询问接收，采购中心按询问程序处理。</w:t>
      </w:r>
    </w:p>
    <w:p w14:paraId="11DE8E37">
      <w:pPr>
        <w:spacing w:line="360" w:lineRule="auto"/>
        <w:ind w:firstLine="630"/>
        <w:rPr>
          <w:rFonts w:ascii="宋体" w:hAnsi="宋体" w:cs="宋体"/>
          <w:bCs/>
          <w:color w:val="auto"/>
          <w:szCs w:val="21"/>
        </w:rPr>
      </w:pPr>
      <w:r>
        <w:rPr>
          <w:rFonts w:hint="eastAsia" w:ascii="宋体" w:hAnsi="宋体" w:cs="宋体"/>
          <w:bCs/>
          <w:color w:val="auto"/>
          <w:szCs w:val="21"/>
        </w:rPr>
        <w:t>（6）采购人、采购中心不得拒收质疑投标人在法定质疑期内发出的质疑函，应当在收到质疑函后7个工作日内作出答复，并通过书面答复质疑投标人和其他相关当事人。</w:t>
      </w:r>
    </w:p>
    <w:p w14:paraId="65E22869">
      <w:pPr>
        <w:spacing w:line="360" w:lineRule="auto"/>
        <w:ind w:firstLine="422"/>
        <w:rPr>
          <w:rFonts w:ascii="宋体" w:hAnsi="宋体" w:cs="宋体"/>
          <w:b/>
          <w:color w:val="auto"/>
          <w:szCs w:val="21"/>
        </w:rPr>
      </w:pPr>
      <w:r>
        <w:rPr>
          <w:rFonts w:hint="eastAsia" w:ascii="宋体" w:hAnsi="宋体" w:cs="宋体"/>
          <w:b/>
          <w:color w:val="auto"/>
          <w:szCs w:val="21"/>
        </w:rPr>
        <w:t>26.3投诉</w:t>
      </w:r>
    </w:p>
    <w:p w14:paraId="616CBEB6">
      <w:pPr>
        <w:spacing w:line="360" w:lineRule="auto"/>
        <w:ind w:firstLine="420" w:firstLineChars="200"/>
        <w:rPr>
          <w:rFonts w:ascii="宋体" w:hAnsi="宋体" w:cs="宋体"/>
          <w:b/>
          <w:color w:val="auto"/>
          <w:szCs w:val="21"/>
        </w:rPr>
      </w:pPr>
      <w:r>
        <w:rPr>
          <w:rFonts w:hint="eastAsia" w:ascii="宋体" w:hAnsi="宋体" w:cs="宋体"/>
          <w:bCs/>
          <w:color w:val="auto"/>
          <w:szCs w:val="21"/>
        </w:rPr>
        <w:t>质疑人对采购人、采购中心的答复不满意，或者采购人、采购中心未在规定时间内作出答复的，质疑人可以在答复期满后15个工作日内依法向财政相关部门提起投诉。</w:t>
      </w:r>
    </w:p>
    <w:p w14:paraId="2F8B17E2">
      <w:pPr>
        <w:spacing w:line="360" w:lineRule="auto"/>
        <w:rPr>
          <w:rFonts w:ascii="宋体" w:hAnsi="宋体" w:cs="宋体"/>
          <w:b/>
          <w:color w:val="auto"/>
          <w:szCs w:val="21"/>
        </w:rPr>
      </w:pPr>
      <w:r>
        <w:rPr>
          <w:rFonts w:hint="eastAsia" w:ascii="宋体" w:hAnsi="宋体" w:cs="宋体"/>
          <w:b/>
          <w:color w:val="auto"/>
          <w:szCs w:val="21"/>
        </w:rPr>
        <w:t>二十七、第一阶段的框架协议</w:t>
      </w:r>
    </w:p>
    <w:p w14:paraId="62438005">
      <w:pPr>
        <w:spacing w:line="360" w:lineRule="auto"/>
        <w:ind w:firstLine="420"/>
        <w:rPr>
          <w:rFonts w:ascii="宋体" w:hAnsi="宋体" w:cs="宋体"/>
          <w:color w:val="auto"/>
          <w:szCs w:val="21"/>
        </w:rPr>
      </w:pPr>
      <w:r>
        <w:rPr>
          <w:rFonts w:hint="eastAsia" w:ascii="宋体" w:hAnsi="宋体" w:cs="宋体"/>
          <w:color w:val="auto"/>
          <w:szCs w:val="21"/>
        </w:rPr>
        <w:t>27.1采购人应当自框架协议签订之日起2个工作日内，将框架协议</w:t>
      </w:r>
      <w:r>
        <w:rPr>
          <w:rFonts w:hint="eastAsia" w:ascii="宋体" w:hAnsi="宋体" w:cs="宋体"/>
          <w:bCs/>
          <w:color w:val="auto"/>
          <w:szCs w:val="21"/>
        </w:rPr>
        <w:t>在刊登本次征集公告的媒体上</w:t>
      </w:r>
      <w:r>
        <w:rPr>
          <w:rFonts w:hint="eastAsia" w:ascii="宋体" w:hAnsi="宋体" w:cs="宋体"/>
          <w:color w:val="auto"/>
          <w:szCs w:val="21"/>
        </w:rPr>
        <w:t>公告，但涉及国家秘密、商业秘密的内容除外。</w:t>
      </w:r>
    </w:p>
    <w:p w14:paraId="52A122D5">
      <w:pPr>
        <w:spacing w:line="360" w:lineRule="auto"/>
        <w:ind w:firstLine="420"/>
        <w:rPr>
          <w:rFonts w:ascii="宋体" w:hAnsi="宋体" w:cs="宋体"/>
          <w:color w:val="auto"/>
          <w:szCs w:val="21"/>
        </w:rPr>
      </w:pPr>
      <w:r>
        <w:rPr>
          <w:rFonts w:hint="eastAsia" w:ascii="宋体" w:hAnsi="宋体" w:cs="宋体"/>
          <w:color w:val="auto"/>
          <w:szCs w:val="21"/>
        </w:rPr>
        <w:t>27.2采购人应当自入围通知书发出之日起30日内，按照征集文件、入围供应商的投标文件及其澄清文件等的规定，与入围供应商签订书面框架协议。</w:t>
      </w:r>
    </w:p>
    <w:p w14:paraId="139E3F02">
      <w:pPr>
        <w:spacing w:line="360" w:lineRule="auto"/>
        <w:ind w:firstLine="420"/>
        <w:rPr>
          <w:rFonts w:ascii="宋体" w:hAnsi="宋体" w:cs="宋体"/>
          <w:color w:val="auto"/>
          <w:szCs w:val="21"/>
        </w:rPr>
      </w:pPr>
      <w:r>
        <w:rPr>
          <w:rFonts w:hint="eastAsia" w:ascii="宋体" w:hAnsi="宋体" w:cs="宋体"/>
          <w:color w:val="auto"/>
          <w:szCs w:val="21"/>
        </w:rPr>
        <w:t>27.3采购人与入围供应商所签订的框架协议不得对征集文件和入围供应商的投标文件作实质性修改。征集人不得向入围供应商提出任何不合理的要求，作为签订框架协议的条件，不得与入围供应商私下订立背离框架协议实质性内容的协议。框架协议原则以第六章框架协议格式为基础，并根据投标、答疑情况进行修改补充，自签订之日起生效。</w:t>
      </w:r>
    </w:p>
    <w:p w14:paraId="2EE497C1">
      <w:pPr>
        <w:spacing w:line="360" w:lineRule="auto"/>
        <w:ind w:firstLine="420"/>
        <w:rPr>
          <w:rFonts w:ascii="宋体" w:hAnsi="宋体" w:cs="宋体"/>
          <w:color w:val="auto"/>
          <w:szCs w:val="21"/>
        </w:rPr>
      </w:pPr>
      <w:r>
        <w:rPr>
          <w:rFonts w:hint="eastAsia" w:ascii="宋体" w:hAnsi="宋体" w:cs="宋体"/>
          <w:color w:val="auto"/>
          <w:szCs w:val="21"/>
        </w:rPr>
        <w:t>27.4入围供应商在规定时间内无正当理由拒绝与采购人签订框架协议的，列入不良行为记录。供应商符合法定数量的，采购人可以按照评标报告推荐的入围候选人名单排序，确定下一候选人为入围供应商。</w:t>
      </w:r>
    </w:p>
    <w:p w14:paraId="4A26AF7A">
      <w:pPr>
        <w:spacing w:line="360" w:lineRule="auto"/>
        <w:ind w:firstLine="420"/>
        <w:rPr>
          <w:rFonts w:ascii="宋体" w:hAnsi="宋体" w:cs="宋体"/>
          <w:color w:val="auto"/>
          <w:szCs w:val="21"/>
        </w:rPr>
      </w:pPr>
      <w:r>
        <w:rPr>
          <w:rFonts w:hint="eastAsia" w:ascii="宋体" w:hAnsi="宋体" w:cs="宋体"/>
          <w:color w:val="auto"/>
          <w:szCs w:val="21"/>
        </w:rPr>
        <w:t>27.5当出现法规规定的入围无效或入围结果无效情形时，采购人依规可与排名下一位的入围候选人另行签订框架协议。</w:t>
      </w:r>
    </w:p>
    <w:p w14:paraId="367A6C36">
      <w:pPr>
        <w:spacing w:line="360" w:lineRule="auto"/>
        <w:ind w:firstLine="420"/>
        <w:rPr>
          <w:rFonts w:ascii="宋体" w:hAnsi="宋体" w:cs="宋体"/>
          <w:color w:val="auto"/>
          <w:szCs w:val="21"/>
        </w:rPr>
      </w:pPr>
      <w:r>
        <w:rPr>
          <w:rFonts w:hint="eastAsia" w:ascii="宋体" w:hAnsi="宋体" w:cs="宋体"/>
          <w:color w:val="auto"/>
          <w:szCs w:val="21"/>
        </w:rPr>
        <w:t>27.6框架协议的履行、违约责任和解决争议的方法适用《中华人民共和国民法典法》。</w:t>
      </w:r>
    </w:p>
    <w:p w14:paraId="37F1F70E">
      <w:pPr>
        <w:spacing w:line="360" w:lineRule="auto"/>
        <w:rPr>
          <w:rFonts w:ascii="宋体" w:hAnsi="宋体" w:cs="宋体"/>
          <w:b/>
          <w:color w:val="auto"/>
          <w:szCs w:val="21"/>
        </w:rPr>
      </w:pPr>
      <w:r>
        <w:rPr>
          <w:rFonts w:hint="eastAsia" w:ascii="宋体" w:hAnsi="宋体" w:cs="宋体"/>
          <w:b/>
          <w:bCs/>
          <w:color w:val="auto"/>
          <w:szCs w:val="21"/>
        </w:rPr>
        <w:t>二十八、第二阶段</w:t>
      </w:r>
      <w:r>
        <w:rPr>
          <w:rFonts w:hint="eastAsia" w:ascii="宋体" w:hAnsi="宋体" w:cs="宋体"/>
          <w:b/>
          <w:color w:val="auto"/>
          <w:szCs w:val="21"/>
        </w:rPr>
        <w:t>合同的授予</w:t>
      </w:r>
    </w:p>
    <w:p w14:paraId="712E4700">
      <w:pPr>
        <w:spacing w:line="360" w:lineRule="auto"/>
        <w:rPr>
          <w:rFonts w:ascii="宋体" w:hAnsi="宋体" w:cs="宋体"/>
          <w:color w:val="auto"/>
          <w:szCs w:val="21"/>
        </w:rPr>
      </w:pPr>
      <w:r>
        <w:rPr>
          <w:rFonts w:hint="eastAsia" w:ascii="宋体" w:hAnsi="宋体" w:cs="宋体"/>
          <w:b/>
          <w:color w:val="auto"/>
          <w:szCs w:val="21"/>
        </w:rPr>
        <w:t xml:space="preserve">      </w:t>
      </w:r>
      <w:r>
        <w:rPr>
          <w:rFonts w:hint="eastAsia" w:ascii="宋体" w:hAnsi="宋体" w:cs="宋体"/>
          <w:b/>
          <w:bCs/>
          <w:color w:val="auto"/>
          <w:szCs w:val="21"/>
        </w:rPr>
        <w:t>直接选定。</w:t>
      </w:r>
    </w:p>
    <w:p w14:paraId="7D635C78">
      <w:pPr>
        <w:spacing w:line="360" w:lineRule="auto"/>
        <w:rPr>
          <w:rFonts w:ascii="宋体" w:hAnsi="宋体" w:cs="宋体"/>
          <w:b/>
          <w:bCs/>
          <w:color w:val="auto"/>
          <w:szCs w:val="21"/>
        </w:rPr>
      </w:pPr>
      <w:r>
        <w:rPr>
          <w:rFonts w:hint="eastAsia" w:ascii="宋体" w:hAnsi="宋体" w:cs="宋体"/>
          <w:b/>
          <w:bCs/>
          <w:color w:val="auto"/>
          <w:szCs w:val="21"/>
        </w:rPr>
        <w:t>二十九、入围供应商的清退和补充规则</w:t>
      </w:r>
    </w:p>
    <w:p w14:paraId="25F16659">
      <w:pPr>
        <w:spacing w:line="360" w:lineRule="auto"/>
        <w:ind w:firstLine="632"/>
        <w:rPr>
          <w:rFonts w:ascii="宋体" w:hAnsi="宋体" w:cs="宋体"/>
          <w:b/>
          <w:bCs/>
          <w:color w:val="auto"/>
          <w:szCs w:val="21"/>
        </w:rPr>
      </w:pPr>
      <w:r>
        <w:rPr>
          <w:rFonts w:hint="eastAsia" w:ascii="宋体" w:hAnsi="宋体" w:cs="宋体"/>
          <w:b/>
          <w:bCs/>
          <w:color w:val="auto"/>
          <w:szCs w:val="21"/>
        </w:rPr>
        <w:t>29.1清退规则</w:t>
      </w:r>
    </w:p>
    <w:p w14:paraId="4C51543F">
      <w:pPr>
        <w:spacing w:line="360" w:lineRule="auto"/>
        <w:ind w:firstLine="630"/>
        <w:rPr>
          <w:rFonts w:ascii="宋体" w:hAnsi="宋体" w:cs="宋体"/>
          <w:color w:val="auto"/>
          <w:szCs w:val="21"/>
        </w:rPr>
      </w:pPr>
      <w:r>
        <w:rPr>
          <w:rFonts w:hint="eastAsia" w:ascii="宋体" w:hAnsi="宋体" w:cs="宋体"/>
          <w:color w:val="auto"/>
          <w:szCs w:val="21"/>
        </w:rPr>
        <w:t>入围供应商无正当理由，不得主动放弃入围资格或者退出框架协议。</w:t>
      </w:r>
    </w:p>
    <w:p w14:paraId="2F2969F9">
      <w:pPr>
        <w:spacing w:line="360" w:lineRule="auto"/>
        <w:ind w:firstLine="630"/>
        <w:rPr>
          <w:rFonts w:ascii="宋体" w:hAnsi="宋体" w:cs="宋体"/>
          <w:color w:val="auto"/>
          <w:szCs w:val="21"/>
        </w:rPr>
      </w:pPr>
      <w:r>
        <w:rPr>
          <w:rFonts w:hint="eastAsia" w:ascii="宋体" w:hAnsi="宋体" w:cs="宋体"/>
          <w:color w:val="auto"/>
          <w:szCs w:val="21"/>
        </w:rPr>
        <w:t>入围供应商有下列情形之一的，将被取消入围资格；已经签订框架协议的，征集人有权解除与入围供应商签订的框架协议：</w:t>
      </w:r>
    </w:p>
    <w:p w14:paraId="4324FDD5">
      <w:pPr>
        <w:spacing w:line="360" w:lineRule="auto"/>
        <w:ind w:firstLine="630"/>
        <w:rPr>
          <w:rFonts w:ascii="宋体" w:hAnsi="宋体" w:cs="宋体"/>
          <w:color w:val="auto"/>
          <w:szCs w:val="21"/>
        </w:rPr>
      </w:pPr>
      <w:r>
        <w:rPr>
          <w:rFonts w:hint="eastAsia" w:ascii="宋体" w:hAnsi="宋体" w:cs="宋体"/>
          <w:color w:val="auto"/>
          <w:szCs w:val="21"/>
        </w:rPr>
        <w:t>①恶意串通谋取入围或者合同成交的；</w:t>
      </w:r>
    </w:p>
    <w:p w14:paraId="75DDDAEE">
      <w:pPr>
        <w:spacing w:line="360" w:lineRule="auto"/>
        <w:ind w:firstLine="630"/>
        <w:rPr>
          <w:rFonts w:ascii="宋体" w:hAnsi="宋体" w:cs="宋体"/>
          <w:color w:val="auto"/>
          <w:szCs w:val="21"/>
        </w:rPr>
      </w:pPr>
      <w:r>
        <w:rPr>
          <w:rFonts w:hint="eastAsia" w:ascii="宋体" w:hAnsi="宋体" w:cs="宋体"/>
          <w:color w:val="auto"/>
          <w:szCs w:val="21"/>
        </w:rPr>
        <w:t>②提供虚假材料谋取入围或者合同成交的；</w:t>
      </w:r>
    </w:p>
    <w:p w14:paraId="46FBA21D">
      <w:pPr>
        <w:spacing w:line="360" w:lineRule="auto"/>
        <w:ind w:firstLine="630"/>
        <w:rPr>
          <w:rFonts w:ascii="宋体" w:hAnsi="宋体" w:cs="宋体"/>
          <w:color w:val="auto"/>
          <w:szCs w:val="21"/>
        </w:rPr>
      </w:pPr>
      <w:r>
        <w:rPr>
          <w:rFonts w:hint="eastAsia" w:ascii="宋体" w:hAnsi="宋体" w:cs="宋体"/>
          <w:color w:val="auto"/>
          <w:szCs w:val="21"/>
        </w:rPr>
        <w:t>③无正当理由拒不接受合同授予的；</w:t>
      </w:r>
    </w:p>
    <w:p w14:paraId="3C3593BC">
      <w:pPr>
        <w:spacing w:line="360" w:lineRule="auto"/>
        <w:ind w:firstLine="630"/>
        <w:rPr>
          <w:rFonts w:ascii="宋体" w:hAnsi="宋体" w:cs="宋体"/>
          <w:color w:val="auto"/>
          <w:szCs w:val="21"/>
        </w:rPr>
      </w:pPr>
      <w:r>
        <w:rPr>
          <w:rFonts w:hint="eastAsia" w:ascii="宋体" w:hAnsi="宋体" w:cs="宋体"/>
          <w:color w:val="auto"/>
          <w:szCs w:val="21"/>
        </w:rPr>
        <w:t>④不履行合同义务或者履行合同义务不符合约定，经采购人请求履行后仍不履行或者仍未按约定履行的；</w:t>
      </w:r>
    </w:p>
    <w:p w14:paraId="0D135800">
      <w:pPr>
        <w:spacing w:line="360" w:lineRule="auto"/>
        <w:ind w:firstLine="630"/>
        <w:rPr>
          <w:rFonts w:ascii="宋体" w:hAnsi="宋体" w:cs="宋体"/>
          <w:color w:val="auto"/>
          <w:szCs w:val="21"/>
        </w:rPr>
      </w:pPr>
      <w:r>
        <w:rPr>
          <w:rFonts w:hint="eastAsia" w:ascii="宋体" w:hAnsi="宋体" w:cs="宋体"/>
          <w:color w:val="auto"/>
          <w:szCs w:val="21"/>
        </w:rPr>
        <w:t>⑤框架协议有效期内，因违法行为被禁止或限制参加政府采购活动的；</w:t>
      </w:r>
    </w:p>
    <w:p w14:paraId="27CAA515">
      <w:pPr>
        <w:spacing w:line="360" w:lineRule="auto"/>
        <w:ind w:firstLine="630"/>
        <w:rPr>
          <w:rFonts w:ascii="宋体" w:hAnsi="宋体" w:cs="宋体"/>
          <w:color w:val="auto"/>
          <w:szCs w:val="21"/>
        </w:rPr>
      </w:pPr>
      <w:r>
        <w:rPr>
          <w:rFonts w:hint="eastAsia" w:ascii="宋体" w:hAnsi="宋体" w:cs="宋体"/>
          <w:color w:val="auto"/>
          <w:szCs w:val="21"/>
        </w:rPr>
        <w:t>⑥拒不按照本协议约定的事项履行本协议约定义务的；</w:t>
      </w:r>
    </w:p>
    <w:p w14:paraId="6EFEF956">
      <w:pPr>
        <w:spacing w:line="360" w:lineRule="auto"/>
        <w:ind w:firstLine="630"/>
        <w:rPr>
          <w:rFonts w:ascii="宋体" w:hAnsi="宋体" w:cs="宋体"/>
          <w:color w:val="auto"/>
          <w:szCs w:val="21"/>
        </w:rPr>
      </w:pPr>
      <w:r>
        <w:rPr>
          <w:rFonts w:hint="eastAsia" w:ascii="宋体" w:hAnsi="宋体" w:cs="宋体"/>
          <w:color w:val="auto"/>
          <w:szCs w:val="21"/>
        </w:rPr>
        <w:t>⑦框架协议征集文件规定的其他情形。</w:t>
      </w:r>
    </w:p>
    <w:p w14:paraId="3C0949CF">
      <w:pPr>
        <w:spacing w:line="360" w:lineRule="auto"/>
        <w:ind w:firstLine="632"/>
        <w:rPr>
          <w:rFonts w:ascii="宋体" w:hAnsi="宋体" w:cs="宋体"/>
          <w:b/>
          <w:bCs/>
          <w:color w:val="auto"/>
          <w:szCs w:val="21"/>
        </w:rPr>
      </w:pPr>
      <w:r>
        <w:rPr>
          <w:rFonts w:hint="eastAsia" w:ascii="宋体" w:hAnsi="宋体" w:cs="宋体"/>
          <w:b/>
          <w:bCs/>
          <w:color w:val="auto"/>
          <w:szCs w:val="21"/>
        </w:rPr>
        <w:t>29.2补充征集规则</w:t>
      </w:r>
    </w:p>
    <w:p w14:paraId="61C6D607">
      <w:pPr>
        <w:spacing w:line="360" w:lineRule="auto"/>
        <w:ind w:firstLine="630"/>
        <w:rPr>
          <w:rFonts w:ascii="宋体" w:hAnsi="宋体" w:cs="宋体"/>
          <w:color w:val="auto"/>
          <w:szCs w:val="21"/>
        </w:rPr>
      </w:pPr>
      <w:r>
        <w:rPr>
          <w:rFonts w:hint="eastAsia" w:ascii="宋体" w:hAnsi="宋体" w:cs="宋体"/>
          <w:color w:val="auto"/>
          <w:szCs w:val="21"/>
        </w:rPr>
        <w:t>入围供应商被取消入围资格或者被解除框架协议的，不得参加同一封闭式框架协议补充征集活动,不得重新申请加入同一</w:t>
      </w:r>
      <w:r>
        <w:rPr>
          <w:rFonts w:hint="eastAsia" w:ascii="宋体" w:hAnsi="宋体" w:cs="宋体"/>
          <w:color w:val="auto"/>
          <w:szCs w:val="21"/>
          <w:lang w:val="en-US" w:eastAsia="zh-CN"/>
        </w:rPr>
        <w:t>封闭</w:t>
      </w:r>
      <w:r>
        <w:rPr>
          <w:rFonts w:hint="eastAsia" w:ascii="宋体" w:hAnsi="宋体" w:cs="宋体"/>
          <w:color w:val="auto"/>
          <w:szCs w:val="21"/>
        </w:rPr>
        <w:t>式框架协议。</w:t>
      </w:r>
    </w:p>
    <w:p w14:paraId="6235B791">
      <w:pPr>
        <w:spacing w:line="360" w:lineRule="auto"/>
        <w:ind w:firstLine="630"/>
        <w:rPr>
          <w:rFonts w:ascii="宋体" w:hAnsi="宋体" w:cs="宋体"/>
          <w:color w:val="auto"/>
          <w:szCs w:val="21"/>
        </w:rPr>
      </w:pPr>
      <w:r>
        <w:rPr>
          <w:rFonts w:hint="eastAsia" w:ascii="宋体" w:hAnsi="宋体" w:cs="宋体"/>
          <w:color w:val="auto"/>
          <w:szCs w:val="21"/>
        </w:rPr>
        <w:t>入围供应商退出或者取消供应商入围资格后，剩余入围供应商数量不足原入围供应商数量70%且影响框架协议执行的，征集人将补充征集供应商。</w:t>
      </w:r>
    </w:p>
    <w:p w14:paraId="5C28E886">
      <w:pPr>
        <w:spacing w:line="360" w:lineRule="auto"/>
        <w:ind w:firstLine="630"/>
        <w:rPr>
          <w:rFonts w:ascii="宋体" w:hAnsi="宋体" w:cs="宋体"/>
          <w:color w:val="auto"/>
          <w:szCs w:val="21"/>
        </w:rPr>
      </w:pPr>
      <w:r>
        <w:rPr>
          <w:rFonts w:hint="eastAsia" w:ascii="宋体" w:hAnsi="宋体" w:cs="宋体"/>
          <w:color w:val="auto"/>
          <w:szCs w:val="21"/>
        </w:rPr>
        <w:t>补充征集的条件、程序、评审方法和淘汰比例，以及入围最高限价或入围质量标准与初次征集相同。补充征集遵守原框架协议的有效期。</w:t>
      </w:r>
    </w:p>
    <w:p w14:paraId="2B1E83F6">
      <w:pPr>
        <w:spacing w:line="360" w:lineRule="auto"/>
        <w:ind w:firstLine="630"/>
        <w:rPr>
          <w:rFonts w:ascii="宋体" w:hAnsi="宋体" w:cs="宋体"/>
          <w:color w:val="auto"/>
          <w:szCs w:val="21"/>
        </w:rPr>
      </w:pPr>
      <w:r>
        <w:rPr>
          <w:rFonts w:hint="eastAsia" w:ascii="宋体" w:hAnsi="宋体" w:cs="宋体"/>
          <w:color w:val="auto"/>
          <w:szCs w:val="21"/>
        </w:rPr>
        <w:t>框架协议剩余期限不足以补充征集供应商时，框架协议将履行至期满终止。</w:t>
      </w:r>
    </w:p>
    <w:p w14:paraId="1B28991B">
      <w:pPr>
        <w:spacing w:line="360" w:lineRule="auto"/>
        <w:rPr>
          <w:rFonts w:ascii="宋体" w:hAnsi="宋体" w:cs="宋体"/>
          <w:b/>
          <w:bCs/>
          <w:color w:val="auto"/>
          <w:szCs w:val="28"/>
        </w:rPr>
      </w:pPr>
      <w:r>
        <w:rPr>
          <w:rFonts w:hint="eastAsia" w:ascii="宋体" w:hAnsi="宋体" w:cs="宋体"/>
          <w:b/>
          <w:bCs/>
          <w:color w:val="auto"/>
          <w:szCs w:val="21"/>
        </w:rPr>
        <w:t>三十、投标人</w:t>
      </w:r>
      <w:r>
        <w:rPr>
          <w:rFonts w:hint="eastAsia" w:ascii="宋体" w:hAnsi="宋体" w:cs="宋体"/>
          <w:b/>
          <w:bCs/>
          <w:color w:val="auto"/>
          <w:szCs w:val="28"/>
        </w:rPr>
        <w:t>在参与政府采购活动中失信行为惩戒相关规定：</w:t>
      </w:r>
    </w:p>
    <w:p w14:paraId="48C60AA3">
      <w:pPr>
        <w:spacing w:line="360" w:lineRule="auto"/>
        <w:ind w:firstLine="420"/>
        <w:rPr>
          <w:rFonts w:ascii="宋体" w:hAnsi="宋体" w:cs="宋体"/>
          <w:color w:val="auto"/>
          <w:szCs w:val="28"/>
        </w:rPr>
      </w:pPr>
      <w:r>
        <w:rPr>
          <w:rFonts w:hint="eastAsia" w:ascii="宋体" w:hAnsi="宋体" w:cs="宋体"/>
          <w:color w:val="auto"/>
          <w:szCs w:val="28"/>
        </w:rPr>
        <w:t>30.1对于被行政处罚尚在禁止参加政府采购活动期内的</w:t>
      </w:r>
      <w:r>
        <w:rPr>
          <w:rFonts w:hint="eastAsia" w:ascii="宋体" w:hAnsi="宋体" w:cs="宋体"/>
          <w:color w:val="auto"/>
          <w:szCs w:val="21"/>
        </w:rPr>
        <w:t>投标人</w:t>
      </w:r>
      <w:r>
        <w:rPr>
          <w:rFonts w:hint="eastAsia" w:ascii="宋体" w:hAnsi="宋体" w:cs="宋体"/>
          <w:color w:val="auto"/>
          <w:szCs w:val="28"/>
        </w:rPr>
        <w:t>，不得参加政府采购活动，否则中标、成交结果无效。</w:t>
      </w:r>
    </w:p>
    <w:p w14:paraId="02A1E6BC">
      <w:pPr>
        <w:spacing w:line="360" w:lineRule="auto"/>
        <w:ind w:firstLine="420"/>
        <w:rPr>
          <w:rFonts w:ascii="宋体" w:hAnsi="宋体" w:cs="宋体"/>
          <w:color w:val="auto"/>
          <w:szCs w:val="28"/>
        </w:rPr>
      </w:pPr>
      <w:r>
        <w:rPr>
          <w:rFonts w:hint="eastAsia" w:ascii="宋体" w:hAnsi="宋体" w:cs="宋体"/>
          <w:color w:val="auto"/>
          <w:szCs w:val="28"/>
        </w:rPr>
        <w:t>30.2对于被做出失信行为等级记录且该记录尚处于有效期内的</w:t>
      </w:r>
      <w:r>
        <w:rPr>
          <w:rFonts w:hint="eastAsia" w:ascii="宋体" w:hAnsi="宋体" w:cs="宋体"/>
          <w:color w:val="auto"/>
          <w:szCs w:val="21"/>
        </w:rPr>
        <w:t>投标人</w:t>
      </w:r>
      <w:r>
        <w:rPr>
          <w:rFonts w:hint="eastAsia" w:ascii="宋体" w:hAnsi="宋体" w:cs="宋体"/>
          <w:color w:val="auto"/>
          <w:szCs w:val="28"/>
        </w:rPr>
        <w:t>，在其参与政府采购活动时给予一定的分数扣减或价格增加。具体标准为:采用综合评分法的，对于一级失信行为投标人给予其总分值2%的减分，二级失信行为投标人给予其总分值4%的减分，三级失信行为投标人给予其总分值6%的减分。采用最低评标价法的，对于一级失信行为投标人给予其报价2%的加价，二级失信行为投标人给予其报价</w:t>
      </w:r>
      <w:r>
        <w:rPr>
          <w:rFonts w:hint="eastAsia" w:ascii="宋体" w:hAnsi="宋体" w:cs="宋体"/>
          <w:color w:val="auto"/>
          <w:szCs w:val="21"/>
        </w:rPr>
        <w:t>4%</w:t>
      </w:r>
      <w:r>
        <w:rPr>
          <w:rFonts w:hint="eastAsia" w:ascii="宋体" w:hAnsi="宋体" w:cs="宋体"/>
          <w:color w:val="auto"/>
          <w:szCs w:val="28"/>
        </w:rPr>
        <w:t xml:space="preserve">的加价，三级失信行为投标人给予其报价6%的加价。 </w:t>
      </w:r>
    </w:p>
    <w:p w14:paraId="66ECA9D8">
      <w:pPr>
        <w:spacing w:line="360" w:lineRule="auto"/>
        <w:rPr>
          <w:rFonts w:ascii="宋体" w:hAnsi="宋体" w:cs="宋体"/>
          <w:b/>
          <w:bCs/>
          <w:color w:val="auto"/>
          <w:szCs w:val="28"/>
        </w:rPr>
      </w:pPr>
      <w:r>
        <w:rPr>
          <w:rFonts w:hint="eastAsia" w:ascii="宋体" w:hAnsi="宋体" w:cs="宋体"/>
          <w:b/>
          <w:bCs/>
          <w:color w:val="auto"/>
          <w:szCs w:val="28"/>
        </w:rPr>
        <w:t>三十一、保密和披露</w:t>
      </w:r>
    </w:p>
    <w:p w14:paraId="2DD98296">
      <w:pPr>
        <w:spacing w:line="360" w:lineRule="auto"/>
        <w:ind w:firstLine="420"/>
        <w:rPr>
          <w:rFonts w:ascii="宋体" w:hAnsi="宋体" w:cs="宋体"/>
          <w:color w:val="auto"/>
          <w:szCs w:val="28"/>
        </w:rPr>
      </w:pPr>
      <w:r>
        <w:rPr>
          <w:rFonts w:hint="eastAsia" w:ascii="宋体" w:hAnsi="宋体" w:cs="宋体"/>
          <w:color w:val="auto"/>
          <w:szCs w:val="28"/>
        </w:rPr>
        <w:t>31.1投标人自获取征集文件之日起，须履行本</w:t>
      </w:r>
      <w:r>
        <w:rPr>
          <w:rFonts w:hint="eastAsia" w:ascii="宋体" w:hAnsi="宋体" w:cs="宋体"/>
          <w:bCs/>
          <w:color w:val="auto"/>
          <w:szCs w:val="21"/>
        </w:rPr>
        <w:t>征集</w:t>
      </w:r>
      <w:r>
        <w:rPr>
          <w:rFonts w:hint="eastAsia" w:ascii="宋体" w:hAnsi="宋体" w:cs="宋体"/>
          <w:color w:val="auto"/>
          <w:szCs w:val="28"/>
        </w:rPr>
        <w:t>项目下保密义务，不得将因本次</w:t>
      </w:r>
      <w:r>
        <w:rPr>
          <w:rFonts w:hint="eastAsia" w:ascii="宋体" w:hAnsi="宋体" w:cs="宋体"/>
          <w:bCs/>
          <w:color w:val="auto"/>
          <w:szCs w:val="21"/>
        </w:rPr>
        <w:t>征集</w:t>
      </w:r>
      <w:r>
        <w:rPr>
          <w:rFonts w:hint="eastAsia" w:ascii="宋体" w:hAnsi="宋体" w:cs="宋体"/>
          <w:color w:val="auto"/>
          <w:szCs w:val="28"/>
        </w:rPr>
        <w:t>获得的信息向第三人外传。</w:t>
      </w:r>
    </w:p>
    <w:p w14:paraId="2B17760E">
      <w:pPr>
        <w:spacing w:line="360" w:lineRule="auto"/>
        <w:ind w:firstLine="420"/>
        <w:rPr>
          <w:rFonts w:ascii="宋体" w:hAnsi="宋体" w:cs="宋体"/>
          <w:color w:val="auto"/>
          <w:szCs w:val="28"/>
        </w:rPr>
      </w:pPr>
      <w:r>
        <w:rPr>
          <w:rFonts w:hint="eastAsia" w:ascii="宋体" w:hAnsi="宋体" w:cs="宋体"/>
          <w:color w:val="auto"/>
          <w:szCs w:val="28"/>
        </w:rPr>
        <w:t>31.2采购人或采购中心有权将投标人提供的所有资料向有关政府部门或评审委员会披露。</w:t>
      </w:r>
    </w:p>
    <w:p w14:paraId="79C13A16">
      <w:pPr>
        <w:spacing w:line="360" w:lineRule="auto"/>
        <w:ind w:firstLine="420"/>
        <w:rPr>
          <w:rFonts w:ascii="宋体" w:hAnsi="宋体" w:cs="宋体"/>
          <w:color w:val="auto"/>
          <w:szCs w:val="28"/>
        </w:rPr>
      </w:pPr>
      <w:r>
        <w:rPr>
          <w:rFonts w:hint="eastAsia" w:ascii="宋体" w:hAnsi="宋体" w:cs="宋体"/>
          <w:color w:val="auto"/>
          <w:szCs w:val="28"/>
        </w:rPr>
        <w:t>31.3在采购人或采购中心认为适当时、国家机关调查、审查、审计时以及其他符合法律规定的情形下，采购人或采购中心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30FC6117">
      <w:pPr>
        <w:spacing w:line="360" w:lineRule="auto"/>
        <w:rPr>
          <w:rFonts w:ascii="宋体" w:hAnsi="宋体" w:cs="宋体"/>
          <w:b/>
          <w:bCs/>
          <w:color w:val="auto"/>
          <w:szCs w:val="28"/>
        </w:rPr>
      </w:pPr>
      <w:r>
        <w:rPr>
          <w:rFonts w:hint="eastAsia" w:ascii="宋体" w:hAnsi="宋体" w:cs="宋体"/>
          <w:b/>
          <w:bCs/>
          <w:color w:val="auto"/>
          <w:szCs w:val="28"/>
        </w:rPr>
        <w:t>三十二、未尽事宜</w:t>
      </w:r>
    </w:p>
    <w:p w14:paraId="75BD3DCC">
      <w:pPr>
        <w:spacing w:line="360" w:lineRule="auto"/>
        <w:ind w:firstLine="420"/>
        <w:rPr>
          <w:rFonts w:ascii="宋体" w:hAnsi="宋体" w:cs="宋体"/>
          <w:color w:val="auto"/>
          <w:szCs w:val="28"/>
        </w:rPr>
      </w:pPr>
      <w:r>
        <w:rPr>
          <w:rFonts w:hint="eastAsia" w:ascii="宋体" w:hAnsi="宋体" w:cs="宋体"/>
          <w:color w:val="auto"/>
          <w:szCs w:val="28"/>
        </w:rPr>
        <w:t>32.1按《中华人民共和国政府采购法》及其他有关法律法规的规定执行。</w:t>
      </w:r>
    </w:p>
    <w:p w14:paraId="73715F19">
      <w:pPr>
        <w:spacing w:line="400" w:lineRule="exact"/>
        <w:ind w:firstLine="420"/>
        <w:rPr>
          <w:rFonts w:ascii="宋体" w:hAnsi="宋体" w:cs="宋体"/>
          <w:b/>
          <w:color w:val="auto"/>
          <w:sz w:val="28"/>
          <w:szCs w:val="28"/>
        </w:rPr>
      </w:pPr>
      <w:r>
        <w:rPr>
          <w:rFonts w:hint="eastAsia" w:ascii="宋体" w:hAnsi="宋体" w:cs="宋体"/>
          <w:color w:val="auto"/>
          <w:szCs w:val="28"/>
        </w:rPr>
        <w:br w:type="page" w:clear="all"/>
      </w:r>
      <w:r>
        <w:rPr>
          <w:rFonts w:hint="eastAsia" w:ascii="宋体" w:hAnsi="宋体" w:cs="宋体"/>
          <w:b/>
          <w:color w:val="auto"/>
          <w:sz w:val="32"/>
          <w:szCs w:val="32"/>
        </w:rPr>
        <w:t xml:space="preserve">                    </w:t>
      </w:r>
      <w:r>
        <w:rPr>
          <w:rFonts w:hint="eastAsia" w:ascii="宋体" w:hAnsi="宋体" w:cs="宋体"/>
          <w:b/>
          <w:color w:val="auto"/>
          <w:sz w:val="28"/>
          <w:szCs w:val="28"/>
        </w:rPr>
        <w:t xml:space="preserve"> </w:t>
      </w:r>
      <w:bookmarkStart w:id="79" w:name="_Toc28322"/>
      <w:r>
        <w:rPr>
          <w:rFonts w:hint="eastAsia" w:ascii="宋体" w:hAnsi="宋体" w:cs="宋体"/>
          <w:b/>
          <w:color w:val="auto"/>
          <w:sz w:val="28"/>
          <w:szCs w:val="28"/>
        </w:rPr>
        <w:t>政府采购告知书</w:t>
      </w:r>
      <w:bookmarkEnd w:id="79"/>
    </w:p>
    <w:p w14:paraId="6A9B309E">
      <w:pPr>
        <w:spacing w:line="400" w:lineRule="exact"/>
        <w:rPr>
          <w:rFonts w:ascii="宋体" w:hAnsi="宋体" w:cs="宋体"/>
          <w:color w:val="auto"/>
          <w:szCs w:val="21"/>
        </w:rPr>
      </w:pPr>
      <w:r>
        <w:rPr>
          <w:rFonts w:hint="eastAsia" w:ascii="宋体" w:hAnsi="宋体" w:cs="宋体"/>
          <w:color w:val="auto"/>
          <w:szCs w:val="21"/>
        </w:rPr>
        <w:t>尊敬的投标人项目参与人：</w:t>
      </w:r>
    </w:p>
    <w:p w14:paraId="47ECC9A0">
      <w:pPr>
        <w:spacing w:line="400" w:lineRule="exact"/>
        <w:ind w:firstLine="420"/>
        <w:rPr>
          <w:rFonts w:ascii="宋体" w:hAnsi="宋体" w:cs="宋体"/>
          <w:color w:val="auto"/>
          <w:szCs w:val="21"/>
        </w:rPr>
      </w:pPr>
      <w:r>
        <w:rPr>
          <w:rFonts w:hint="eastAsia" w:ascii="宋体" w:hAnsi="宋体" w:cs="宋体"/>
          <w:color w:val="auto"/>
          <w:szCs w:val="21"/>
        </w:rPr>
        <w:t>为营造公开、公正的市场环境，确保政府采购工作规范有序开展，特将有关事项告知如下：</w:t>
      </w:r>
    </w:p>
    <w:p w14:paraId="3DB8B429">
      <w:pPr>
        <w:spacing w:line="400" w:lineRule="exact"/>
        <w:rPr>
          <w:rFonts w:ascii="宋体" w:hAnsi="宋体" w:cs="宋体"/>
          <w:color w:val="auto"/>
          <w:szCs w:val="21"/>
        </w:rPr>
      </w:pPr>
      <w:r>
        <w:rPr>
          <w:rFonts w:hint="eastAsia" w:ascii="宋体" w:hAnsi="宋体" w:cs="宋体"/>
          <w:color w:val="auto"/>
          <w:szCs w:val="21"/>
        </w:rPr>
        <w:t>一、欢迎投标人及项目参与人对政府采购工作人员进行监督。凡发现政府采购工作人员有以下情形的，均可以书面具名方式举报，请投送至溧阳市财政局预算科（溧阳市市政府西副楼四楼）。</w:t>
      </w:r>
    </w:p>
    <w:p w14:paraId="2EAF0BA6">
      <w:pPr>
        <w:spacing w:line="400" w:lineRule="exact"/>
        <w:rPr>
          <w:rFonts w:ascii="宋体" w:hAnsi="宋体" w:cs="宋体"/>
          <w:color w:val="auto"/>
          <w:szCs w:val="21"/>
        </w:rPr>
      </w:pPr>
      <w:bookmarkStart w:id="80" w:name="_Toc28461"/>
      <w:r>
        <w:rPr>
          <w:rFonts w:hint="eastAsia" w:ascii="宋体" w:hAnsi="宋体" w:cs="宋体"/>
          <w:color w:val="auto"/>
          <w:szCs w:val="21"/>
        </w:rPr>
        <w:t>（一）投标人组织的宴请、旅游、娱乐等活动；</w:t>
      </w:r>
      <w:bookmarkEnd w:id="80"/>
    </w:p>
    <w:p w14:paraId="58AF5A27">
      <w:pPr>
        <w:spacing w:line="400" w:lineRule="exact"/>
        <w:rPr>
          <w:rFonts w:ascii="宋体" w:hAnsi="宋体" w:cs="宋体"/>
          <w:color w:val="auto"/>
          <w:szCs w:val="21"/>
        </w:rPr>
      </w:pPr>
      <w:bookmarkStart w:id="81" w:name="_Toc8581"/>
      <w:r>
        <w:rPr>
          <w:rFonts w:hint="eastAsia" w:ascii="宋体" w:hAnsi="宋体" w:cs="宋体"/>
          <w:color w:val="auto"/>
          <w:szCs w:val="21"/>
        </w:rPr>
        <w:t>（二）投标人恶意串通的；</w:t>
      </w:r>
      <w:bookmarkEnd w:id="81"/>
    </w:p>
    <w:p w14:paraId="6828B09D">
      <w:pPr>
        <w:spacing w:line="400" w:lineRule="exact"/>
        <w:rPr>
          <w:rFonts w:ascii="宋体" w:hAnsi="宋体" w:cs="宋体"/>
          <w:color w:val="auto"/>
          <w:szCs w:val="21"/>
        </w:rPr>
      </w:pPr>
      <w:bookmarkStart w:id="82" w:name="_Toc21447"/>
      <w:r>
        <w:rPr>
          <w:rFonts w:hint="eastAsia" w:ascii="宋体" w:hAnsi="宋体" w:cs="宋体"/>
          <w:color w:val="auto"/>
          <w:szCs w:val="21"/>
        </w:rPr>
        <w:t>（三）在采购过程中接受贿赂或者获取不正当利益的；</w:t>
      </w:r>
      <w:bookmarkEnd w:id="82"/>
    </w:p>
    <w:p w14:paraId="74B0B45B">
      <w:pPr>
        <w:spacing w:line="400" w:lineRule="exact"/>
        <w:rPr>
          <w:rFonts w:ascii="宋体" w:hAnsi="宋体" w:cs="宋体"/>
          <w:color w:val="auto"/>
          <w:szCs w:val="21"/>
        </w:rPr>
      </w:pPr>
      <w:bookmarkStart w:id="83" w:name="_Toc29076"/>
      <w:r>
        <w:rPr>
          <w:rFonts w:hint="eastAsia" w:ascii="宋体" w:hAnsi="宋体" w:cs="宋体"/>
          <w:color w:val="auto"/>
          <w:szCs w:val="21"/>
        </w:rPr>
        <w:t>（四）违规向关联参与人或投标人透露招投标或评审信息的；</w:t>
      </w:r>
      <w:bookmarkEnd w:id="83"/>
    </w:p>
    <w:p w14:paraId="26A1C1B4">
      <w:pPr>
        <w:spacing w:line="400" w:lineRule="exact"/>
        <w:rPr>
          <w:rFonts w:ascii="宋体" w:hAnsi="宋体" w:cs="宋体"/>
          <w:color w:val="auto"/>
          <w:szCs w:val="21"/>
        </w:rPr>
      </w:pPr>
      <w:bookmarkStart w:id="84" w:name="_Toc2338"/>
      <w:r>
        <w:rPr>
          <w:rFonts w:hint="eastAsia" w:ascii="宋体" w:hAnsi="宋体" w:cs="宋体"/>
          <w:color w:val="auto"/>
          <w:szCs w:val="21"/>
        </w:rPr>
        <w:t>（五）其他违纪违规行为。</w:t>
      </w:r>
      <w:bookmarkEnd w:id="84"/>
    </w:p>
    <w:p w14:paraId="16580E43">
      <w:pPr>
        <w:spacing w:line="400" w:lineRule="exact"/>
        <w:rPr>
          <w:rFonts w:ascii="宋体" w:hAnsi="宋体" w:cs="宋体"/>
          <w:color w:val="auto"/>
          <w:szCs w:val="21"/>
        </w:rPr>
      </w:pPr>
      <w:r>
        <w:rPr>
          <w:rFonts w:hint="eastAsia" w:ascii="宋体" w:hAnsi="宋体" w:cs="宋体"/>
          <w:color w:val="auto"/>
          <w:szCs w:val="21"/>
        </w:rPr>
        <w:t>二、投标人及项目参与人应当遵守政府采购工作规则，有下列情形之一的，将被政府采购项目实施组织机构列入不良行为纪录，建议政府采购监督管理部门一至三年内不得参与政府集中采购机构组织的一切项目，并在相关媒体网站予以公布：</w:t>
      </w:r>
    </w:p>
    <w:p w14:paraId="63F8E1F2">
      <w:pPr>
        <w:spacing w:line="400" w:lineRule="exact"/>
        <w:rPr>
          <w:rFonts w:ascii="宋体" w:hAnsi="宋体" w:cs="宋体"/>
          <w:color w:val="auto"/>
          <w:szCs w:val="21"/>
        </w:rPr>
      </w:pPr>
      <w:r>
        <w:rPr>
          <w:rFonts w:hint="eastAsia" w:ascii="宋体" w:hAnsi="宋体" w:cs="宋体"/>
          <w:color w:val="auto"/>
          <w:szCs w:val="21"/>
        </w:rPr>
        <w:t>（一）在政府采购实施过程中，有吵闹、起哄、斗殴等行为，扰乱政府采购开标现场或评审现场秩序的，以及在投标答疑、领取征集文件、办理相关手续过程中扰乱正常办公秩序的；</w:t>
      </w:r>
    </w:p>
    <w:p w14:paraId="298AB330">
      <w:pPr>
        <w:spacing w:line="400" w:lineRule="exact"/>
        <w:rPr>
          <w:rFonts w:ascii="宋体" w:hAnsi="宋体" w:cs="宋体"/>
          <w:color w:val="auto"/>
          <w:szCs w:val="21"/>
        </w:rPr>
      </w:pPr>
      <w:r>
        <w:rPr>
          <w:rFonts w:hint="eastAsia" w:ascii="宋体" w:hAnsi="宋体" w:cs="宋体"/>
          <w:color w:val="auto"/>
          <w:szCs w:val="21"/>
        </w:rPr>
        <w:t>（二）采取不正当手段诋毁、排挤其他投标人的；</w:t>
      </w:r>
    </w:p>
    <w:p w14:paraId="11F3CCF6">
      <w:pPr>
        <w:spacing w:line="400" w:lineRule="exact"/>
        <w:rPr>
          <w:rFonts w:ascii="宋体" w:hAnsi="宋体" w:cs="宋体"/>
          <w:color w:val="auto"/>
          <w:szCs w:val="21"/>
        </w:rPr>
      </w:pPr>
      <w:r>
        <w:rPr>
          <w:rFonts w:hint="eastAsia" w:ascii="宋体" w:hAnsi="宋体" w:cs="宋体"/>
          <w:color w:val="auto"/>
          <w:szCs w:val="21"/>
        </w:rPr>
        <w:t>（三）提供虚假材料谋取中标、成交的；</w:t>
      </w:r>
    </w:p>
    <w:p w14:paraId="2D7C4262">
      <w:pPr>
        <w:spacing w:line="400" w:lineRule="exact"/>
        <w:rPr>
          <w:rFonts w:ascii="宋体" w:hAnsi="宋体" w:cs="宋体"/>
          <w:color w:val="auto"/>
          <w:szCs w:val="21"/>
        </w:rPr>
      </w:pPr>
      <w:r>
        <w:rPr>
          <w:rFonts w:hint="eastAsia" w:ascii="宋体" w:hAnsi="宋体" w:cs="宋体"/>
          <w:color w:val="auto"/>
          <w:szCs w:val="21"/>
        </w:rPr>
        <w:t>（四）向采购人、政府采购机构工作人员行贿或提供其他不正当利益的；</w:t>
      </w:r>
    </w:p>
    <w:p w14:paraId="02CB775F">
      <w:pPr>
        <w:spacing w:line="400" w:lineRule="exact"/>
        <w:rPr>
          <w:rFonts w:ascii="宋体" w:hAnsi="宋体" w:cs="宋体"/>
          <w:color w:val="auto"/>
          <w:szCs w:val="21"/>
        </w:rPr>
      </w:pPr>
      <w:r>
        <w:rPr>
          <w:rFonts w:hint="eastAsia" w:ascii="宋体" w:hAnsi="宋体" w:cs="宋体"/>
          <w:color w:val="auto"/>
          <w:szCs w:val="21"/>
        </w:rPr>
        <w:t>（五）在招投采购过程中与征集人进行协商</w:t>
      </w:r>
      <w:r>
        <w:rPr>
          <w:rFonts w:hint="eastAsia" w:ascii="宋体" w:hAnsi="宋体" w:cs="宋体"/>
          <w:bCs/>
          <w:color w:val="auto"/>
          <w:szCs w:val="21"/>
        </w:rPr>
        <w:t>征集</w:t>
      </w:r>
      <w:r>
        <w:rPr>
          <w:rFonts w:hint="eastAsia" w:ascii="宋体" w:hAnsi="宋体" w:cs="宋体"/>
          <w:color w:val="auto"/>
          <w:szCs w:val="21"/>
        </w:rPr>
        <w:t>的；</w:t>
      </w:r>
    </w:p>
    <w:p w14:paraId="3268E74F">
      <w:pPr>
        <w:spacing w:line="400" w:lineRule="exact"/>
        <w:rPr>
          <w:rFonts w:ascii="宋体" w:hAnsi="宋体" w:cs="宋体"/>
          <w:color w:val="auto"/>
          <w:szCs w:val="21"/>
        </w:rPr>
      </w:pPr>
      <w:r>
        <w:rPr>
          <w:rFonts w:hint="eastAsia" w:ascii="宋体" w:hAnsi="宋体" w:cs="宋体"/>
          <w:color w:val="auto"/>
          <w:szCs w:val="21"/>
        </w:rPr>
        <w:t>（六）未按规定程序进行质疑、投诉，影响政府采购项目正常进行的。</w:t>
      </w:r>
    </w:p>
    <w:p w14:paraId="244CA95E">
      <w:pPr>
        <w:spacing w:line="400" w:lineRule="exact"/>
        <w:rPr>
          <w:rFonts w:ascii="宋体" w:hAnsi="宋体" w:cs="宋体"/>
          <w:color w:val="auto"/>
          <w:szCs w:val="21"/>
        </w:rPr>
      </w:pPr>
      <w:r>
        <w:rPr>
          <w:rFonts w:hint="eastAsia" w:ascii="宋体" w:hAnsi="宋体" w:cs="宋体"/>
          <w:color w:val="auto"/>
          <w:szCs w:val="21"/>
        </w:rPr>
        <w:t>监督科办公室：溧阳市财政局预算科</w:t>
      </w:r>
    </w:p>
    <w:p w14:paraId="6E02A76A">
      <w:pPr>
        <w:spacing w:line="400" w:lineRule="exact"/>
        <w:rPr>
          <w:rFonts w:ascii="宋体" w:hAnsi="宋体" w:cs="宋体"/>
          <w:color w:val="auto"/>
          <w:szCs w:val="21"/>
        </w:rPr>
      </w:pPr>
      <w:r>
        <w:rPr>
          <w:rFonts w:hint="eastAsia" w:ascii="宋体" w:hAnsi="宋体" w:cs="宋体"/>
          <w:color w:val="auto"/>
          <w:szCs w:val="21"/>
        </w:rPr>
        <w:t>政府采购投诉监督电话：0519-87223745</w:t>
      </w:r>
    </w:p>
    <w:p w14:paraId="31B417C7">
      <w:pPr>
        <w:spacing w:line="400" w:lineRule="exact"/>
        <w:rPr>
          <w:rFonts w:ascii="宋体" w:hAnsi="宋体" w:cs="宋体"/>
          <w:b/>
          <w:bCs/>
          <w:color w:val="auto"/>
          <w:szCs w:val="21"/>
        </w:rPr>
      </w:pPr>
    </w:p>
    <w:p w14:paraId="30D5B2A8">
      <w:pPr>
        <w:spacing w:line="400" w:lineRule="exact"/>
        <w:rPr>
          <w:rFonts w:ascii="宋体" w:hAnsi="宋体" w:cs="宋体"/>
          <w:b/>
          <w:bCs/>
          <w:color w:val="auto"/>
          <w:szCs w:val="21"/>
        </w:rPr>
      </w:pPr>
    </w:p>
    <w:p w14:paraId="067BC58E">
      <w:pPr>
        <w:spacing w:line="400" w:lineRule="exact"/>
        <w:rPr>
          <w:rFonts w:ascii="宋体" w:hAnsi="宋体" w:cs="宋体"/>
          <w:b/>
          <w:bCs/>
          <w:color w:val="auto"/>
          <w:szCs w:val="21"/>
        </w:rPr>
      </w:pPr>
    </w:p>
    <w:p w14:paraId="3BEA0C43">
      <w:pPr>
        <w:rPr>
          <w:rFonts w:ascii="宋体" w:hAnsi="宋体" w:cs="宋体"/>
          <w:color w:val="auto"/>
          <w:szCs w:val="21"/>
        </w:rPr>
      </w:pPr>
    </w:p>
    <w:p w14:paraId="63EF5116">
      <w:pPr>
        <w:rPr>
          <w:rFonts w:ascii="宋体" w:hAnsi="宋体" w:cs="宋体"/>
          <w:color w:val="auto"/>
          <w:szCs w:val="21"/>
        </w:rPr>
      </w:pPr>
    </w:p>
    <w:p w14:paraId="11614E17">
      <w:pPr>
        <w:rPr>
          <w:rFonts w:ascii="宋体" w:hAnsi="宋体" w:cs="宋体"/>
          <w:color w:val="auto"/>
          <w:szCs w:val="21"/>
        </w:rPr>
      </w:pPr>
    </w:p>
    <w:p w14:paraId="64B84017">
      <w:pPr>
        <w:pStyle w:val="4"/>
        <w:spacing w:line="413" w:lineRule="auto"/>
        <w:jc w:val="both"/>
        <w:rPr>
          <w:rStyle w:val="314"/>
          <w:rFonts w:eastAsia="宋体" w:cs="宋体"/>
          <w:b/>
          <w:color w:val="auto"/>
          <w:sz w:val="28"/>
          <w:szCs w:val="28"/>
        </w:rPr>
        <w:sectPr>
          <w:headerReference r:id="rId8" w:type="default"/>
          <w:pgSz w:w="11906" w:h="16838"/>
          <w:pgMar w:top="1440" w:right="1134" w:bottom="1440" w:left="1134" w:header="737" w:footer="992" w:gutter="0"/>
          <w:cols w:space="720" w:num="1"/>
          <w:docGrid w:linePitch="360" w:charSpace="0"/>
        </w:sectPr>
      </w:pPr>
      <w:bookmarkStart w:id="85" w:name="_Toc908"/>
    </w:p>
    <w:p w14:paraId="2F76488A">
      <w:pPr>
        <w:pStyle w:val="4"/>
        <w:spacing w:line="413" w:lineRule="auto"/>
        <w:rPr>
          <w:rFonts w:ascii="宋体" w:hAnsi="宋体" w:eastAsia="宋体" w:cs="宋体"/>
          <w:color w:val="auto"/>
        </w:rPr>
      </w:pPr>
      <w:bookmarkStart w:id="86" w:name="_Toc25474"/>
      <w:bookmarkStart w:id="87" w:name="_Toc22728"/>
      <w:bookmarkStart w:id="88" w:name="_Toc3446"/>
      <w:bookmarkStart w:id="89" w:name="_Toc23364"/>
      <w:r>
        <w:rPr>
          <w:rStyle w:val="314"/>
          <w:rFonts w:hint="eastAsia" w:eastAsia="宋体" w:cs="宋体"/>
          <w:b w:val="0"/>
          <w:color w:val="auto"/>
          <w:sz w:val="28"/>
          <w:szCs w:val="28"/>
        </w:rPr>
        <w:t>第四部分  采购需求</w:t>
      </w:r>
      <w:bookmarkEnd w:id="85"/>
      <w:bookmarkEnd w:id="86"/>
      <w:bookmarkEnd w:id="87"/>
      <w:bookmarkEnd w:id="88"/>
      <w:bookmarkEnd w:id="89"/>
    </w:p>
    <w:p w14:paraId="38CCB387">
      <w:pPr>
        <w:pStyle w:val="346"/>
        <w:spacing w:before="0" w:beforeAutospacing="0" w:after="0" w:afterAutospacing="0" w:line="360" w:lineRule="auto"/>
        <w:ind w:left="0" w:firstLine="422"/>
        <w:rPr>
          <w:rFonts w:ascii="宋体" w:hAnsi="宋体" w:cs="宋体"/>
          <w:b/>
          <w:color w:val="auto"/>
          <w:sz w:val="21"/>
          <w:szCs w:val="21"/>
        </w:rPr>
      </w:pPr>
      <w:bookmarkStart w:id="90" w:name="_Toc7340"/>
      <w:bookmarkStart w:id="91" w:name="_Toc15648"/>
      <w:bookmarkStart w:id="92" w:name="_Toc6649"/>
      <w:bookmarkStart w:id="93" w:name="_Toc19240"/>
      <w:r>
        <w:rPr>
          <w:rFonts w:hint="eastAsia" w:ascii="宋体" w:hAnsi="宋体" w:cs="宋体"/>
          <w:b/>
          <w:color w:val="auto"/>
          <w:sz w:val="21"/>
          <w:szCs w:val="21"/>
        </w:rPr>
        <w:t>一、项目概况</w:t>
      </w:r>
    </w:p>
    <w:p w14:paraId="57907006">
      <w:pPr>
        <w:spacing w:line="360" w:lineRule="auto"/>
        <w:ind w:firstLine="420"/>
        <w:rPr>
          <w:rFonts w:ascii="宋体" w:hAnsi="宋体"/>
          <w:color w:val="auto"/>
          <w:szCs w:val="21"/>
        </w:rPr>
      </w:pPr>
      <w:r>
        <w:rPr>
          <w:rFonts w:hint="eastAsia" w:ascii="宋体" w:hAnsi="宋体"/>
          <w:color w:val="auto"/>
          <w:szCs w:val="21"/>
        </w:rPr>
        <w:t>项目编号：</w:t>
      </w:r>
      <w:r>
        <w:rPr>
          <w:rFonts w:hint="eastAsia" w:ascii="宋体" w:hAnsi="宋体"/>
          <w:color w:val="auto"/>
          <w:szCs w:val="21"/>
          <w:lang w:eastAsia="zh-CN"/>
        </w:rPr>
        <w:t>******</w:t>
      </w:r>
      <w:r>
        <w:rPr>
          <w:rFonts w:hint="eastAsia" w:ascii="宋体" w:hAnsi="宋体"/>
          <w:color w:val="auto"/>
          <w:szCs w:val="21"/>
        </w:rPr>
        <w:t xml:space="preserve"> </w:t>
      </w:r>
    </w:p>
    <w:p w14:paraId="5BCBA2D2">
      <w:pPr>
        <w:spacing w:line="360" w:lineRule="auto"/>
        <w:ind w:firstLine="420"/>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lang w:eastAsia="zh-CN"/>
        </w:rPr>
        <w:t>2025-2027年度溧阳市党政机关、事业单位和团体组织公务车辆定点维修服务框架协议采购</w:t>
      </w:r>
    </w:p>
    <w:p w14:paraId="641825CE">
      <w:pPr>
        <w:spacing w:line="360" w:lineRule="auto"/>
        <w:ind w:firstLine="420"/>
        <w:rPr>
          <w:rFonts w:hint="eastAsia" w:ascii="宋体" w:hAnsi="宋体"/>
          <w:color w:val="auto"/>
          <w:szCs w:val="21"/>
        </w:rPr>
      </w:pPr>
      <w:r>
        <w:rPr>
          <w:rFonts w:hint="eastAsia" w:ascii="宋体" w:hAnsi="宋体"/>
          <w:color w:val="auto"/>
          <w:szCs w:val="21"/>
        </w:rPr>
        <w:t>项目概况说明：本项目为框架协议采购项目，选定公务车辆</w:t>
      </w:r>
      <w:r>
        <w:rPr>
          <w:rFonts w:hint="eastAsia" w:ascii="宋体" w:hAnsi="宋体"/>
          <w:color w:val="auto"/>
          <w:szCs w:val="21"/>
          <w:lang w:val="en-US" w:eastAsia="zh-CN"/>
        </w:rPr>
        <w:t>定点维修</w:t>
      </w:r>
      <w:r>
        <w:rPr>
          <w:rFonts w:hint="eastAsia" w:ascii="宋体" w:hAnsi="宋体"/>
          <w:color w:val="auto"/>
          <w:szCs w:val="21"/>
        </w:rPr>
        <w:t>服务单位，为溧阳市党政机关、事业单位和团体组织提供公务车辆</w:t>
      </w:r>
      <w:r>
        <w:rPr>
          <w:rFonts w:hint="eastAsia" w:ascii="宋体" w:hAnsi="宋体"/>
          <w:color w:val="auto"/>
          <w:szCs w:val="21"/>
          <w:lang w:val="en-US" w:eastAsia="zh-CN"/>
        </w:rPr>
        <w:t>维修</w:t>
      </w:r>
      <w:r>
        <w:rPr>
          <w:rFonts w:hint="eastAsia" w:ascii="宋体" w:hAnsi="宋体"/>
          <w:color w:val="auto"/>
          <w:szCs w:val="21"/>
        </w:rPr>
        <w:t>服务。</w:t>
      </w:r>
    </w:p>
    <w:p w14:paraId="596A44F4">
      <w:pPr>
        <w:spacing w:line="360" w:lineRule="auto"/>
        <w:ind w:firstLine="422"/>
        <w:rPr>
          <w:rFonts w:ascii="宋体" w:hAnsi="宋体"/>
          <w:color w:val="auto"/>
          <w:szCs w:val="21"/>
        </w:rPr>
      </w:pPr>
      <w:r>
        <w:rPr>
          <w:rFonts w:hint="eastAsia" w:ascii="宋体" w:hAnsi="宋体"/>
          <w:b/>
          <w:bCs/>
          <w:color w:val="auto"/>
          <w:szCs w:val="21"/>
        </w:rPr>
        <w:t>二、商务要求</w:t>
      </w:r>
    </w:p>
    <w:p w14:paraId="77037091">
      <w:pPr>
        <w:spacing w:line="360" w:lineRule="auto"/>
        <w:ind w:firstLine="420"/>
        <w:rPr>
          <w:rFonts w:ascii="宋体" w:hAnsi="宋体"/>
          <w:color w:val="auto"/>
          <w:szCs w:val="21"/>
        </w:rPr>
      </w:pPr>
      <w:r>
        <w:rPr>
          <w:rFonts w:hint="eastAsia" w:ascii="宋体" w:hAnsi="宋体"/>
          <w:color w:val="auto"/>
          <w:szCs w:val="21"/>
        </w:rPr>
        <w:t>2.1报价要求</w:t>
      </w:r>
    </w:p>
    <w:p w14:paraId="4E91E1DB">
      <w:pPr>
        <w:pStyle w:val="17"/>
        <w:numPr>
          <w:ilvl w:val="0"/>
          <w:numId w:val="4"/>
        </w:numPr>
        <w:spacing w:line="360" w:lineRule="auto"/>
        <w:ind w:left="0" w:firstLine="422"/>
        <w:rPr>
          <w:rFonts w:hint="eastAsia" w:ascii="宋体" w:hAnsi="宋体" w:cs="宋体"/>
          <w:b w:val="0"/>
          <w:bCs w:val="0"/>
          <w:color w:val="auto"/>
          <w:sz w:val="21"/>
          <w:szCs w:val="21"/>
        </w:rPr>
      </w:pPr>
      <w:r>
        <w:rPr>
          <w:rFonts w:hint="eastAsia" w:ascii="宋体" w:hAnsi="宋体" w:cs="宋体"/>
          <w:b w:val="0"/>
          <w:bCs w:val="0"/>
          <w:color w:val="auto"/>
          <w:sz w:val="21"/>
          <w:szCs w:val="21"/>
        </w:rPr>
        <w:t>报价按</w:t>
      </w:r>
      <w:r>
        <w:rPr>
          <w:rFonts w:hint="eastAsia" w:ascii="宋体" w:hAnsi="宋体" w:cs="宋体"/>
          <w:b w:val="0"/>
          <w:bCs w:val="0"/>
          <w:color w:val="auto"/>
          <w:sz w:val="21"/>
          <w:szCs w:val="21"/>
          <w:lang w:val="en-US" w:eastAsia="zh-CN"/>
        </w:rPr>
        <w:t>下浮率（整体下浮）</w:t>
      </w:r>
      <w:r>
        <w:rPr>
          <w:rFonts w:hint="eastAsia" w:ascii="宋体" w:hAnsi="宋体" w:cs="宋体"/>
          <w:b w:val="0"/>
          <w:bCs w:val="0"/>
          <w:color w:val="auto"/>
          <w:sz w:val="21"/>
          <w:szCs w:val="21"/>
        </w:rPr>
        <w:t>进行报价。所报</w:t>
      </w:r>
      <w:r>
        <w:rPr>
          <w:rFonts w:hint="eastAsia" w:ascii="宋体" w:hAnsi="宋体" w:cs="宋体"/>
          <w:b w:val="0"/>
          <w:bCs w:val="0"/>
          <w:color w:val="auto"/>
          <w:sz w:val="21"/>
          <w:szCs w:val="21"/>
          <w:lang w:val="en-US" w:eastAsia="zh-CN"/>
        </w:rPr>
        <w:t>下浮率</w:t>
      </w:r>
      <w:r>
        <w:rPr>
          <w:rFonts w:hint="eastAsia" w:ascii="宋体" w:hAnsi="宋体" w:cs="宋体"/>
          <w:b w:val="0"/>
          <w:bCs w:val="0"/>
          <w:color w:val="auto"/>
          <w:sz w:val="21"/>
          <w:szCs w:val="21"/>
        </w:rPr>
        <w:t>应按市场价格及自身实际情况客观报价，</w:t>
      </w:r>
      <w:r>
        <w:rPr>
          <w:rFonts w:hint="eastAsia" w:ascii="宋体" w:hAnsi="宋体" w:cs="宋体"/>
          <w:b/>
          <w:bCs/>
          <w:color w:val="auto"/>
          <w:sz w:val="21"/>
          <w:szCs w:val="21"/>
          <w:lang w:val="en-US" w:eastAsia="zh-CN"/>
        </w:rPr>
        <w:t>下浮率</w:t>
      </w:r>
      <w:r>
        <w:rPr>
          <w:rFonts w:hint="eastAsia" w:ascii="宋体" w:hAnsi="宋体" w:cs="宋体"/>
          <w:b/>
          <w:bCs/>
          <w:color w:val="auto"/>
          <w:sz w:val="21"/>
          <w:szCs w:val="21"/>
        </w:rPr>
        <w:t>应大于零，否则将被视为无效响应文件。</w:t>
      </w:r>
      <w:r>
        <w:rPr>
          <w:rFonts w:hint="eastAsia" w:ascii="宋体" w:hAnsi="宋体" w:cs="宋体"/>
          <w:b w:val="0"/>
          <w:bCs w:val="0"/>
          <w:color w:val="auto"/>
          <w:sz w:val="21"/>
          <w:szCs w:val="21"/>
        </w:rPr>
        <w:t>供应商所报价格即为第一阶段入围后的协议价格也是采购人确定第二阶段成交供应商的最高限价。</w:t>
      </w:r>
    </w:p>
    <w:p w14:paraId="3B7D033A">
      <w:pPr>
        <w:pStyle w:val="17"/>
        <w:numPr>
          <w:ilvl w:val="0"/>
          <w:numId w:val="4"/>
        </w:numPr>
        <w:spacing w:line="360" w:lineRule="auto"/>
        <w:ind w:left="0" w:firstLine="422"/>
        <w:rPr>
          <w:rFonts w:hint="eastAsia" w:eastAsia="宋体"/>
          <w:b w:val="0"/>
          <w:bCs w:val="0"/>
          <w:color w:val="auto"/>
          <w:sz w:val="21"/>
          <w:szCs w:val="21"/>
          <w:lang w:eastAsia="zh-CN"/>
        </w:rPr>
      </w:pPr>
      <w:r>
        <w:rPr>
          <w:rFonts w:hint="eastAsia" w:ascii="宋体" w:hAnsi="宋体" w:cs="宋体"/>
          <w:b w:val="0"/>
          <w:bCs w:val="0"/>
          <w:color w:val="auto"/>
          <w:sz w:val="21"/>
          <w:szCs w:val="21"/>
          <w:lang w:eastAsia="zh-CN"/>
        </w:rPr>
        <w:t>供应商所报</w:t>
      </w:r>
      <w:r>
        <w:rPr>
          <w:rFonts w:hint="eastAsia" w:ascii="宋体" w:hAnsi="宋体" w:cs="宋体"/>
          <w:b w:val="0"/>
          <w:bCs w:val="0"/>
          <w:color w:val="auto"/>
          <w:sz w:val="21"/>
          <w:szCs w:val="21"/>
          <w:lang w:val="en-US" w:eastAsia="zh-CN"/>
        </w:rPr>
        <w:t>下浮率</w:t>
      </w:r>
      <w:r>
        <w:rPr>
          <w:rFonts w:hint="eastAsia" w:ascii="宋体" w:hAnsi="宋体" w:cs="宋体"/>
          <w:b w:val="0"/>
          <w:bCs w:val="0"/>
          <w:color w:val="auto"/>
          <w:sz w:val="21"/>
          <w:szCs w:val="21"/>
          <w:lang w:eastAsia="zh-CN"/>
        </w:rPr>
        <w:t>最多只能精确到小数点后两位。</w:t>
      </w:r>
    </w:p>
    <w:p w14:paraId="1839F7D4">
      <w:pPr>
        <w:pStyle w:val="17"/>
        <w:numPr>
          <w:ilvl w:val="0"/>
          <w:numId w:val="4"/>
        </w:numPr>
        <w:spacing w:line="360" w:lineRule="auto"/>
        <w:ind w:left="0" w:firstLine="422"/>
        <w:rPr>
          <w:rFonts w:hint="eastAsia" w:eastAsia="宋体"/>
          <w:b w:val="0"/>
          <w:bCs w:val="0"/>
          <w:color w:val="auto"/>
          <w:sz w:val="21"/>
          <w:szCs w:val="21"/>
          <w:lang w:eastAsia="zh-CN"/>
        </w:rPr>
      </w:pPr>
      <w:r>
        <w:rPr>
          <w:rFonts w:hint="eastAsia" w:eastAsia="宋体"/>
          <w:b w:val="0"/>
          <w:bCs w:val="0"/>
          <w:color w:val="auto"/>
          <w:sz w:val="21"/>
          <w:szCs w:val="21"/>
          <w:lang w:eastAsia="zh-CN"/>
        </w:rPr>
        <w:t>工时定额按照《江苏省机动车维修结算工时定额与收费指南》（2014版）执行。材料进销差价率不分购进地区综合比例。</w:t>
      </w:r>
    </w:p>
    <w:p w14:paraId="595B0553">
      <w:pPr>
        <w:pStyle w:val="17"/>
        <w:numPr>
          <w:ilvl w:val="0"/>
          <w:numId w:val="4"/>
        </w:numPr>
        <w:spacing w:line="360" w:lineRule="auto"/>
        <w:ind w:left="0" w:firstLine="422"/>
        <w:rPr>
          <w:rFonts w:hint="eastAsia" w:eastAsia="宋体"/>
          <w:b w:val="0"/>
          <w:bCs w:val="0"/>
          <w:color w:val="auto"/>
          <w:sz w:val="21"/>
          <w:szCs w:val="21"/>
          <w:lang w:eastAsia="zh-CN"/>
        </w:rPr>
      </w:pPr>
      <w:r>
        <w:rPr>
          <w:rFonts w:hint="eastAsia" w:eastAsia="宋体"/>
          <w:b w:val="0"/>
          <w:bCs w:val="0"/>
          <w:color w:val="auto"/>
          <w:sz w:val="21"/>
          <w:szCs w:val="21"/>
          <w:lang w:eastAsia="zh-CN"/>
        </w:rPr>
        <w:t>最高限制单价</w:t>
      </w:r>
    </w:p>
    <w:p w14:paraId="2F75949B">
      <w:pPr>
        <w:pStyle w:val="17"/>
        <w:numPr>
          <w:ilvl w:val="0"/>
          <w:numId w:val="0"/>
        </w:numPr>
        <w:spacing w:line="360" w:lineRule="auto"/>
        <w:ind w:left="422" w:leftChars="0"/>
        <w:rPr>
          <w:rFonts w:hint="eastAsia" w:eastAsia="宋体"/>
          <w:b w:val="0"/>
          <w:bCs w:val="0"/>
          <w:color w:val="auto"/>
          <w:sz w:val="21"/>
          <w:szCs w:val="21"/>
          <w:lang w:eastAsia="zh-CN"/>
        </w:rPr>
      </w:pPr>
      <w:r>
        <w:rPr>
          <w:rFonts w:hint="eastAsia" w:eastAsia="宋体"/>
          <w:b w:val="0"/>
          <w:bCs w:val="0"/>
          <w:color w:val="auto"/>
          <w:sz w:val="21"/>
          <w:szCs w:val="21"/>
          <w:lang w:eastAsia="zh-CN"/>
        </w:rPr>
        <w:t>本项目最高限制单价为：</w:t>
      </w:r>
    </w:p>
    <w:p w14:paraId="6246F7F4">
      <w:pPr>
        <w:pStyle w:val="17"/>
        <w:numPr>
          <w:ilvl w:val="0"/>
          <w:numId w:val="0"/>
        </w:numPr>
        <w:spacing w:line="360" w:lineRule="auto"/>
        <w:ind w:left="422" w:leftChars="0"/>
        <w:rPr>
          <w:rFonts w:hint="eastAsia" w:eastAsia="宋体"/>
          <w:b w:val="0"/>
          <w:bCs w:val="0"/>
          <w:color w:val="auto"/>
          <w:sz w:val="21"/>
          <w:szCs w:val="21"/>
          <w:lang w:eastAsia="zh-CN"/>
        </w:rPr>
      </w:pPr>
      <w:r>
        <w:rPr>
          <w:rFonts w:hint="eastAsia" w:eastAsia="宋体"/>
          <w:b w:val="0"/>
          <w:bCs w:val="0"/>
          <w:color w:val="auto"/>
          <w:sz w:val="21"/>
          <w:szCs w:val="21"/>
          <w:lang w:eastAsia="zh-CN"/>
        </w:rPr>
        <w:t>最高限制单价：工时单价：15元/工时，材料进销差价率：15%；</w:t>
      </w:r>
    </w:p>
    <w:p w14:paraId="666FA845">
      <w:pPr>
        <w:pStyle w:val="17"/>
        <w:numPr>
          <w:ilvl w:val="0"/>
          <w:numId w:val="0"/>
        </w:numPr>
        <w:spacing w:line="360" w:lineRule="auto"/>
        <w:ind w:left="422"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2.2第二阶段费用结算方式</w:t>
      </w:r>
    </w:p>
    <w:p w14:paraId="0250B38A">
      <w:pPr>
        <w:pStyle w:val="17"/>
        <w:numPr>
          <w:ilvl w:val="0"/>
          <w:numId w:val="0"/>
        </w:numPr>
        <w:spacing w:line="360" w:lineRule="auto"/>
        <w:ind w:left="422"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（1）维修结算总费用=工时费用（</w:t>
      </w:r>
      <w:r>
        <w:rPr>
          <w:rFonts w:hint="eastAsia" w:ascii="宋体" w:hAnsi="宋体" w:cs="宋体"/>
          <w:b w:val="0"/>
          <w:bCs w:val="0"/>
          <w:color w:val="auto"/>
          <w:sz w:val="21"/>
          <w:szCs w:val="21"/>
          <w:lang w:val="en-US" w:eastAsia="zh-CN"/>
        </w:rPr>
        <w:t>下浮后的</w:t>
      </w:r>
      <w:r>
        <w:rPr>
          <w:rFonts w:hint="eastAsia" w:ascii="宋体" w:hAnsi="宋体" w:eastAsia="宋体" w:cs="宋体"/>
          <w:b w:val="0"/>
          <w:bCs w:val="0"/>
          <w:color w:val="auto"/>
          <w:sz w:val="21"/>
          <w:szCs w:val="21"/>
          <w:lang w:val="en-US" w:eastAsia="zh-CN"/>
        </w:rPr>
        <w:t>工时单价×工时定额）＋材料费用[材料购进价格×（1＋</w:t>
      </w:r>
      <w:r>
        <w:rPr>
          <w:rFonts w:hint="eastAsia" w:ascii="宋体" w:hAnsi="宋体" w:cs="宋体"/>
          <w:b w:val="0"/>
          <w:bCs w:val="0"/>
          <w:color w:val="auto"/>
          <w:sz w:val="21"/>
          <w:szCs w:val="21"/>
          <w:lang w:val="en-US" w:eastAsia="zh-CN"/>
        </w:rPr>
        <w:t>下浮后的</w:t>
      </w:r>
      <w:r>
        <w:rPr>
          <w:rFonts w:hint="eastAsia" w:ascii="宋体" w:hAnsi="宋体" w:eastAsia="宋体" w:cs="宋体"/>
          <w:b w:val="0"/>
          <w:bCs w:val="0"/>
          <w:color w:val="auto"/>
          <w:sz w:val="21"/>
          <w:szCs w:val="21"/>
          <w:lang w:val="en-US" w:eastAsia="zh-CN"/>
        </w:rPr>
        <w:t>材料进销差价率%）。如有维修诊断费用、检测费用、外加工及其它费用的均按《江苏省机动车维修结算工时定额与收费指南》（2014版）执行。</w:t>
      </w:r>
    </w:p>
    <w:p w14:paraId="05504CBE">
      <w:pPr>
        <w:pStyle w:val="17"/>
        <w:numPr>
          <w:ilvl w:val="0"/>
          <w:numId w:val="0"/>
        </w:numPr>
        <w:spacing w:line="360" w:lineRule="auto"/>
        <w:ind w:left="422"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（2）工时定额按《江苏省机动车维修结算工时定额与收费指南》（2014版）执行。</w:t>
      </w:r>
    </w:p>
    <w:p w14:paraId="0307C405">
      <w:pPr>
        <w:pStyle w:val="17"/>
        <w:numPr>
          <w:ilvl w:val="0"/>
          <w:numId w:val="0"/>
        </w:numPr>
        <w:spacing w:line="360" w:lineRule="auto"/>
        <w:ind w:left="422"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（3）上述所有费用均为含税价。</w:t>
      </w:r>
    </w:p>
    <w:p w14:paraId="66B64FE9">
      <w:pPr>
        <w:pStyle w:val="17"/>
        <w:numPr>
          <w:ilvl w:val="0"/>
          <w:numId w:val="0"/>
        </w:numPr>
        <w:spacing w:line="360" w:lineRule="auto"/>
        <w:ind w:left="422"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（4）供应商履行合同后，依据采购合同的约定，与采购人进行费用结算。</w:t>
      </w:r>
    </w:p>
    <w:p w14:paraId="1E929754">
      <w:pPr>
        <w:pStyle w:val="17"/>
        <w:numPr>
          <w:ilvl w:val="0"/>
          <w:numId w:val="0"/>
        </w:numPr>
        <w:spacing w:line="360" w:lineRule="auto"/>
        <w:ind w:left="422" w:left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2.3  其它未尽事项参照江苏省质量技术监督局发布的《机动车维修费用结算规范》（DB 32/T 2665-2014）。</w:t>
      </w:r>
    </w:p>
    <w:p w14:paraId="2EDEDA70">
      <w:pPr>
        <w:spacing w:line="360" w:lineRule="auto"/>
        <w:ind w:firstLine="422"/>
        <w:rPr>
          <w:rFonts w:ascii="宋体" w:hAnsi="宋体"/>
          <w:color w:val="auto"/>
          <w:szCs w:val="21"/>
        </w:rPr>
      </w:pPr>
      <w:r>
        <w:rPr>
          <w:rFonts w:hint="eastAsia" w:ascii="宋体" w:hAnsi="宋体"/>
          <w:b/>
          <w:bCs/>
          <w:color w:val="auto"/>
          <w:szCs w:val="21"/>
        </w:rPr>
        <w:t>三、服务要求</w:t>
      </w:r>
    </w:p>
    <w:p w14:paraId="3B711B3F">
      <w:pPr>
        <w:autoSpaceDE w:val="0"/>
        <w:autoSpaceDN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1.送修单位送修车辆时必须填写“公务车辆定点维修送修单”（以下简称“送修单”）。送修单上应注明送修车辆的品牌型号、车辆牌照号、驾驶员姓名，并经送修单位领导审核和加盖送修单位公章。</w:t>
      </w:r>
    </w:p>
    <w:p w14:paraId="14004B6E">
      <w:pPr>
        <w:autoSpaceDE w:val="0"/>
        <w:autoSpaceDN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2.定点供应商应对送修车辆进行仔细检查，并根据需要维修的项目和标准在送修单上注明送修时间、完成维修的时间、工时单价、维修工费、料费和配件进销差价率。维修工费应包括维修材料价格和管理费等费用。更换3000元以上零件，维修厂必须与送修方签订维修合同造价预算书，并经送修单位主管领导签字，送修单位核准认可方可实施。一次性维修费用超过5000元以上，车辆竣工后，须由送修单位、定点供应商进行验收。</w:t>
      </w:r>
    </w:p>
    <w:p w14:paraId="34358287">
      <w:pPr>
        <w:autoSpaceDE w:val="0"/>
        <w:autoSpaceDN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3.对送修车辆定点供应商应以修复为主，能不更换的零部件尽量不予更换，确实不能修复或修复不经济的零部件，在征得送修单位同意的情况下，方可进行更换。</w:t>
      </w:r>
    </w:p>
    <w:p w14:paraId="6C040054">
      <w:pPr>
        <w:autoSpaceDE w:val="0"/>
        <w:autoSpaceDN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在维修过程中，定点供应商如发现其他故障需增加维修项目或延长维修时间，应及时以电话或书面形式（含传真）通知送修单位。如送修单位在接到通知3天内未以电话或书面形式（含传真）明确表示同意，则视为送修单位不同意。</w:t>
      </w:r>
    </w:p>
    <w:p w14:paraId="4ABA161A">
      <w:pPr>
        <w:autoSpaceDE w:val="0"/>
        <w:autoSpaceDN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5.送修单一式三份，需由送修单位、定点供应商双方经办人签字认可；送修单位持一份、定点供应商持二份。定点供应商应妥善保存送修单。</w:t>
      </w:r>
    </w:p>
    <w:p w14:paraId="4CF3E221">
      <w:pPr>
        <w:autoSpaceDE w:val="0"/>
        <w:autoSpaceDN w:val="0"/>
        <w:snapToGrid w:val="0"/>
        <w:spacing w:line="360" w:lineRule="auto"/>
        <w:ind w:firstLine="420" w:firstLineChars="200"/>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6.对送修车辆维修需有</w:t>
      </w:r>
      <w:r>
        <w:rPr>
          <w:rFonts w:hint="default" w:ascii="Times New Roman" w:hAnsi="Times New Roman" w:cs="Times New Roman"/>
          <w:color w:val="auto"/>
          <w:szCs w:val="21"/>
        </w:rPr>
        <w:t>公务用车专用维修工位，且维修工位</w:t>
      </w:r>
      <w:r>
        <w:rPr>
          <w:rFonts w:hint="eastAsia" w:ascii="Times New Roman" w:hAnsi="Times New Roman" w:cs="Times New Roman"/>
          <w:color w:val="auto"/>
          <w:szCs w:val="21"/>
          <w:lang w:val="en-US" w:eastAsia="zh-CN"/>
        </w:rPr>
        <w:t>上有</w:t>
      </w:r>
      <w:r>
        <w:rPr>
          <w:rFonts w:hint="eastAsia" w:ascii="宋体" w:hAnsi="宋体" w:cs="宋体"/>
          <w:bCs/>
          <w:color w:val="auto"/>
          <w:szCs w:val="21"/>
        </w:rPr>
        <w:t>信息化监管设备</w:t>
      </w:r>
      <w:r>
        <w:rPr>
          <w:rFonts w:hint="eastAsia" w:ascii="宋体" w:hAnsi="宋体" w:cs="宋体"/>
          <w:bCs/>
          <w:color w:val="auto"/>
          <w:szCs w:val="21"/>
          <w:lang w:val="en-US" w:eastAsia="zh-CN"/>
        </w:rPr>
        <w:t>全程监控维修过程。维修设备、场所设施齐全，具有完整的基础台账，相关维修人员具有与本行业有关的从业资质。</w:t>
      </w:r>
    </w:p>
    <w:p w14:paraId="5D99FE63">
      <w:pPr>
        <w:spacing w:line="360" w:lineRule="auto"/>
        <w:ind w:firstLine="422"/>
        <w:rPr>
          <w:rFonts w:ascii="宋体" w:hAnsi="宋体"/>
          <w:color w:val="auto"/>
          <w:szCs w:val="21"/>
        </w:rPr>
      </w:pPr>
      <w:r>
        <w:rPr>
          <w:rFonts w:hint="eastAsia" w:ascii="宋体" w:hAnsi="宋体"/>
          <w:b/>
          <w:bCs/>
          <w:color w:val="auto"/>
          <w:szCs w:val="21"/>
        </w:rPr>
        <w:t>四、</w:t>
      </w:r>
      <w:r>
        <w:rPr>
          <w:rFonts w:hint="eastAsia" w:ascii="宋体" w:hAnsi="宋体"/>
          <w:b/>
          <w:bCs/>
          <w:color w:val="auto"/>
          <w:szCs w:val="21"/>
          <w:lang w:val="en-US" w:eastAsia="zh-CN"/>
        </w:rPr>
        <w:t>维修费用</w:t>
      </w:r>
    </w:p>
    <w:p w14:paraId="37DE6E04">
      <w:pPr>
        <w:autoSpaceDE w:val="0"/>
        <w:autoSpaceDN w:val="0"/>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目前，定点供应商服务计费依据《江苏省机动车维修结算工时定额与收费指南（2014）版》中规定的工时定额标准及定点供应商承诺的工时单价计算，后期如中标供应商根据有关部门要求执行新的定额标准，维修总费用也不能超过依据《江苏省机动车维修结算工时定额与收费指南（2014）版》定额计算的费用。</w:t>
      </w:r>
    </w:p>
    <w:p w14:paraId="62BB9724">
      <w:pPr>
        <w:autoSpaceDE w:val="0"/>
        <w:autoSpaceDN w:val="0"/>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2.维修总费用＝（工时定额×</w:t>
      </w:r>
      <w:r>
        <w:rPr>
          <w:rFonts w:hint="eastAsia" w:ascii="宋体" w:hAnsi="宋体" w:cs="宋体"/>
          <w:bCs/>
          <w:color w:val="auto"/>
          <w:szCs w:val="21"/>
          <w:lang w:val="en-US" w:eastAsia="zh-CN"/>
        </w:rPr>
        <w:t>下浮后的</w:t>
      </w:r>
      <w:r>
        <w:rPr>
          <w:rFonts w:hint="eastAsia" w:ascii="宋体" w:hAnsi="宋体" w:cs="宋体"/>
          <w:bCs/>
          <w:color w:val="auto"/>
          <w:szCs w:val="21"/>
        </w:rPr>
        <w:t>工时单价）＋维修材料进价×（1＋</w:t>
      </w:r>
      <w:r>
        <w:rPr>
          <w:rFonts w:hint="eastAsia" w:ascii="宋体" w:hAnsi="宋体" w:cs="宋体"/>
          <w:bCs/>
          <w:color w:val="auto"/>
          <w:szCs w:val="21"/>
          <w:lang w:val="en-US" w:eastAsia="zh-CN"/>
        </w:rPr>
        <w:t>下浮后的</w:t>
      </w:r>
      <w:r>
        <w:rPr>
          <w:rFonts w:hint="eastAsia" w:ascii="宋体" w:hAnsi="宋体" w:cs="宋体"/>
          <w:bCs/>
          <w:color w:val="auto"/>
          <w:szCs w:val="21"/>
        </w:rPr>
        <w:t>维修材料及配件进销差价率）。如中标供应商根据有关部门要求执行新的定额标准，计算公式可根据新定额标准计算，并向采购人备案。</w:t>
      </w:r>
    </w:p>
    <w:p w14:paraId="11F0DA59">
      <w:pPr>
        <w:autoSpaceDE w:val="0"/>
        <w:autoSpaceDN w:val="0"/>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3.料费应为实际购进的含税料费。</w:t>
      </w:r>
    </w:p>
    <w:p w14:paraId="116F9661">
      <w:pPr>
        <w:spacing w:line="360" w:lineRule="auto"/>
        <w:ind w:firstLine="420"/>
        <w:rPr>
          <w:rFonts w:hint="eastAsia" w:ascii="宋体" w:hAnsi="宋体"/>
          <w:color w:val="auto"/>
          <w:szCs w:val="21"/>
          <w:lang w:eastAsia="zh-Hans"/>
        </w:rPr>
      </w:pPr>
      <w:r>
        <w:rPr>
          <w:rFonts w:hint="eastAsia" w:ascii="宋体" w:hAnsi="宋体" w:cs="宋体"/>
          <w:bCs/>
          <w:color w:val="auto"/>
          <w:szCs w:val="21"/>
        </w:rPr>
        <w:t>4.以上费用均含税金。</w:t>
      </w:r>
    </w:p>
    <w:p w14:paraId="4E324458">
      <w:pPr>
        <w:autoSpaceDE w:val="0"/>
        <w:autoSpaceDN w:val="0"/>
        <w:adjustRightInd w:val="0"/>
        <w:snapToGrid w:val="0"/>
        <w:spacing w:line="360" w:lineRule="auto"/>
        <w:ind w:firstLine="422" w:firstLineChars="200"/>
        <w:rPr>
          <w:rFonts w:hint="eastAsia" w:ascii="宋体" w:hAnsi="宋体"/>
          <w:color w:val="auto"/>
          <w:szCs w:val="21"/>
          <w:lang w:val="en-US" w:eastAsia="zh-CN"/>
        </w:rPr>
      </w:pPr>
      <w:r>
        <w:rPr>
          <w:rFonts w:hint="eastAsia" w:ascii="宋体" w:hAnsi="宋体"/>
          <w:b/>
          <w:bCs/>
          <w:color w:val="auto"/>
          <w:szCs w:val="21"/>
          <w:lang w:val="en-US" w:eastAsia="zh-CN"/>
        </w:rPr>
        <w:t>五、竣工车辆交接手续</w:t>
      </w:r>
    </w:p>
    <w:p w14:paraId="2B02A97A">
      <w:pPr>
        <w:autoSpaceDE w:val="0"/>
        <w:autoSpaceDN w:val="0"/>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1.在送修单上注明完成维修的时间内，定点供应商在对竣工车辆进行准确而全面的检验合格后，应主动通知送修单位前来办理交接手续，进行二级维护和大修的车辆定点供应商须出具一份维修出厂合格证。</w:t>
      </w:r>
    </w:p>
    <w:p w14:paraId="0E6CD89F">
      <w:pPr>
        <w:autoSpaceDE w:val="0"/>
        <w:autoSpaceDN w:val="0"/>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2.送修单位应在送修单上注明完成维修的时间内或接到定点供应商通知后与定点供应商及时办理交接手续。送修单位应仔细检查竣工车辆，如果维修结果符合送修要求、维修费用计算合理，送修单位应立即在“结算单”上签字认可；如果维修结果不符合送修要求，或维修费用计算不合理，或发现使用不符合要求的维修材料，送修单位应以书面形式向定点供应商提出存在的问题，如定点供应商不能给予令人信服的答复，送修单位可报请法定检验机构进行检查，检验费用由责任方承担。</w:t>
      </w:r>
    </w:p>
    <w:p w14:paraId="68EFA06F">
      <w:pPr>
        <w:autoSpaceDE w:val="0"/>
        <w:autoSpaceDN w:val="0"/>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维修更换下来的旧件应退还送修单位，并在“结算单”上认真填写车辆维修的具体部位和消耗的材料、部件及计价情况，注明优惠事宜，以利于核查。送修单位无法领取更换下来旧件的，由定点供应商暂时保存2个月，以便送修单位抽查。</w:t>
      </w:r>
    </w:p>
    <w:p w14:paraId="018E883C">
      <w:pPr>
        <w:spacing w:line="360" w:lineRule="auto"/>
        <w:ind w:firstLine="420"/>
        <w:rPr>
          <w:rFonts w:hint="eastAsia" w:ascii="宋体" w:hAnsi="宋体" w:cs="宋体"/>
          <w:bCs/>
          <w:color w:val="auto"/>
          <w:szCs w:val="21"/>
        </w:rPr>
      </w:pPr>
      <w:r>
        <w:rPr>
          <w:rFonts w:hint="eastAsia" w:ascii="宋体" w:hAnsi="宋体" w:cs="宋体"/>
          <w:bCs/>
          <w:color w:val="auto"/>
          <w:szCs w:val="21"/>
        </w:rPr>
        <w:t>4.定点供应商在向送修单位交接竣工车辆时，应将“送修单”、“结算单”各一联和维修出厂合格证一并交给送修单位。</w:t>
      </w:r>
    </w:p>
    <w:p w14:paraId="1BBD11DE">
      <w:pPr>
        <w:spacing w:line="360" w:lineRule="auto"/>
        <w:ind w:firstLine="420"/>
        <w:rPr>
          <w:rFonts w:hint="default" w:ascii="宋体" w:hAnsi="宋体" w:eastAsia="宋体"/>
          <w:b/>
          <w:bCs/>
          <w:color w:val="auto"/>
          <w:szCs w:val="21"/>
          <w:lang w:val="en-US" w:eastAsia="zh-CN"/>
        </w:rPr>
      </w:pPr>
      <w:r>
        <w:rPr>
          <w:rFonts w:hint="eastAsia" w:ascii="宋体" w:hAnsi="宋体"/>
          <w:b/>
          <w:bCs/>
          <w:color w:val="auto"/>
          <w:szCs w:val="21"/>
          <w:lang w:val="en-US" w:eastAsia="zh-CN"/>
        </w:rPr>
        <w:t xml:space="preserve">六、费用结算方式 </w:t>
      </w:r>
    </w:p>
    <w:p w14:paraId="0ECF34AF">
      <w:pPr>
        <w:pStyle w:val="2"/>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1.本合同以人民币付款。</w:t>
      </w:r>
    </w:p>
    <w:p w14:paraId="011F5F02">
      <w:pPr>
        <w:pStyle w:val="2"/>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2.送修单位应在每个季度结束后15个工作日内与定点供应商结算一次，如有其它原因，由送修单位另行通知。结算时定点供应商应向送修单位提供下列单据：</w:t>
      </w:r>
    </w:p>
    <w:p w14:paraId="7EA13F26">
      <w:pPr>
        <w:pStyle w:val="2"/>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2.1正式的维修发票（后附工费清单和料费清单）；</w:t>
      </w:r>
    </w:p>
    <w:p w14:paraId="7F28C73B">
      <w:pPr>
        <w:pStyle w:val="2"/>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2.2本季度每次维修的“送修单”和“结算单”；</w:t>
      </w:r>
    </w:p>
    <w:p w14:paraId="361EC558">
      <w:pPr>
        <w:pStyle w:val="2"/>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3.维修费用应按实际发生额结算。</w:t>
      </w:r>
    </w:p>
    <w:p w14:paraId="6DD41DFE">
      <w:pPr>
        <w:pStyle w:val="2"/>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4.送修单位应对有关单据进行审核，审核无误后，应向定点供应商支付有关费用。工时单价不得超过定点供应商投标时承诺的价格；维修材料及配件进销差价率不得高于投标时的进销差价率。</w:t>
      </w:r>
    </w:p>
    <w:p w14:paraId="3A41584A">
      <w:pPr>
        <w:widowControl/>
        <w:adjustRightInd w:val="0"/>
        <w:snapToGrid w:val="0"/>
        <w:spacing w:line="360" w:lineRule="auto"/>
        <w:ind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 xml:space="preserve">七、质量保证 </w:t>
      </w:r>
    </w:p>
    <w:p w14:paraId="2B2BD254">
      <w:pPr>
        <w:widowControl/>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1.定点供应商提供维修等服务时，应按国家和省、市机动车维修管理有关规定执行。</w:t>
      </w:r>
    </w:p>
    <w:p w14:paraId="626C8757">
      <w:pPr>
        <w:widowControl/>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2.在采购人与定点供应商约定的质量保证里程或时间内，因维修质量造成的机械事故和经济损失，由定点供应商全部负责。</w:t>
      </w:r>
    </w:p>
    <w:p w14:paraId="7E87BD69">
      <w:pPr>
        <w:widowControl/>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3.维修合格出厂车辆的质量保证里程或时间详见定点供应商提供的维修质量保证书或投标文件。</w:t>
      </w:r>
    </w:p>
    <w:p w14:paraId="621663B5">
      <w:pPr>
        <w:widowControl/>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4.定点供应商应保证维修所用材料是未使用过的原厂生产的合格正品，并完全符合合同规定的质量和性能的要求。定点供应商应保证使用的维修材料在正确安装、正常使用和保养条件下，在其使用寿命期内应具有满意的性能。维修竣工车辆移交给送修单位后，在质量保证期内，定点供应商应对由于维修技术、工艺或维修材料的缺陷以及其他由于定点供应商的原因而发生的任何不足或故障负责，费用由定点供应商负担。根据法定检验机构的检验结果或者在质量保证里程或时间内，如果证明维修是有缺陷的，包括潜在的缺陷或使用不符合要求的维修材料等，送修单位有权以电话通知或书面形式向定点供应商提出本保证下的索赔。</w:t>
      </w:r>
    </w:p>
    <w:p w14:paraId="1C38870A">
      <w:pPr>
        <w:widowControl/>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5.如果定点供应商在收到索赔通知后，在服务承诺约定的时间内没有采取措施，送修单位可采取必要的补救措施，但风险和费用将由定点供应商承担。</w:t>
      </w:r>
    </w:p>
    <w:p w14:paraId="0E07F61E">
      <w:pPr>
        <w:adjustRightInd w:val="0"/>
        <w:snapToGrid w:val="0"/>
        <w:spacing w:line="360" w:lineRule="auto"/>
        <w:ind w:firstLine="422" w:firstLineChars="200"/>
        <w:rPr>
          <w:rFonts w:hint="eastAsia" w:ascii="宋体" w:hAnsi="宋体"/>
          <w:color w:val="auto"/>
          <w:szCs w:val="21"/>
          <w:lang w:val="en-US" w:eastAsia="zh-CN"/>
        </w:rPr>
      </w:pPr>
      <w:r>
        <w:rPr>
          <w:rFonts w:hint="eastAsia" w:ascii="宋体" w:hAnsi="宋体"/>
          <w:b/>
          <w:bCs/>
          <w:color w:val="auto"/>
          <w:szCs w:val="21"/>
          <w:lang w:val="en-US" w:eastAsia="zh-CN"/>
        </w:rPr>
        <w:t>八、索赔</w:t>
      </w:r>
    </w:p>
    <w:p w14:paraId="752CA2BF">
      <w:pPr>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1.送修单位有权根据法定检验机构出具的车辆维修质量检验报告，向定点供应商提出索赔。</w:t>
      </w:r>
    </w:p>
    <w:p w14:paraId="07AAFF45">
      <w:pPr>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2.在规定的质量保证里程或时间内，如果定点供应商对送修单位提出的索赔负有责任，定点供应商应按照送修单位同意的下列一种或多种方式解决索赔事宜：</w:t>
      </w:r>
    </w:p>
    <w:p w14:paraId="1AB22650">
      <w:pPr>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2.1定点供应商同意用合同中规定的货币将维修费用退还给送修单位，同时在规定时间内免费提供维修服务，并承担由此发生的一切损失和费用，包括利息、银行手续费、运费、保险费、检验费、仓储费、装卸费以及其它必要费用。</w:t>
      </w:r>
    </w:p>
    <w:p w14:paraId="1A7DEB38">
      <w:pPr>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2.2根据维修材料的低劣程度，以及送修单位所遭受损失的数额，定点供应商必须按送修单位所能接受的数额，退还部分维修费用，并用符合合同规定的规格、质量和性能要求的全新的原装合格品免费予以更换。</w:t>
      </w:r>
    </w:p>
    <w:p w14:paraId="6592A2ED">
      <w:pPr>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2.3用符合合同规定的规格、质量和性能要求的新零件、部件和/或设备来更换和/或修补有缺陷的部分，定点供应商应承担一切费用和风险并负担送修单位所蒙受的全部直接损失费用。同时，定点供应商应按合同规定，对修补和/或更换件相应延长质量保证期。</w:t>
      </w:r>
    </w:p>
    <w:p w14:paraId="325A6A26">
      <w:pPr>
        <w:adjustRightInd w:val="0"/>
        <w:snapToGrid w:val="0"/>
        <w:spacing w:line="360" w:lineRule="auto"/>
        <w:ind w:firstLine="420" w:firstLineChars="200"/>
        <w:rPr>
          <w:rFonts w:hint="eastAsia" w:ascii="宋体" w:hAnsi="宋体"/>
          <w:bCs/>
          <w:color w:val="auto"/>
          <w:szCs w:val="21"/>
        </w:rPr>
      </w:pPr>
      <w:r>
        <w:rPr>
          <w:rFonts w:hint="eastAsia" w:ascii="宋体" w:hAnsi="宋体"/>
          <w:bCs/>
          <w:color w:val="auto"/>
          <w:szCs w:val="21"/>
        </w:rPr>
        <w:t>3.如果在送修单位发出索赔通知后5天内，定点供应商未作答复，上述索赔应视为已被定点供应商接受，如定点供应商未能在送修单位发出索赔通知后10天内或送修单位同意的更长时间内，按照本合同规定的任何一种方法解决索赔事宜，采购人将从定点供应商开具的履约保证金中扣回索赔金额，或采取法律手段解决索赔事宜。</w:t>
      </w:r>
    </w:p>
    <w:p w14:paraId="7862618E">
      <w:pPr>
        <w:adjustRightInd w:val="0"/>
        <w:snapToGrid w:val="0"/>
        <w:spacing w:line="360" w:lineRule="auto"/>
        <w:ind w:firstLine="422" w:firstLineChars="200"/>
        <w:rPr>
          <w:rFonts w:hint="eastAsia" w:ascii="宋体" w:hAnsi="宋体"/>
          <w:color w:val="auto"/>
          <w:szCs w:val="21"/>
          <w:lang w:val="en-US" w:eastAsia="zh-CN"/>
        </w:rPr>
      </w:pPr>
      <w:r>
        <w:rPr>
          <w:rFonts w:hint="eastAsia" w:ascii="宋体" w:hAnsi="宋体"/>
          <w:b/>
          <w:bCs/>
          <w:color w:val="auto"/>
          <w:szCs w:val="21"/>
          <w:lang w:val="en-US" w:eastAsia="zh-CN"/>
        </w:rPr>
        <w:t>九、定点供应商交货延误</w:t>
      </w:r>
      <w:r>
        <w:rPr>
          <w:rFonts w:hint="eastAsia" w:ascii="宋体" w:hAnsi="宋体"/>
          <w:color w:val="auto"/>
          <w:szCs w:val="21"/>
          <w:lang w:val="en-US" w:eastAsia="zh-CN"/>
        </w:rPr>
        <w:t xml:space="preserve"> </w:t>
      </w:r>
    </w:p>
    <w:p w14:paraId="7626955A">
      <w:pPr>
        <w:adjustRightInd w:val="0"/>
        <w:snapToGrid w:val="0"/>
        <w:spacing w:line="360" w:lineRule="auto"/>
        <w:ind w:firstLine="420" w:firstLineChars="200"/>
        <w:rPr>
          <w:color w:val="auto"/>
        </w:rPr>
      </w:pPr>
      <w:r>
        <w:rPr>
          <w:rFonts w:hint="eastAsia" w:ascii="宋体" w:hAnsi="宋体"/>
          <w:bCs/>
          <w:color w:val="auto"/>
          <w:szCs w:val="21"/>
        </w:rPr>
        <w:t>1.</w:t>
      </w:r>
      <w:r>
        <w:rPr>
          <w:color w:val="auto"/>
        </w:rPr>
        <w:t>定点供应商应按照送修单中规定的时间完成维修项目，并将竣工车辆交付送修单位验收使用。</w:t>
      </w:r>
    </w:p>
    <w:p w14:paraId="15AEF9CF">
      <w:pPr>
        <w:adjustRightInd w:val="0"/>
        <w:snapToGrid w:val="0"/>
        <w:spacing w:line="360" w:lineRule="auto"/>
        <w:ind w:firstLine="420" w:firstLineChars="200"/>
        <w:rPr>
          <w:color w:val="auto"/>
        </w:rPr>
      </w:pPr>
      <w:r>
        <w:rPr>
          <w:rFonts w:hint="eastAsia" w:ascii="宋体" w:hAnsi="宋体"/>
          <w:bCs/>
          <w:color w:val="auto"/>
          <w:szCs w:val="21"/>
        </w:rPr>
        <w:t>2.</w:t>
      </w:r>
      <w:r>
        <w:rPr>
          <w:color w:val="auto"/>
        </w:rPr>
        <w:t>如果定点供应商无正当理由拖延维修时间或不按期办理车辆交接手续，将受到以下制裁：没收履约保证金，加收误期赔偿和/或终止合同。</w:t>
      </w:r>
    </w:p>
    <w:p w14:paraId="1070A556">
      <w:pPr>
        <w:spacing w:line="360" w:lineRule="auto"/>
        <w:ind w:firstLine="420"/>
        <w:rPr>
          <w:rFonts w:hint="default" w:ascii="宋体" w:hAnsi="宋体" w:eastAsia="宋体"/>
          <w:color w:val="auto"/>
          <w:szCs w:val="21"/>
          <w:lang w:val="en-US" w:eastAsia="zh-CN"/>
        </w:rPr>
      </w:pPr>
      <w:r>
        <w:rPr>
          <w:rFonts w:hint="eastAsia" w:ascii="宋体" w:hAnsi="宋体"/>
          <w:bCs/>
          <w:color w:val="auto"/>
          <w:szCs w:val="21"/>
        </w:rPr>
        <w:t>3.</w:t>
      </w:r>
      <w:r>
        <w:rPr>
          <w:color w:val="auto"/>
        </w:rPr>
        <w:t>在履行合同过程中，如果定点供应商遇到不能按时完成维修项目或与送修单位办理车辆交接的情况，应及时以书面形式将不能按时交接的理由、可能延误的时间通知送修单位。送修单位在收到定点供应商通知后，应对情况进行分析，决定是否修改维修项目、酌情延长维修时间或终止维修；同时保留按本项第2条规定对定点供应商进行制裁的权力。</w:t>
      </w:r>
    </w:p>
    <w:p w14:paraId="01BD05E9">
      <w:pPr>
        <w:spacing w:line="360" w:lineRule="auto"/>
        <w:ind w:firstLine="420"/>
        <w:rPr>
          <w:rFonts w:hint="eastAsia" w:ascii="宋体" w:hAnsi="宋体"/>
          <w:color w:val="auto"/>
          <w:szCs w:val="21"/>
          <w:lang w:val="en-US" w:eastAsia="zh-CN"/>
        </w:rPr>
      </w:pPr>
      <w:r>
        <w:rPr>
          <w:rFonts w:hint="eastAsia" w:ascii="宋体" w:hAnsi="宋体"/>
          <w:b/>
          <w:bCs/>
          <w:color w:val="auto"/>
          <w:szCs w:val="21"/>
          <w:lang w:val="en-US" w:eastAsia="zh-CN"/>
        </w:rPr>
        <w:t xml:space="preserve">十、误期赔偿 </w:t>
      </w:r>
    </w:p>
    <w:p w14:paraId="2694636F">
      <w:pPr>
        <w:spacing w:line="360" w:lineRule="auto"/>
        <w:ind w:firstLine="420"/>
        <w:rPr>
          <w:rFonts w:hint="default" w:ascii="宋体" w:hAnsi="宋体" w:eastAsia="宋体"/>
          <w:color w:val="auto"/>
          <w:szCs w:val="21"/>
          <w:lang w:val="en-US" w:eastAsia="zh-CN"/>
        </w:rPr>
      </w:pPr>
      <w:r>
        <w:rPr>
          <w:rFonts w:hint="eastAsia" w:ascii="宋体" w:hAnsi="宋体" w:cs="宋体"/>
          <w:b w:val="0"/>
          <w:bCs w:val="0"/>
          <w:color w:val="auto"/>
          <w:sz w:val="21"/>
          <w:szCs w:val="21"/>
          <w:lang w:val="en-US"/>
        </w:rPr>
        <w:t>1.除合同条款第11条规定外，如果定点供应商没有按照送修单规定的时间完成维修工作，定点供应商应向送修单位支付误期赔偿费，赔偿费按每车每天一千元计收，直至交货或提供服务为止。但误期赔偿费的最高限额为贰万元。一旦达到误期赔偿费的最高限额，采购人和送修单位有权终止合同。</w:t>
      </w:r>
    </w:p>
    <w:p w14:paraId="57E7E47D">
      <w:pPr>
        <w:snapToGrid w:val="0"/>
        <w:spacing w:line="360" w:lineRule="auto"/>
        <w:ind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 xml:space="preserve">十一、不可抗力 </w:t>
      </w:r>
    </w:p>
    <w:p w14:paraId="1FF74366">
      <w:pPr>
        <w:snapToGrid w:val="0"/>
        <w:spacing w:line="360" w:lineRule="auto"/>
        <w:ind w:firstLine="420" w:firstLineChars="200"/>
        <w:rPr>
          <w:rFonts w:hint="eastAsia" w:ascii="宋体" w:hAnsi="宋体" w:cs="宋体"/>
          <w:color w:val="auto"/>
        </w:rPr>
      </w:pPr>
      <w:r>
        <w:rPr>
          <w:rFonts w:hint="eastAsia" w:ascii="宋体" w:hAnsi="宋体" w:cs="宋体"/>
          <w:color w:val="auto"/>
        </w:rPr>
        <w:t>1.如果定点供应商因不可抗力而导致合同实施延误或不能履行合同义务的话，不应该被没收履约保证金，也不承担误期赔偿或终止合同的责任。</w:t>
      </w:r>
    </w:p>
    <w:p w14:paraId="4FF864F9">
      <w:pPr>
        <w:snapToGrid w:val="0"/>
        <w:spacing w:line="360" w:lineRule="auto"/>
        <w:ind w:firstLine="420" w:firstLineChars="200"/>
        <w:rPr>
          <w:rFonts w:hint="eastAsia" w:ascii="宋体" w:hAnsi="宋体" w:cs="宋体"/>
          <w:color w:val="auto"/>
        </w:rPr>
      </w:pPr>
      <w:r>
        <w:rPr>
          <w:rFonts w:hint="eastAsia" w:ascii="宋体" w:hAnsi="宋体" w:cs="宋体"/>
          <w:color w:val="auto"/>
        </w:rPr>
        <w:t>2.本条所述的“不可抗力”系指那些定点供应商无法控制、不可预见的事件，但不包括定点供应商的违约或疏忽。这些事件包括：战争、疫情、严重火灾、洪水、台风、地震以及其它采购人、送修单位和定点供应商商定的事件。</w:t>
      </w:r>
    </w:p>
    <w:p w14:paraId="75746E3C">
      <w:pPr>
        <w:snapToGrid w:val="0"/>
        <w:spacing w:line="360" w:lineRule="auto"/>
        <w:ind w:firstLine="420" w:firstLineChars="200"/>
        <w:rPr>
          <w:rFonts w:hint="eastAsia" w:ascii="宋体" w:hAnsi="宋体" w:cs="宋体"/>
          <w:color w:val="auto"/>
          <w:szCs w:val="21"/>
        </w:rPr>
      </w:pPr>
      <w:r>
        <w:rPr>
          <w:rFonts w:hint="eastAsia" w:ascii="宋体" w:hAnsi="宋体" w:cs="宋体"/>
          <w:color w:val="auto"/>
        </w:rPr>
        <w:t>3.在不可抗力事件发生后，定点供应商应尽快以书面形式将不可抗力的情况和原因通知采购人和送修单位。除采购人和送修单位书面另行要求外，定点供应商应尽实际可能继续履行合同义务，以及寻求采取合理的方案履行不受不可抗力影响的其他事项。如果不可抗力事件影响时间持续120天以上时，采购人、</w:t>
      </w:r>
      <w:r>
        <w:rPr>
          <w:rFonts w:hint="eastAsia" w:ascii="宋体" w:hAnsi="宋体" w:cs="宋体"/>
          <w:color w:val="auto"/>
          <w:szCs w:val="21"/>
        </w:rPr>
        <w:t>送修单位和定点供应商应通过友好协商在合理的时间内达成进一步履行合同的协议。</w:t>
      </w:r>
    </w:p>
    <w:p w14:paraId="2DC3AF20">
      <w:pPr>
        <w:snapToGrid w:val="0"/>
        <w:spacing w:line="360" w:lineRule="auto"/>
        <w:ind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十二、税费</w:t>
      </w:r>
    </w:p>
    <w:p w14:paraId="6EBA1A3A">
      <w:pPr>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1.中国政府根据现行税法规定对采购人征收的、与本合同有关的一切税费，均由采购人负担，招标文件另有规定的除外。</w:t>
      </w:r>
    </w:p>
    <w:p w14:paraId="293A3035">
      <w:pPr>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2.中国政府根据现行税法规定对定点供应商征收的、与本合同有关的一切税费，均由定点供应商负担。</w:t>
      </w:r>
    </w:p>
    <w:p w14:paraId="414EC1BC">
      <w:pPr>
        <w:snapToGrid w:val="0"/>
        <w:spacing w:line="360" w:lineRule="auto"/>
        <w:ind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十三、履约保证金</w:t>
      </w:r>
    </w:p>
    <w:p w14:paraId="5449792E">
      <w:pPr>
        <w:snapToGrid w:val="0"/>
        <w:spacing w:line="360" w:lineRule="auto"/>
        <w:ind w:firstLine="420" w:firstLineChars="200"/>
        <w:rPr>
          <w:rFonts w:hint="eastAsia" w:ascii="宋体" w:hAnsi="宋体" w:cs="宋体"/>
          <w:color w:val="auto"/>
        </w:rPr>
      </w:pPr>
      <w:r>
        <w:rPr>
          <w:rFonts w:hint="eastAsia" w:ascii="宋体" w:hAnsi="宋体" w:cs="宋体"/>
          <w:color w:val="auto"/>
        </w:rPr>
        <w:t>1.采购人不向定点供应商收取履约保证金。履约保证金由送修单位与定点供应商自行约定。</w:t>
      </w:r>
    </w:p>
    <w:p w14:paraId="07DE8C9F">
      <w:pPr>
        <w:snapToGrid w:val="0"/>
        <w:spacing w:line="360" w:lineRule="auto"/>
        <w:ind w:firstLine="420" w:firstLineChars="200"/>
        <w:rPr>
          <w:rFonts w:hint="eastAsia" w:ascii="宋体" w:hAnsi="宋体" w:cs="宋体"/>
          <w:color w:val="auto"/>
        </w:rPr>
      </w:pPr>
      <w:r>
        <w:rPr>
          <w:rFonts w:hint="eastAsia" w:ascii="宋体" w:hAnsi="宋体" w:cs="宋体"/>
          <w:color w:val="auto"/>
        </w:rPr>
        <w:t>2.定点供应商提供的履约保证金的形式应为银行本票、汇票或支票；与此有关的费用均由定点供应商负担。</w:t>
      </w:r>
    </w:p>
    <w:p w14:paraId="1BF97605">
      <w:pPr>
        <w:snapToGrid w:val="0"/>
        <w:spacing w:line="360" w:lineRule="auto"/>
        <w:ind w:firstLine="420" w:firstLineChars="200"/>
        <w:rPr>
          <w:rFonts w:hint="eastAsia" w:ascii="宋体" w:hAnsi="宋体" w:cs="宋体"/>
          <w:color w:val="auto"/>
        </w:rPr>
      </w:pPr>
      <w:r>
        <w:rPr>
          <w:rFonts w:hint="eastAsia" w:ascii="宋体" w:hAnsi="宋体" w:cs="宋体"/>
          <w:color w:val="auto"/>
        </w:rPr>
        <w:t>3.如定点供应商未能履行合同规定的义务，采购人和送修单位有权从履约保证金中取得补偿。采购人和送修单位均未向定点供应商收取履约保证金的，采购人和送修单位有权要求定点供应商承担履约补偿责任。</w:t>
      </w:r>
    </w:p>
    <w:p w14:paraId="1DC65C66">
      <w:pPr>
        <w:snapToGrid w:val="0"/>
        <w:spacing w:line="360" w:lineRule="auto"/>
        <w:ind w:firstLine="420" w:firstLineChars="200"/>
        <w:rPr>
          <w:rFonts w:hint="eastAsia" w:ascii="宋体" w:hAnsi="宋体" w:cs="宋体"/>
          <w:color w:val="auto"/>
        </w:rPr>
      </w:pPr>
      <w:r>
        <w:rPr>
          <w:rFonts w:hint="eastAsia" w:ascii="宋体" w:hAnsi="宋体" w:cs="宋体"/>
          <w:color w:val="auto"/>
        </w:rPr>
        <w:t>4.履约保证金应在合同期满后15天内退还给定点供应商，不计利息。</w:t>
      </w:r>
    </w:p>
    <w:p w14:paraId="62C10EB7">
      <w:pPr>
        <w:adjustRightInd w:val="0"/>
        <w:snapToGrid w:val="0"/>
        <w:spacing w:line="360" w:lineRule="auto"/>
        <w:ind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十四、解决合同纠纷的方式</w:t>
      </w:r>
    </w:p>
    <w:p w14:paraId="4BB080D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在执行本合同中所发生的或与本合同有关的一切争端，采购人、送修单位和定点供应商应通过友好协商的办法进行解决。如从协商开始30天内仍不能解决，应将争端提交溧阳市汽车维修行业管理部门寻求可能解决的办法。如果提交溧阳市汽车维修行业管理部门后30天内仍得不到解决，则应申请仲裁。</w:t>
      </w:r>
    </w:p>
    <w:p w14:paraId="1E00FF4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2.仲裁应根据《中华人民共和国仲裁法》的规定在采购人或送修单位所在地仲裁机构进行仲裁。</w:t>
      </w:r>
    </w:p>
    <w:p w14:paraId="55CE100D">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3.仲裁裁决为最终裁决，对采购人、送修单位和定点供应商均有约束力。</w:t>
      </w:r>
    </w:p>
    <w:p w14:paraId="43A4C2F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4.在仲裁期间，本合同应继续执行。</w:t>
      </w:r>
    </w:p>
    <w:p w14:paraId="384076D3">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5.具体车辆维修过程中所发生的合同纠纷，由送修单位按合同约定直接与定点供应商进行处理。</w:t>
      </w:r>
    </w:p>
    <w:p w14:paraId="42CC06E0">
      <w:pPr>
        <w:autoSpaceDE w:val="0"/>
        <w:autoSpaceDN w:val="0"/>
        <w:adjustRightInd w:val="0"/>
        <w:snapToGrid w:val="0"/>
        <w:spacing w:line="360" w:lineRule="auto"/>
        <w:ind w:firstLine="422" w:firstLineChars="200"/>
        <w:rPr>
          <w:rFonts w:hint="eastAsia" w:ascii="宋体" w:hAnsi="宋体"/>
          <w:color w:val="auto"/>
          <w:szCs w:val="21"/>
          <w:lang w:val="en-US" w:eastAsia="zh-CN"/>
        </w:rPr>
      </w:pPr>
      <w:r>
        <w:rPr>
          <w:rFonts w:hint="eastAsia" w:ascii="宋体" w:hAnsi="宋体"/>
          <w:b/>
          <w:bCs/>
          <w:color w:val="auto"/>
          <w:szCs w:val="21"/>
          <w:lang w:val="en-US" w:eastAsia="zh-CN"/>
        </w:rPr>
        <w:t>十五、投诉</w:t>
      </w:r>
    </w:p>
    <w:p w14:paraId="00A63CF3">
      <w:pPr>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1.为了保障送修单位和定点供应商的权益，本合同建立投诉监管制度。具体方式为：</w:t>
      </w:r>
    </w:p>
    <w:p w14:paraId="1201742D">
      <w:pPr>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1.1送修单位可就定点供应商的维修质量或服务问题向采购人或溧阳市汽车维修行业管理部门进行投诉；</w:t>
      </w:r>
    </w:p>
    <w:p w14:paraId="665B7BC9">
      <w:pPr>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1.2定点供应商可就送修单位的违反合同规定或违纪事项向采购人或相关监督管理部门进行投诉。</w:t>
      </w:r>
    </w:p>
    <w:p w14:paraId="1B724638">
      <w:pPr>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2.经采购人、溧阳市汽车维修行业管理部门或相关监督管理部门核查，如情况属实则该投诉有效，将记录在案，并按合同约定有关规定对违约方进行查处。</w:t>
      </w:r>
    </w:p>
    <w:p w14:paraId="02D3663C">
      <w:pPr>
        <w:spacing w:line="400" w:lineRule="exact"/>
        <w:ind w:firstLine="422" w:firstLineChars="200"/>
        <w:rPr>
          <w:rFonts w:hint="eastAsia" w:ascii="宋体" w:hAnsi="宋体"/>
          <w:b/>
          <w:bCs/>
          <w:color w:val="auto"/>
          <w:szCs w:val="21"/>
          <w:lang w:val="en-US" w:eastAsia="zh-CN"/>
        </w:rPr>
      </w:pPr>
      <w:r>
        <w:rPr>
          <w:rFonts w:hint="eastAsia" w:ascii="宋体" w:hAnsi="宋体"/>
          <w:b/>
          <w:bCs/>
          <w:color w:val="auto"/>
          <w:szCs w:val="21"/>
          <w:lang w:val="en-US" w:eastAsia="zh-CN"/>
        </w:rPr>
        <w:t>十六、违约中止或终止合同</w:t>
      </w:r>
    </w:p>
    <w:p w14:paraId="6E917FCF">
      <w:pPr>
        <w:spacing w:line="400" w:lineRule="exact"/>
        <w:ind w:firstLine="420" w:firstLineChars="200"/>
        <w:rPr>
          <w:rFonts w:ascii="宋体" w:hAnsi="宋体"/>
          <w:color w:val="auto"/>
          <w:szCs w:val="21"/>
        </w:rPr>
      </w:pPr>
      <w:r>
        <w:rPr>
          <w:rFonts w:hint="eastAsia" w:ascii="宋体" w:hAnsi="宋体"/>
          <w:color w:val="auto"/>
          <w:szCs w:val="21"/>
        </w:rPr>
        <w:t>1.在本合同执行过程中，采购人将会同送修单位、相关部门将不定期对定点供应商执行合同的情况进行检查，如有下列情况出现，在采购人、送修单位对定点供应商违约而采取的任何补救措施不受影响的情况下，采购人可向定点供应商发出中止或终止合同的书面通知书，由政府采购监督管理部门及相关管理部门查证核实后按规定进行处理：</w:t>
      </w:r>
    </w:p>
    <w:p w14:paraId="62AB4E55">
      <w:pPr>
        <w:spacing w:line="400" w:lineRule="exact"/>
        <w:ind w:right="17" w:firstLine="420" w:firstLineChars="200"/>
        <w:rPr>
          <w:rFonts w:ascii="宋体" w:hAnsi="宋体"/>
          <w:color w:val="auto"/>
          <w:szCs w:val="21"/>
        </w:rPr>
      </w:pPr>
      <w:r>
        <w:rPr>
          <w:rFonts w:hint="eastAsia" w:ascii="宋体" w:hAnsi="宋体"/>
          <w:color w:val="auto"/>
          <w:szCs w:val="21"/>
        </w:rPr>
        <w:t>（1）对定点供应商有效投诉记录累计达到2次；</w:t>
      </w:r>
    </w:p>
    <w:p w14:paraId="5BA058A4">
      <w:pPr>
        <w:spacing w:line="400" w:lineRule="exact"/>
        <w:ind w:right="17" w:firstLine="420" w:firstLineChars="200"/>
        <w:rPr>
          <w:rFonts w:ascii="宋体" w:hAnsi="宋体"/>
          <w:color w:val="auto"/>
          <w:szCs w:val="21"/>
        </w:rPr>
      </w:pPr>
      <w:r>
        <w:rPr>
          <w:rFonts w:hint="eastAsia" w:ascii="宋体" w:hAnsi="宋体"/>
          <w:color w:val="auto"/>
          <w:szCs w:val="21"/>
        </w:rPr>
        <w:t>（2）未经采购人、送修单位同意，定点供应商将送修车辆交由其他维修厂维修的；</w:t>
      </w:r>
    </w:p>
    <w:p w14:paraId="24794FAC">
      <w:pPr>
        <w:spacing w:line="400" w:lineRule="exact"/>
        <w:ind w:right="17" w:firstLine="420" w:firstLineChars="200"/>
        <w:rPr>
          <w:rFonts w:ascii="宋体" w:hAnsi="宋体"/>
          <w:color w:val="auto"/>
          <w:szCs w:val="21"/>
        </w:rPr>
      </w:pPr>
      <w:r>
        <w:rPr>
          <w:rFonts w:hint="eastAsia" w:ascii="宋体" w:hAnsi="宋体"/>
          <w:color w:val="auto"/>
          <w:szCs w:val="21"/>
        </w:rPr>
        <w:t>（3）定点供应商以次充好或擅自使用非原厂生产的零部件用于送修单位车辆维修的；</w:t>
      </w:r>
    </w:p>
    <w:p w14:paraId="7B9C2CF1">
      <w:pPr>
        <w:spacing w:line="400" w:lineRule="exact"/>
        <w:ind w:right="17" w:firstLine="420" w:firstLineChars="200"/>
        <w:rPr>
          <w:rFonts w:ascii="宋体" w:hAnsi="宋体"/>
          <w:color w:val="auto"/>
          <w:szCs w:val="21"/>
        </w:rPr>
      </w:pPr>
      <w:r>
        <w:rPr>
          <w:rFonts w:hint="eastAsia" w:ascii="宋体" w:hAnsi="宋体"/>
          <w:color w:val="auto"/>
          <w:szCs w:val="21"/>
        </w:rPr>
        <w:t>（4）无论在任何情况下，定点供应商以旧件换取送修单位送修车辆零部件的；</w:t>
      </w:r>
    </w:p>
    <w:p w14:paraId="790DF15B">
      <w:pPr>
        <w:spacing w:line="400" w:lineRule="exact"/>
        <w:ind w:right="17" w:firstLine="420" w:firstLineChars="200"/>
        <w:rPr>
          <w:rFonts w:ascii="宋体" w:hAnsi="宋体"/>
          <w:color w:val="auto"/>
          <w:szCs w:val="21"/>
        </w:rPr>
      </w:pPr>
      <w:r>
        <w:rPr>
          <w:rFonts w:hint="eastAsia" w:ascii="宋体" w:hAnsi="宋体"/>
          <w:color w:val="auto"/>
          <w:szCs w:val="21"/>
        </w:rPr>
        <w:t>（5）因定点供应商维修质量问题，导致送修单位车辆出现事故隐患或发生事故，造成重大损失的；</w:t>
      </w:r>
    </w:p>
    <w:p w14:paraId="12AB4D8F">
      <w:pPr>
        <w:spacing w:line="400" w:lineRule="exact"/>
        <w:ind w:right="17" w:firstLine="420" w:firstLineChars="200"/>
        <w:rPr>
          <w:rFonts w:ascii="宋体" w:hAnsi="宋体"/>
          <w:color w:val="auto"/>
          <w:szCs w:val="21"/>
        </w:rPr>
      </w:pPr>
      <w:r>
        <w:rPr>
          <w:rFonts w:hint="eastAsia" w:ascii="宋体" w:hAnsi="宋体"/>
          <w:color w:val="auto"/>
          <w:szCs w:val="21"/>
        </w:rPr>
        <w:t>（6）工时单价超过投标时承诺的价格收取的；</w:t>
      </w:r>
    </w:p>
    <w:p w14:paraId="5BE0A9F9">
      <w:pPr>
        <w:spacing w:line="400" w:lineRule="exact"/>
        <w:ind w:right="17" w:firstLine="420" w:firstLineChars="200"/>
        <w:rPr>
          <w:rFonts w:ascii="宋体" w:hAnsi="宋体"/>
          <w:color w:val="auto"/>
          <w:szCs w:val="21"/>
        </w:rPr>
      </w:pPr>
      <w:r>
        <w:rPr>
          <w:rFonts w:hint="eastAsia" w:ascii="宋体" w:hAnsi="宋体"/>
          <w:color w:val="auto"/>
          <w:szCs w:val="21"/>
        </w:rPr>
        <w:t>（7）维修材料及配件进销差价率高于投标时的进销差价率；</w:t>
      </w:r>
    </w:p>
    <w:p w14:paraId="58ECF576">
      <w:pPr>
        <w:spacing w:line="400" w:lineRule="exact"/>
        <w:ind w:right="17" w:firstLine="420" w:firstLineChars="200"/>
        <w:rPr>
          <w:rFonts w:ascii="宋体" w:hAnsi="宋体"/>
          <w:color w:val="auto"/>
          <w:szCs w:val="21"/>
        </w:rPr>
      </w:pPr>
      <w:r>
        <w:rPr>
          <w:rFonts w:hint="eastAsia" w:ascii="宋体" w:hAnsi="宋体"/>
          <w:color w:val="auto"/>
          <w:szCs w:val="21"/>
        </w:rPr>
        <w:t>（8）向自带配件维修的送修单位进行配件加价的；</w:t>
      </w:r>
    </w:p>
    <w:p w14:paraId="2C18B623">
      <w:pPr>
        <w:spacing w:line="400" w:lineRule="exact"/>
        <w:ind w:right="17" w:firstLine="420" w:firstLineChars="200"/>
        <w:rPr>
          <w:rFonts w:ascii="宋体" w:hAnsi="宋体"/>
          <w:color w:val="auto"/>
          <w:szCs w:val="21"/>
        </w:rPr>
      </w:pPr>
      <w:r>
        <w:rPr>
          <w:rFonts w:hint="eastAsia" w:ascii="宋体" w:hAnsi="宋体"/>
          <w:color w:val="auto"/>
          <w:szCs w:val="21"/>
        </w:rPr>
        <w:t>（9）未按投标时承诺得配件进货渠道进货并用于公务车辆维修的；</w:t>
      </w:r>
    </w:p>
    <w:p w14:paraId="78C9F734">
      <w:pPr>
        <w:spacing w:line="400" w:lineRule="exact"/>
        <w:ind w:right="17" w:firstLine="420" w:firstLineChars="200"/>
        <w:rPr>
          <w:rFonts w:ascii="宋体" w:hAnsi="宋体"/>
          <w:color w:val="auto"/>
          <w:szCs w:val="21"/>
        </w:rPr>
      </w:pPr>
      <w:r>
        <w:rPr>
          <w:rFonts w:hint="eastAsia" w:ascii="宋体" w:hAnsi="宋体"/>
          <w:color w:val="auto"/>
          <w:szCs w:val="21"/>
        </w:rPr>
        <w:t xml:space="preserve"> (10)定点供应商提供的零件以次充好，进货零件编号与维修单零件编号不一致的；</w:t>
      </w:r>
    </w:p>
    <w:p w14:paraId="0C85EC8A">
      <w:pPr>
        <w:spacing w:line="400" w:lineRule="exact"/>
        <w:ind w:right="17" w:firstLine="420" w:firstLineChars="200"/>
        <w:rPr>
          <w:rFonts w:ascii="宋体" w:hAnsi="宋体"/>
          <w:color w:val="auto"/>
          <w:szCs w:val="21"/>
        </w:rPr>
      </w:pPr>
      <w:r>
        <w:rPr>
          <w:rFonts w:hint="eastAsia" w:ascii="宋体" w:hAnsi="宋体"/>
          <w:color w:val="auto"/>
          <w:szCs w:val="21"/>
        </w:rPr>
        <w:t>（11）其他违反本合同的情况。</w:t>
      </w:r>
    </w:p>
    <w:p w14:paraId="4AD314D7">
      <w:pPr>
        <w:spacing w:line="400" w:lineRule="exact"/>
        <w:ind w:right="17" w:firstLine="455" w:firstLineChars="217"/>
        <w:rPr>
          <w:rFonts w:ascii="宋体" w:hAnsi="宋体"/>
          <w:color w:val="auto"/>
          <w:szCs w:val="21"/>
        </w:rPr>
      </w:pPr>
      <w:r>
        <w:rPr>
          <w:rFonts w:hint="eastAsia" w:ascii="宋体" w:hAnsi="宋体"/>
          <w:color w:val="auto"/>
          <w:szCs w:val="21"/>
        </w:rPr>
        <w:t>2.定点供应商在任何情况下都不得向送修单位经办人提供任何形式的回扣，一经发现，采购人可立即全面终止合同的执行，并没收履约保证金或以其他方式取得补偿，同时提请有关部门追究有关当事人的责任；与送车驾驶员以开具维修单等形式套取维修资金或解决处理违章等其它情况的，一经发现立刻终止合同，定点供应商将被列入维修黑名单，5年内不得参与溧阳市公务</w:t>
      </w:r>
      <w:r>
        <w:rPr>
          <w:rFonts w:hint="eastAsia" w:ascii="宋体" w:hAnsi="宋体"/>
          <w:color w:val="auto"/>
          <w:szCs w:val="21"/>
          <w:lang w:val="en-US" w:eastAsia="zh-CN"/>
        </w:rPr>
        <w:t>车辆</w:t>
      </w:r>
      <w:r>
        <w:rPr>
          <w:rFonts w:hint="eastAsia" w:ascii="宋体" w:hAnsi="宋体"/>
          <w:color w:val="auto"/>
          <w:szCs w:val="21"/>
        </w:rPr>
        <w:t>定点维修招标。</w:t>
      </w:r>
    </w:p>
    <w:p w14:paraId="28B42F1E">
      <w:pPr>
        <w:spacing w:line="400" w:lineRule="exact"/>
        <w:ind w:right="17"/>
        <w:rPr>
          <w:rFonts w:ascii="宋体" w:hAnsi="宋体"/>
          <w:color w:val="auto"/>
          <w:szCs w:val="21"/>
        </w:rPr>
      </w:pPr>
      <w:r>
        <w:rPr>
          <w:rFonts w:hint="eastAsia" w:ascii="宋体" w:hAnsi="宋体"/>
          <w:color w:val="auto"/>
          <w:szCs w:val="21"/>
        </w:rPr>
        <w:t xml:space="preserve">    3.在采购人和送修单位根据合同规定，终止了全部或部分合同后，采购人和送修单位可以依其认为适当的条件和方法与其他维修厂签订维修合同，定点供应商应对采购人和送修单位签订新的维修合同所超出的那部分费用负责，并继续执行合同中未终止的部分。</w:t>
      </w:r>
    </w:p>
    <w:p w14:paraId="355169D3">
      <w:pPr>
        <w:spacing w:line="400" w:lineRule="exact"/>
        <w:ind w:right="17" w:firstLine="455" w:firstLineChars="217"/>
        <w:rPr>
          <w:rFonts w:hint="eastAsia" w:ascii="宋体" w:hAnsi="宋体"/>
          <w:color w:val="auto"/>
          <w:szCs w:val="21"/>
        </w:rPr>
      </w:pPr>
      <w:r>
        <w:rPr>
          <w:rFonts w:hint="eastAsia" w:ascii="宋体" w:hAnsi="宋体"/>
          <w:color w:val="auto"/>
          <w:szCs w:val="21"/>
        </w:rPr>
        <w:t>4.如定点供应商单位名称、法定代表人、经营范围、经营地址等发生变化，必须按汽车维修行业管理部门有关要求进行备案，并在办理备案手续后5个有效工作日向采购人提交相关资料，否则采购人有权终止本合同。</w:t>
      </w:r>
    </w:p>
    <w:p w14:paraId="21198071">
      <w:pPr>
        <w:spacing w:line="400" w:lineRule="exact"/>
        <w:ind w:firstLine="466"/>
        <w:rPr>
          <w:rFonts w:hint="eastAsia" w:ascii="宋体" w:hAnsi="宋体"/>
          <w:color w:val="auto"/>
          <w:szCs w:val="21"/>
          <w:lang w:val="en-US" w:eastAsia="zh-CN"/>
        </w:rPr>
      </w:pPr>
      <w:r>
        <w:rPr>
          <w:rFonts w:hint="eastAsia" w:ascii="宋体" w:hAnsi="宋体"/>
          <w:b/>
          <w:bCs/>
          <w:color w:val="auto"/>
          <w:szCs w:val="21"/>
          <w:lang w:val="en-US" w:eastAsia="zh-CN"/>
        </w:rPr>
        <w:t>十七、破产终止合同</w:t>
      </w:r>
      <w:r>
        <w:rPr>
          <w:rFonts w:hint="eastAsia" w:ascii="宋体" w:hAnsi="宋体"/>
          <w:color w:val="auto"/>
          <w:szCs w:val="21"/>
          <w:lang w:val="en-US" w:eastAsia="zh-CN"/>
        </w:rPr>
        <w:t xml:space="preserve"> </w:t>
      </w:r>
    </w:p>
    <w:p w14:paraId="00A1207B">
      <w:pPr>
        <w:spacing w:line="400" w:lineRule="exact"/>
        <w:ind w:firstLine="466"/>
        <w:rPr>
          <w:rFonts w:hint="eastAsia" w:ascii="宋体" w:hAnsi="宋体"/>
          <w:color w:val="auto"/>
          <w:szCs w:val="21"/>
        </w:rPr>
      </w:pPr>
      <w:r>
        <w:rPr>
          <w:rFonts w:hint="eastAsia" w:ascii="宋体" w:hAnsi="宋体"/>
          <w:color w:val="auto"/>
          <w:szCs w:val="21"/>
        </w:rPr>
        <w:t>如果定点供应商破产或无清偿能力，采购人和送修单位可在任何时候以书面形式通知定点供应商中止合同而不给定点供应商补偿。该中止合同将不损害或影响采购人和送修单位已经采取或将要采取的任何行动或补救措施的权力。</w:t>
      </w:r>
    </w:p>
    <w:p w14:paraId="59C0BCFE">
      <w:pPr>
        <w:numPr>
          <w:ilvl w:val="0"/>
          <w:numId w:val="0"/>
        </w:numPr>
        <w:spacing w:line="400" w:lineRule="exact"/>
        <w:ind w:firstLine="465" w:firstLineChars="0"/>
        <w:rPr>
          <w:rFonts w:hint="eastAsia" w:ascii="宋体" w:hAnsi="宋体"/>
          <w:b/>
          <w:bCs/>
          <w:color w:val="auto"/>
          <w:szCs w:val="21"/>
        </w:rPr>
      </w:pPr>
      <w:r>
        <w:rPr>
          <w:rFonts w:hint="eastAsia" w:ascii="宋体" w:hAnsi="宋体" w:eastAsia="宋体" w:cs="Times New Roman"/>
          <w:b/>
          <w:bCs/>
          <w:color w:val="auto"/>
          <w:sz w:val="21"/>
          <w:szCs w:val="21"/>
        </w:rPr>
        <w:t>十八、</w:t>
      </w:r>
      <w:r>
        <w:rPr>
          <w:rFonts w:hint="eastAsia" w:ascii="宋体" w:hAnsi="宋体"/>
          <w:b/>
          <w:bCs/>
          <w:color w:val="auto"/>
          <w:szCs w:val="21"/>
          <w:lang w:val="en-US" w:eastAsia="zh-CN"/>
        </w:rPr>
        <w:t>转让</w:t>
      </w:r>
    </w:p>
    <w:p w14:paraId="57049687">
      <w:pPr>
        <w:numPr>
          <w:ilvl w:val="0"/>
          <w:numId w:val="0"/>
        </w:numPr>
        <w:spacing w:line="400" w:lineRule="exact"/>
        <w:ind w:firstLine="465" w:firstLineChars="0"/>
        <w:rPr>
          <w:rFonts w:hint="eastAsia" w:ascii="宋体" w:hAnsi="宋体"/>
          <w:color w:val="auto"/>
          <w:szCs w:val="21"/>
        </w:rPr>
      </w:pPr>
      <w:r>
        <w:rPr>
          <w:rFonts w:hint="eastAsia" w:ascii="宋体" w:hAnsi="宋体"/>
          <w:color w:val="auto"/>
          <w:szCs w:val="21"/>
        </w:rPr>
        <w:t>除采购人事先书面同意外，定点供应商不得部分转让或全部转让其应履行的合同义务。</w:t>
      </w:r>
    </w:p>
    <w:p w14:paraId="42445B0B">
      <w:pPr>
        <w:numPr>
          <w:ilvl w:val="0"/>
          <w:numId w:val="0"/>
        </w:numPr>
        <w:spacing w:line="400" w:lineRule="exact"/>
        <w:ind w:firstLine="447" w:firstLineChars="212"/>
        <w:rPr>
          <w:rFonts w:hint="eastAsia" w:ascii="宋体" w:hAnsi="宋体"/>
          <w:b/>
          <w:bCs/>
          <w:color w:val="auto"/>
          <w:szCs w:val="21"/>
          <w:lang w:val="en-US" w:eastAsia="zh-CN"/>
        </w:rPr>
      </w:pPr>
      <w:r>
        <w:rPr>
          <w:rFonts w:hint="eastAsia" w:ascii="宋体" w:hAnsi="宋体" w:eastAsia="宋体" w:cs="Times New Roman"/>
          <w:b/>
          <w:bCs/>
          <w:color w:val="auto"/>
          <w:sz w:val="21"/>
          <w:szCs w:val="21"/>
          <w:lang w:val="en-US" w:eastAsia="zh-CN"/>
        </w:rPr>
        <w:t>十九、</w:t>
      </w:r>
      <w:r>
        <w:rPr>
          <w:rFonts w:hint="eastAsia" w:ascii="宋体" w:hAnsi="宋体"/>
          <w:b/>
          <w:bCs/>
          <w:color w:val="auto"/>
          <w:szCs w:val="21"/>
          <w:lang w:val="en-US" w:eastAsia="zh-CN"/>
        </w:rPr>
        <w:t>合同生效及其他</w:t>
      </w:r>
    </w:p>
    <w:p w14:paraId="78CD60A6">
      <w:pPr>
        <w:numPr>
          <w:ilvl w:val="0"/>
          <w:numId w:val="0"/>
        </w:numPr>
        <w:spacing w:line="400" w:lineRule="exact"/>
        <w:ind w:firstLine="445" w:firstLineChars="212"/>
        <w:rPr>
          <w:rFonts w:ascii="宋体" w:hAnsi="宋体"/>
          <w:color w:val="auto"/>
          <w:szCs w:val="21"/>
        </w:rPr>
      </w:pPr>
      <w:r>
        <w:rPr>
          <w:rFonts w:hint="eastAsia" w:ascii="宋体" w:hAnsi="宋体"/>
          <w:color w:val="auto"/>
          <w:szCs w:val="21"/>
        </w:rPr>
        <w:t>1.合同应在采购人、定点供应商双方签字，并按政府采购管理规定进行备案后生效。</w:t>
      </w:r>
    </w:p>
    <w:p w14:paraId="0A45EB6D">
      <w:pPr>
        <w:spacing w:line="400" w:lineRule="exact"/>
        <w:ind w:firstLine="445" w:firstLineChars="212"/>
        <w:rPr>
          <w:rFonts w:ascii="宋体" w:hAnsi="宋体"/>
          <w:color w:val="auto"/>
          <w:szCs w:val="21"/>
        </w:rPr>
      </w:pPr>
      <w:r>
        <w:rPr>
          <w:rFonts w:hint="eastAsia" w:ascii="宋体" w:hAnsi="宋体"/>
          <w:color w:val="auto"/>
          <w:szCs w:val="21"/>
        </w:rPr>
        <w:t>2.本合同一式伍份，采购人三份，定点供应商、溧阳市政府采购中心各执一份。</w:t>
      </w:r>
    </w:p>
    <w:p w14:paraId="2F2E4D7F">
      <w:pPr>
        <w:spacing w:line="400" w:lineRule="exact"/>
        <w:ind w:firstLine="445" w:firstLineChars="212"/>
        <w:rPr>
          <w:rFonts w:ascii="宋体" w:hAnsi="宋体"/>
          <w:color w:val="auto"/>
          <w:szCs w:val="21"/>
        </w:rPr>
      </w:pPr>
      <w:r>
        <w:rPr>
          <w:rFonts w:hint="eastAsia" w:ascii="宋体" w:hAnsi="宋体"/>
          <w:color w:val="auto"/>
          <w:szCs w:val="21"/>
        </w:rPr>
        <w:t>3.本合同签订后所发生维修方面的合同纠纷，由送修单位与定点供应商直接按本合同规定进行处理。</w:t>
      </w:r>
    </w:p>
    <w:p w14:paraId="65164533">
      <w:pPr>
        <w:spacing w:line="400" w:lineRule="exact"/>
        <w:ind w:firstLine="445" w:firstLineChars="212"/>
        <w:rPr>
          <w:rFonts w:ascii="宋体" w:hAnsi="宋体"/>
          <w:color w:val="auto"/>
          <w:szCs w:val="21"/>
        </w:rPr>
      </w:pPr>
      <w:r>
        <w:rPr>
          <w:rFonts w:hint="eastAsia" w:ascii="宋体" w:hAnsi="宋体"/>
          <w:color w:val="auto"/>
          <w:szCs w:val="21"/>
        </w:rPr>
        <w:t>4.</w:t>
      </w:r>
      <w:r>
        <w:rPr>
          <w:rFonts w:hint="eastAsia" w:ascii="宋体" w:hAnsi="宋体"/>
          <w:color w:val="auto"/>
          <w:szCs w:val="21"/>
          <w:lang w:eastAsia="zh-CN"/>
        </w:rPr>
        <w:t>******</w:t>
      </w:r>
      <w:r>
        <w:rPr>
          <w:rFonts w:hint="eastAsia" w:ascii="宋体" w:hAnsi="宋体"/>
          <w:color w:val="auto"/>
          <w:szCs w:val="21"/>
          <w:lang w:val="en-US" w:eastAsia="zh-CN"/>
        </w:rPr>
        <w:t>号</w:t>
      </w:r>
      <w:r>
        <w:rPr>
          <w:rFonts w:hint="eastAsia" w:ascii="宋体" w:hAnsi="宋体"/>
          <w:color w:val="auto"/>
          <w:szCs w:val="21"/>
        </w:rPr>
        <w:t>项目</w:t>
      </w:r>
      <w:r>
        <w:rPr>
          <w:rFonts w:hint="eastAsia" w:ascii="宋体" w:hAnsi="宋体"/>
          <w:color w:val="auto"/>
          <w:szCs w:val="21"/>
          <w:lang w:val="en-US" w:eastAsia="zh-CN"/>
        </w:rPr>
        <w:t>征集文件</w:t>
      </w:r>
      <w:r>
        <w:rPr>
          <w:rFonts w:hint="eastAsia" w:ascii="宋体" w:hAnsi="宋体"/>
          <w:color w:val="auto"/>
          <w:szCs w:val="21"/>
        </w:rPr>
        <w:t>、定点供应商针对</w:t>
      </w:r>
      <w:r>
        <w:rPr>
          <w:rFonts w:hint="eastAsia" w:ascii="宋体" w:hAnsi="宋体"/>
          <w:color w:val="auto"/>
          <w:szCs w:val="21"/>
          <w:lang w:eastAsia="zh-CN"/>
        </w:rPr>
        <w:t>******</w:t>
      </w:r>
      <w:r>
        <w:rPr>
          <w:rFonts w:hint="eastAsia" w:ascii="宋体" w:hAnsi="宋体"/>
          <w:color w:val="auto"/>
          <w:szCs w:val="21"/>
        </w:rPr>
        <w:t>号项目的投标文件等作为本合同附件，为本合同不可分割的一部分，与本合同具有同等法律效力。</w:t>
      </w:r>
    </w:p>
    <w:p w14:paraId="4C9F9C8A">
      <w:pPr>
        <w:spacing w:line="400" w:lineRule="exact"/>
        <w:ind w:firstLine="445" w:firstLineChars="212"/>
        <w:rPr>
          <w:rFonts w:ascii="宋体" w:hAnsi="宋体"/>
          <w:color w:val="auto"/>
          <w:szCs w:val="21"/>
        </w:rPr>
      </w:pPr>
      <w:r>
        <w:rPr>
          <w:rFonts w:hint="eastAsia" w:ascii="宋体" w:hAnsi="宋体"/>
          <w:color w:val="auto"/>
          <w:szCs w:val="21"/>
        </w:rPr>
        <w:t>5.如需修改或补充合同内容，应经采购人、定点供应商协商，共同签署书面修改或补充协议。该协议将作为本合同不可分割的一部分。</w:t>
      </w:r>
    </w:p>
    <w:p w14:paraId="59821E70">
      <w:pPr>
        <w:spacing w:line="400" w:lineRule="exact"/>
        <w:ind w:firstLine="445" w:firstLineChars="212"/>
        <w:rPr>
          <w:rFonts w:ascii="宋体" w:hAnsi="宋体"/>
          <w:color w:val="auto"/>
          <w:szCs w:val="21"/>
        </w:rPr>
      </w:pPr>
      <w:r>
        <w:rPr>
          <w:rFonts w:hint="eastAsia" w:ascii="宋体" w:hAnsi="宋体"/>
          <w:color w:val="auto"/>
          <w:szCs w:val="21"/>
        </w:rPr>
        <w:t>6.采购人将会同有关部门不定期对定点供应商的合同执行情况进行检查，一旦发现违反本合同条款的情形，将报请政府采购监管部门采取以下一种或几种方式追究定点供应商违约责任：A、取消定点供应商的车辆维修定点资格、中止或终止与定点供应商签订的定点采购合同；B、要求定点供应商支付不高于投标保证金数额的违约金；C、予以通报批评；D、在下一轮定点采购评标中给予定点供应商扣分。如定点供应商完全履行合同，采购人将根据检查情况报请政府采购监管部门采取以下一种或几种方式对定点供应商进行奖励：A、予以通报表扬；B、在下一轮定点采购评标中给予定点供应商适当加分。</w:t>
      </w:r>
    </w:p>
    <w:p w14:paraId="2A6A25FC">
      <w:pPr>
        <w:spacing w:line="360" w:lineRule="auto"/>
        <w:ind w:firstLine="420"/>
        <w:rPr>
          <w:rFonts w:hint="default" w:ascii="宋体" w:hAnsi="宋体" w:eastAsia="宋体"/>
          <w:color w:val="auto"/>
          <w:szCs w:val="21"/>
          <w:lang w:val="en-US" w:eastAsia="zh-CN"/>
        </w:rPr>
      </w:pPr>
    </w:p>
    <w:p w14:paraId="561D81D1">
      <w:pPr>
        <w:spacing w:line="360" w:lineRule="auto"/>
        <w:ind w:firstLine="420"/>
        <w:rPr>
          <w:rFonts w:hint="eastAsia" w:ascii="宋体" w:hAnsi="宋体"/>
          <w:color w:val="auto"/>
          <w:szCs w:val="21"/>
          <w:lang w:eastAsia="zh-Hans"/>
        </w:rPr>
      </w:pPr>
    </w:p>
    <w:p w14:paraId="6F663EC2">
      <w:pPr>
        <w:spacing w:line="360" w:lineRule="auto"/>
        <w:ind w:firstLine="420"/>
        <w:rPr>
          <w:rFonts w:hint="eastAsia" w:ascii="宋体" w:hAnsi="宋体"/>
          <w:color w:val="auto"/>
          <w:szCs w:val="21"/>
          <w:lang w:eastAsia="zh-Hans"/>
        </w:rPr>
      </w:pPr>
    </w:p>
    <w:p w14:paraId="37C3A9E0">
      <w:pPr>
        <w:spacing w:line="360" w:lineRule="auto"/>
        <w:jc w:val="both"/>
        <w:rPr>
          <w:rStyle w:val="314"/>
          <w:rFonts w:cs="宋体"/>
          <w:color w:val="auto"/>
          <w:sz w:val="28"/>
          <w:szCs w:val="28"/>
        </w:rPr>
      </w:pPr>
    </w:p>
    <w:p w14:paraId="15D3AF0E">
      <w:pPr>
        <w:spacing w:line="360" w:lineRule="auto"/>
        <w:jc w:val="center"/>
        <w:rPr>
          <w:b/>
          <w:color w:val="auto"/>
          <w:szCs w:val="21"/>
        </w:rPr>
      </w:pPr>
      <w:r>
        <w:rPr>
          <w:rStyle w:val="314"/>
          <w:rFonts w:hint="eastAsia" w:cs="宋体"/>
          <w:color w:val="auto"/>
          <w:sz w:val="28"/>
          <w:szCs w:val="28"/>
        </w:rPr>
        <w:t>第五部分   评标方法和评标标准</w:t>
      </w:r>
      <w:bookmarkEnd w:id="90"/>
      <w:bookmarkEnd w:id="91"/>
      <w:bookmarkEnd w:id="92"/>
      <w:bookmarkEnd w:id="93"/>
      <w:bookmarkStart w:id="94" w:name="_Toc8141"/>
      <w:bookmarkStart w:id="95" w:name="_Toc5112"/>
      <w:bookmarkStart w:id="96" w:name="_Toc12777"/>
      <w:bookmarkStart w:id="97" w:name="_Toc8049"/>
      <w:bookmarkStart w:id="98" w:name="_Toc12881"/>
      <w:bookmarkStart w:id="99" w:name="_Toc10212"/>
      <w:bookmarkStart w:id="100" w:name="_Toc6187"/>
    </w:p>
    <w:bookmarkEnd w:id="94"/>
    <w:bookmarkEnd w:id="95"/>
    <w:p w14:paraId="5B92EDCC">
      <w:pPr>
        <w:pStyle w:val="325"/>
        <w:numPr>
          <w:ilvl w:val="0"/>
          <w:numId w:val="5"/>
        </w:numPr>
        <w:tabs>
          <w:tab w:val="left" w:pos="360"/>
          <w:tab w:val="left" w:pos="900"/>
        </w:tabs>
        <w:spacing w:line="360" w:lineRule="auto"/>
        <w:outlineLvl w:val="1"/>
        <w:rPr>
          <w:b/>
          <w:color w:val="auto"/>
          <w:szCs w:val="21"/>
        </w:rPr>
      </w:pPr>
      <w:bookmarkStart w:id="101" w:name="_Hlk191998083"/>
      <w:r>
        <w:rPr>
          <w:rFonts w:hint="eastAsia"/>
          <w:b/>
          <w:color w:val="auto"/>
          <w:szCs w:val="21"/>
        </w:rPr>
        <w:t>资格审查程序</w:t>
      </w:r>
    </w:p>
    <w:p w14:paraId="4AE48F72">
      <w:pPr>
        <w:tabs>
          <w:tab w:val="left" w:pos="360"/>
        </w:tabs>
        <w:spacing w:line="360" w:lineRule="auto"/>
        <w:outlineLvl w:val="1"/>
        <w:rPr>
          <w:rFonts w:ascii="宋体" w:hAnsi="宋体"/>
          <w:color w:val="auto"/>
          <w:szCs w:val="21"/>
        </w:rPr>
      </w:pPr>
      <w:bookmarkStart w:id="102" w:name="_Toc353873941"/>
      <w:bookmarkStart w:id="103" w:name="_Toc353825551"/>
      <w:r>
        <w:rPr>
          <w:rFonts w:ascii="宋体" w:hAnsi="宋体"/>
          <w:color w:val="auto"/>
          <w:szCs w:val="21"/>
        </w:rPr>
        <w:tab/>
      </w:r>
      <w:r>
        <w:rPr>
          <w:rFonts w:hint="eastAsia" w:ascii="宋体" w:hAnsi="宋体"/>
          <w:color w:val="auto"/>
          <w:szCs w:val="21"/>
        </w:rPr>
        <w:t>1.开标结束后，评标委员会将根据本章第二节“资格审查要求”中的规定，对照投标文件资格审查材料对投标人的资格进行审查。合格投标人少于2家的，不进入评标程序。</w:t>
      </w:r>
      <w:bookmarkEnd w:id="101"/>
    </w:p>
    <w:p w14:paraId="5CBF66CC">
      <w:pPr>
        <w:tabs>
          <w:tab w:val="left" w:pos="360"/>
        </w:tabs>
        <w:spacing w:line="360" w:lineRule="auto"/>
        <w:outlineLvl w:val="1"/>
        <w:rPr>
          <w:rFonts w:ascii="宋体" w:hAnsi="宋体"/>
          <w:color w:val="auto"/>
          <w:szCs w:val="21"/>
        </w:rPr>
      </w:pPr>
      <w:r>
        <w:rPr>
          <w:rFonts w:ascii="宋体" w:hAnsi="宋体"/>
          <w:color w:val="auto"/>
          <w:szCs w:val="21"/>
        </w:rPr>
        <w:tab/>
      </w:r>
      <w:r>
        <w:rPr>
          <w:rFonts w:hint="eastAsia" w:ascii="宋体" w:hAnsi="宋体"/>
          <w:color w:val="auto"/>
          <w:szCs w:val="21"/>
        </w:rPr>
        <w:t>2.“资格审查要求”中对格式有加“*”的章节材料格式文件，除可填报项目外，任何实质性修改将被视为非实质性响应投标，从而导致该投标被拒绝，其投标无效。</w:t>
      </w:r>
    </w:p>
    <w:p w14:paraId="1014F92B">
      <w:pPr>
        <w:tabs>
          <w:tab w:val="left" w:pos="360"/>
        </w:tabs>
        <w:spacing w:line="360" w:lineRule="auto"/>
        <w:ind w:firstLine="360"/>
        <w:outlineLvl w:val="1"/>
        <w:rPr>
          <w:color w:val="auto"/>
          <w:szCs w:val="21"/>
        </w:rPr>
      </w:pPr>
      <w:r>
        <w:rPr>
          <w:rFonts w:hint="eastAsia" w:ascii="宋体" w:hAnsi="宋体"/>
          <w:color w:val="auto"/>
          <w:szCs w:val="21"/>
        </w:rPr>
        <w:t>3.投标人的</w:t>
      </w:r>
      <w:r>
        <w:rPr>
          <w:rFonts w:hint="eastAsia"/>
          <w:color w:val="auto"/>
          <w:szCs w:val="21"/>
        </w:rPr>
        <w:t>《资性证明文件》有任何一项不符合“资格审查要求”的，资格审查不合格，其投标无效。</w:t>
      </w:r>
    </w:p>
    <w:p w14:paraId="084238E4">
      <w:pPr>
        <w:tabs>
          <w:tab w:val="left" w:pos="360"/>
          <w:tab w:val="left" w:pos="900"/>
        </w:tabs>
        <w:spacing w:line="360" w:lineRule="auto"/>
        <w:jc w:val="center"/>
        <w:outlineLvl w:val="1"/>
        <w:rPr>
          <w:b/>
          <w:color w:val="auto"/>
          <w:szCs w:val="21"/>
        </w:rPr>
      </w:pPr>
      <w:r>
        <w:rPr>
          <w:b/>
          <w:color w:val="auto"/>
          <w:szCs w:val="21"/>
        </w:rPr>
        <w:t>资格性检查要求</w:t>
      </w:r>
    </w:p>
    <w:tbl>
      <w:tblPr>
        <w:tblStyle w:val="4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9"/>
        <w:gridCol w:w="1999"/>
        <w:gridCol w:w="5197"/>
        <w:gridCol w:w="1920"/>
      </w:tblGrid>
      <w:tr w14:paraId="60F2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375" w:type="pct"/>
            <w:noWrap w:val="0"/>
            <w:vAlign w:val="center"/>
          </w:tcPr>
          <w:p w14:paraId="1E76F5E5">
            <w:pPr>
              <w:tabs>
                <w:tab w:val="left" w:pos="1080"/>
              </w:tabs>
              <w:jc w:val="center"/>
              <w:rPr>
                <w:b/>
                <w:color w:val="auto"/>
                <w:szCs w:val="21"/>
              </w:rPr>
            </w:pPr>
            <w:bookmarkStart w:id="104" w:name="_Hlt487972895"/>
            <w:bookmarkEnd w:id="104"/>
            <w:r>
              <w:rPr>
                <w:b/>
                <w:color w:val="auto"/>
                <w:szCs w:val="21"/>
              </w:rPr>
              <w:t>序号</w:t>
            </w:r>
          </w:p>
        </w:tc>
        <w:tc>
          <w:tcPr>
            <w:tcW w:w="1014" w:type="pct"/>
            <w:noWrap w:val="0"/>
            <w:vAlign w:val="center"/>
          </w:tcPr>
          <w:p w14:paraId="02F53A81">
            <w:pPr>
              <w:tabs>
                <w:tab w:val="left" w:pos="1080"/>
              </w:tabs>
              <w:jc w:val="center"/>
              <w:rPr>
                <w:b/>
                <w:color w:val="auto"/>
                <w:szCs w:val="21"/>
              </w:rPr>
            </w:pPr>
            <w:r>
              <w:rPr>
                <w:b/>
                <w:color w:val="auto"/>
                <w:szCs w:val="21"/>
              </w:rPr>
              <w:t>审查因素</w:t>
            </w:r>
          </w:p>
        </w:tc>
        <w:tc>
          <w:tcPr>
            <w:tcW w:w="2637" w:type="pct"/>
            <w:noWrap w:val="0"/>
            <w:vAlign w:val="center"/>
          </w:tcPr>
          <w:p w14:paraId="2CCB0225">
            <w:pPr>
              <w:tabs>
                <w:tab w:val="left" w:pos="1080"/>
              </w:tabs>
              <w:jc w:val="center"/>
              <w:rPr>
                <w:b/>
                <w:color w:val="auto"/>
                <w:szCs w:val="21"/>
              </w:rPr>
            </w:pPr>
            <w:r>
              <w:rPr>
                <w:b/>
                <w:color w:val="auto"/>
                <w:szCs w:val="21"/>
              </w:rPr>
              <w:t>审查内容</w:t>
            </w:r>
          </w:p>
        </w:tc>
        <w:tc>
          <w:tcPr>
            <w:tcW w:w="974" w:type="pct"/>
            <w:noWrap w:val="0"/>
            <w:vAlign w:val="center"/>
          </w:tcPr>
          <w:p w14:paraId="36BF7242">
            <w:pPr>
              <w:tabs>
                <w:tab w:val="left" w:pos="1080"/>
              </w:tabs>
              <w:jc w:val="center"/>
              <w:rPr>
                <w:b/>
                <w:color w:val="auto"/>
                <w:szCs w:val="21"/>
              </w:rPr>
            </w:pPr>
            <w:r>
              <w:rPr>
                <w:b/>
                <w:color w:val="auto"/>
                <w:szCs w:val="21"/>
              </w:rPr>
              <w:t>格式要求</w:t>
            </w:r>
          </w:p>
        </w:tc>
      </w:tr>
      <w:tr w14:paraId="14B61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noWrap w:val="0"/>
            <w:vAlign w:val="center"/>
          </w:tcPr>
          <w:p w14:paraId="56DD8653">
            <w:pPr>
              <w:tabs>
                <w:tab w:val="left" w:pos="1080"/>
              </w:tabs>
              <w:jc w:val="center"/>
              <w:rPr>
                <w:color w:val="auto"/>
                <w:szCs w:val="21"/>
              </w:rPr>
            </w:pPr>
            <w:r>
              <w:rPr>
                <w:color w:val="auto"/>
                <w:szCs w:val="21"/>
              </w:rPr>
              <w:t>1</w:t>
            </w:r>
          </w:p>
        </w:tc>
        <w:tc>
          <w:tcPr>
            <w:tcW w:w="1014" w:type="pct"/>
            <w:noWrap w:val="0"/>
            <w:vAlign w:val="center"/>
          </w:tcPr>
          <w:p w14:paraId="3EFE7FE4">
            <w:pPr>
              <w:tabs>
                <w:tab w:val="left" w:pos="1080"/>
              </w:tabs>
              <w:rPr>
                <w:color w:val="auto"/>
                <w:szCs w:val="21"/>
              </w:rPr>
            </w:pPr>
            <w:r>
              <w:rPr>
                <w:color w:val="auto"/>
                <w:szCs w:val="21"/>
              </w:rPr>
              <w:t>满足《中华人民共和国政府采购法》第二十二条规定及法律法规的其他规定</w:t>
            </w:r>
          </w:p>
        </w:tc>
        <w:tc>
          <w:tcPr>
            <w:tcW w:w="2637" w:type="pct"/>
            <w:noWrap w:val="0"/>
            <w:vAlign w:val="center"/>
          </w:tcPr>
          <w:p w14:paraId="406026B9">
            <w:pPr>
              <w:tabs>
                <w:tab w:val="left" w:pos="1080"/>
              </w:tabs>
              <w:rPr>
                <w:color w:val="auto"/>
                <w:szCs w:val="21"/>
              </w:rPr>
            </w:pPr>
            <w:r>
              <w:rPr>
                <w:color w:val="auto"/>
                <w:szCs w:val="21"/>
              </w:rPr>
              <w:t>具体规定见第一章《</w:t>
            </w:r>
            <w:r>
              <w:rPr>
                <w:rFonts w:hint="eastAsia"/>
                <w:color w:val="auto"/>
                <w:szCs w:val="21"/>
              </w:rPr>
              <w:t>投标邀请</w:t>
            </w:r>
            <w:r>
              <w:rPr>
                <w:color w:val="auto"/>
                <w:szCs w:val="21"/>
              </w:rPr>
              <w:t>》</w:t>
            </w:r>
          </w:p>
        </w:tc>
        <w:tc>
          <w:tcPr>
            <w:tcW w:w="974" w:type="pct"/>
            <w:noWrap w:val="0"/>
            <w:vAlign w:val="center"/>
          </w:tcPr>
          <w:p w14:paraId="16EF7434">
            <w:pPr>
              <w:tabs>
                <w:tab w:val="left" w:pos="1080"/>
              </w:tabs>
              <w:rPr>
                <w:color w:val="auto"/>
                <w:szCs w:val="21"/>
              </w:rPr>
            </w:pPr>
          </w:p>
        </w:tc>
      </w:tr>
      <w:tr w14:paraId="67A1E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5" w:type="pct"/>
            <w:noWrap w:val="0"/>
            <w:vAlign w:val="center"/>
          </w:tcPr>
          <w:p w14:paraId="30DE2C47">
            <w:pPr>
              <w:tabs>
                <w:tab w:val="left" w:pos="1080"/>
              </w:tabs>
              <w:jc w:val="center"/>
              <w:rPr>
                <w:color w:val="auto"/>
                <w:szCs w:val="21"/>
              </w:rPr>
            </w:pPr>
            <w:r>
              <w:rPr>
                <w:color w:val="auto"/>
                <w:szCs w:val="21"/>
              </w:rPr>
              <w:t>1-1</w:t>
            </w:r>
          </w:p>
        </w:tc>
        <w:tc>
          <w:tcPr>
            <w:tcW w:w="1014" w:type="pct"/>
            <w:noWrap w:val="0"/>
            <w:vAlign w:val="center"/>
          </w:tcPr>
          <w:p w14:paraId="26B7A1FB">
            <w:pPr>
              <w:tabs>
                <w:tab w:val="left" w:pos="1080"/>
              </w:tabs>
              <w:rPr>
                <w:color w:val="auto"/>
                <w:szCs w:val="21"/>
              </w:rPr>
            </w:pPr>
            <w:r>
              <w:rPr>
                <w:rFonts w:hint="eastAsia"/>
                <w:color w:val="auto"/>
                <w:szCs w:val="21"/>
              </w:rPr>
              <w:t>供应商资格声明函</w:t>
            </w:r>
          </w:p>
        </w:tc>
        <w:tc>
          <w:tcPr>
            <w:tcW w:w="2637" w:type="pct"/>
            <w:noWrap w:val="0"/>
            <w:vAlign w:val="center"/>
          </w:tcPr>
          <w:p w14:paraId="706689FC">
            <w:pPr>
              <w:tabs>
                <w:tab w:val="left" w:pos="1080"/>
              </w:tabs>
              <w:rPr>
                <w:color w:val="auto"/>
                <w:szCs w:val="21"/>
              </w:rPr>
            </w:pPr>
            <w:r>
              <w:rPr>
                <w:color w:val="auto"/>
                <w:szCs w:val="21"/>
              </w:rPr>
              <w:t>提供了符合</w:t>
            </w:r>
            <w:r>
              <w:rPr>
                <w:rFonts w:hint="eastAsia"/>
                <w:color w:val="auto"/>
                <w:szCs w:val="21"/>
              </w:rPr>
              <w:t>竞争性磋商文件</w:t>
            </w:r>
            <w:r>
              <w:rPr>
                <w:color w:val="auto"/>
                <w:szCs w:val="21"/>
              </w:rPr>
              <w:t>要求的《</w:t>
            </w:r>
            <w:r>
              <w:rPr>
                <w:rFonts w:hint="eastAsia"/>
                <w:color w:val="auto"/>
                <w:szCs w:val="21"/>
              </w:rPr>
              <w:t>供应商资格声明函</w:t>
            </w:r>
            <w:r>
              <w:rPr>
                <w:color w:val="auto"/>
                <w:szCs w:val="21"/>
              </w:rPr>
              <w:t>》。</w:t>
            </w:r>
          </w:p>
        </w:tc>
        <w:tc>
          <w:tcPr>
            <w:tcW w:w="974" w:type="pct"/>
            <w:noWrap w:val="0"/>
            <w:vAlign w:val="center"/>
          </w:tcPr>
          <w:p w14:paraId="6CFD1558">
            <w:pPr>
              <w:tabs>
                <w:tab w:val="left" w:pos="1080"/>
              </w:tabs>
              <w:rPr>
                <w:color w:val="auto"/>
                <w:szCs w:val="21"/>
              </w:rPr>
            </w:pPr>
            <w:r>
              <w:rPr>
                <w:color w:val="auto"/>
                <w:szCs w:val="21"/>
              </w:rPr>
              <w:t>格式见《</w:t>
            </w:r>
            <w:r>
              <w:rPr>
                <w:rFonts w:hint="eastAsia"/>
                <w:color w:val="auto"/>
                <w:szCs w:val="21"/>
              </w:rPr>
              <w:t>响应</w:t>
            </w:r>
            <w:r>
              <w:rPr>
                <w:color w:val="auto"/>
                <w:szCs w:val="21"/>
              </w:rPr>
              <w:t>文件格式》</w:t>
            </w:r>
          </w:p>
        </w:tc>
      </w:tr>
      <w:tr w14:paraId="3DA03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noWrap w:val="0"/>
            <w:vAlign w:val="center"/>
          </w:tcPr>
          <w:p w14:paraId="74B21F1F">
            <w:pPr>
              <w:tabs>
                <w:tab w:val="left" w:pos="1080"/>
              </w:tabs>
              <w:jc w:val="center"/>
              <w:rPr>
                <w:color w:val="auto"/>
                <w:szCs w:val="21"/>
              </w:rPr>
            </w:pPr>
            <w:r>
              <w:rPr>
                <w:rFonts w:hint="eastAsia"/>
                <w:color w:val="auto"/>
                <w:szCs w:val="21"/>
              </w:rPr>
              <w:t>1</w:t>
            </w:r>
            <w:r>
              <w:rPr>
                <w:color w:val="auto"/>
                <w:szCs w:val="21"/>
              </w:rPr>
              <w:t>-</w:t>
            </w:r>
            <w:r>
              <w:rPr>
                <w:rFonts w:hint="eastAsia"/>
                <w:color w:val="auto"/>
                <w:szCs w:val="21"/>
              </w:rPr>
              <w:t>2</w:t>
            </w:r>
          </w:p>
        </w:tc>
        <w:tc>
          <w:tcPr>
            <w:tcW w:w="1014" w:type="pct"/>
            <w:noWrap w:val="0"/>
            <w:vAlign w:val="center"/>
          </w:tcPr>
          <w:p w14:paraId="11689064">
            <w:pPr>
              <w:tabs>
                <w:tab w:val="left" w:pos="1080"/>
              </w:tabs>
              <w:rPr>
                <w:color w:val="auto"/>
                <w:szCs w:val="21"/>
              </w:rPr>
            </w:pPr>
            <w:r>
              <w:rPr>
                <w:color w:val="auto"/>
                <w:szCs w:val="21"/>
              </w:rPr>
              <w:t>供应商信用记录</w:t>
            </w:r>
          </w:p>
        </w:tc>
        <w:tc>
          <w:tcPr>
            <w:tcW w:w="2637" w:type="pct"/>
            <w:noWrap w:val="0"/>
            <w:vAlign w:val="center"/>
          </w:tcPr>
          <w:p w14:paraId="6172A325">
            <w:pPr>
              <w:tabs>
                <w:tab w:val="left" w:pos="900"/>
                <w:tab w:val="left" w:pos="1980"/>
              </w:tabs>
              <w:rPr>
                <w:color w:val="auto"/>
                <w:szCs w:val="21"/>
              </w:rPr>
            </w:pPr>
            <w:r>
              <w:rPr>
                <w:color w:val="auto"/>
                <w:szCs w:val="21"/>
              </w:rPr>
              <w:t>查询渠道：信用中国网站和中国政府采购网（www.creditchina.gov.cn、www.ccgp.gov.cn）；</w:t>
            </w:r>
          </w:p>
          <w:p w14:paraId="692AF306">
            <w:pPr>
              <w:tabs>
                <w:tab w:val="left" w:pos="900"/>
                <w:tab w:val="left" w:pos="1980"/>
              </w:tabs>
              <w:rPr>
                <w:color w:val="auto"/>
                <w:szCs w:val="21"/>
              </w:rPr>
            </w:pPr>
            <w:r>
              <w:rPr>
                <w:color w:val="auto"/>
                <w:szCs w:val="21"/>
              </w:rPr>
              <w:t>截止时点：提交响应文件截止时间以后、</w:t>
            </w:r>
            <w:r>
              <w:rPr>
                <w:rFonts w:hint="eastAsia"/>
                <w:color w:val="auto"/>
                <w:szCs w:val="21"/>
              </w:rPr>
              <w:t>资格审查阶段采购人或采购代理机构</w:t>
            </w:r>
            <w:r>
              <w:rPr>
                <w:color w:val="auto"/>
                <w:szCs w:val="21"/>
              </w:rPr>
              <w:t>的实际查询时间；</w:t>
            </w:r>
          </w:p>
          <w:p w14:paraId="008FE155">
            <w:pPr>
              <w:tabs>
                <w:tab w:val="left" w:pos="900"/>
                <w:tab w:val="left" w:pos="1980"/>
              </w:tabs>
              <w:rPr>
                <w:color w:val="auto"/>
                <w:szCs w:val="21"/>
              </w:rPr>
            </w:pPr>
            <w:r>
              <w:rPr>
                <w:color w:val="auto"/>
                <w:szCs w:val="21"/>
              </w:rPr>
              <w:t>信用信息查询记录和证据留存具体方式：查询结果网页打印页作为查询记录和证据，与其他竞争性磋商文件一并保存；</w:t>
            </w:r>
          </w:p>
          <w:p w14:paraId="5D915A2D">
            <w:pPr>
              <w:tabs>
                <w:tab w:val="left" w:pos="1080"/>
              </w:tabs>
              <w:rPr>
                <w:color w:val="auto"/>
                <w:szCs w:val="21"/>
              </w:rPr>
            </w:pPr>
            <w:r>
              <w:rPr>
                <w:color w:val="auto"/>
                <w:szCs w:val="21"/>
              </w:rPr>
              <w:t>信用信息的使用原则：经认定的被列入失信被执行人、重大税收违法案件当事人名单、政府采购严重违法失信行为记录名单的供应商，其</w:t>
            </w:r>
            <w:r>
              <w:rPr>
                <w:b/>
                <w:color w:val="auto"/>
                <w:szCs w:val="21"/>
              </w:rPr>
              <w:t>响应无效</w:t>
            </w:r>
            <w:r>
              <w:rPr>
                <w:color w:val="auto"/>
                <w:szCs w:val="21"/>
              </w:rPr>
              <w:t>。联合体形式响应的，联合体成员存在不良信用记录，视同联合体存在不良信用记录。</w:t>
            </w:r>
          </w:p>
        </w:tc>
        <w:tc>
          <w:tcPr>
            <w:tcW w:w="974" w:type="pct"/>
            <w:noWrap w:val="0"/>
            <w:vAlign w:val="center"/>
          </w:tcPr>
          <w:p w14:paraId="33F2D615">
            <w:pPr>
              <w:tabs>
                <w:tab w:val="left" w:pos="1080"/>
              </w:tabs>
              <w:rPr>
                <w:color w:val="auto"/>
                <w:szCs w:val="21"/>
              </w:rPr>
            </w:pPr>
            <w:r>
              <w:rPr>
                <w:rFonts w:hint="eastAsia"/>
                <w:color w:val="auto"/>
                <w:szCs w:val="21"/>
              </w:rPr>
              <w:t>提供查询截图或报告</w:t>
            </w:r>
            <w:r>
              <w:rPr>
                <w:color w:val="auto"/>
                <w:szCs w:val="21"/>
              </w:rPr>
              <w:t>。</w:t>
            </w:r>
          </w:p>
        </w:tc>
      </w:tr>
      <w:tr w14:paraId="4E888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noWrap w:val="0"/>
            <w:vAlign w:val="center"/>
          </w:tcPr>
          <w:p w14:paraId="7AAC435F">
            <w:pPr>
              <w:tabs>
                <w:tab w:val="left" w:pos="1080"/>
              </w:tabs>
              <w:jc w:val="center"/>
              <w:rPr>
                <w:color w:val="auto"/>
                <w:szCs w:val="21"/>
              </w:rPr>
            </w:pPr>
            <w:r>
              <w:rPr>
                <w:color w:val="auto"/>
                <w:szCs w:val="21"/>
              </w:rPr>
              <w:t>2</w:t>
            </w:r>
          </w:p>
        </w:tc>
        <w:tc>
          <w:tcPr>
            <w:tcW w:w="1014" w:type="pct"/>
            <w:noWrap w:val="0"/>
            <w:vAlign w:val="center"/>
          </w:tcPr>
          <w:p w14:paraId="23E483B1">
            <w:pPr>
              <w:tabs>
                <w:tab w:val="left" w:pos="1080"/>
              </w:tabs>
              <w:rPr>
                <w:color w:val="auto"/>
                <w:szCs w:val="21"/>
              </w:rPr>
            </w:pPr>
            <w:r>
              <w:rPr>
                <w:color w:val="auto"/>
                <w:szCs w:val="21"/>
              </w:rPr>
              <w:t>落实政府采购政策需满足的资格要求</w:t>
            </w:r>
          </w:p>
        </w:tc>
        <w:tc>
          <w:tcPr>
            <w:tcW w:w="2637" w:type="pct"/>
            <w:noWrap w:val="0"/>
            <w:vAlign w:val="center"/>
          </w:tcPr>
          <w:p w14:paraId="24C684CF">
            <w:pPr>
              <w:tabs>
                <w:tab w:val="left" w:pos="1080"/>
              </w:tabs>
              <w:rPr>
                <w:color w:val="auto"/>
                <w:szCs w:val="21"/>
              </w:rPr>
            </w:pPr>
            <w:r>
              <w:rPr>
                <w:color w:val="auto"/>
                <w:szCs w:val="21"/>
              </w:rPr>
              <w:t>具体要求见第一章《</w:t>
            </w:r>
            <w:r>
              <w:rPr>
                <w:rFonts w:hint="eastAsia"/>
                <w:color w:val="auto"/>
                <w:szCs w:val="21"/>
              </w:rPr>
              <w:t>投标邀请</w:t>
            </w:r>
            <w:r>
              <w:rPr>
                <w:color w:val="auto"/>
                <w:szCs w:val="21"/>
              </w:rPr>
              <w:t>》</w:t>
            </w:r>
          </w:p>
        </w:tc>
        <w:tc>
          <w:tcPr>
            <w:tcW w:w="974" w:type="pct"/>
            <w:noWrap w:val="0"/>
            <w:vAlign w:val="center"/>
          </w:tcPr>
          <w:p w14:paraId="24AB0973">
            <w:pPr>
              <w:tabs>
                <w:tab w:val="left" w:pos="1080"/>
              </w:tabs>
              <w:rPr>
                <w:color w:val="auto"/>
                <w:szCs w:val="21"/>
              </w:rPr>
            </w:pPr>
          </w:p>
        </w:tc>
      </w:tr>
      <w:tr w14:paraId="713D2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noWrap w:val="0"/>
            <w:vAlign w:val="center"/>
          </w:tcPr>
          <w:p w14:paraId="6F59374A">
            <w:pPr>
              <w:tabs>
                <w:tab w:val="left" w:pos="1080"/>
              </w:tabs>
              <w:jc w:val="center"/>
              <w:rPr>
                <w:color w:val="auto"/>
                <w:szCs w:val="21"/>
              </w:rPr>
            </w:pPr>
            <w:r>
              <w:rPr>
                <w:color w:val="auto"/>
                <w:szCs w:val="21"/>
              </w:rPr>
              <w:t>2-1</w:t>
            </w:r>
          </w:p>
        </w:tc>
        <w:tc>
          <w:tcPr>
            <w:tcW w:w="1014" w:type="pct"/>
            <w:noWrap w:val="0"/>
            <w:vAlign w:val="center"/>
          </w:tcPr>
          <w:p w14:paraId="796C6482">
            <w:pPr>
              <w:tabs>
                <w:tab w:val="left" w:pos="1080"/>
              </w:tabs>
              <w:rPr>
                <w:color w:val="auto"/>
                <w:szCs w:val="21"/>
              </w:rPr>
            </w:pPr>
            <w:r>
              <w:rPr>
                <w:color w:val="auto"/>
                <w:szCs w:val="21"/>
              </w:rPr>
              <w:t>中小企业声明函</w:t>
            </w:r>
          </w:p>
        </w:tc>
        <w:tc>
          <w:tcPr>
            <w:tcW w:w="2637" w:type="pct"/>
            <w:noWrap w:val="0"/>
            <w:vAlign w:val="center"/>
          </w:tcPr>
          <w:p w14:paraId="2E25B25E">
            <w:pPr>
              <w:tabs>
                <w:tab w:val="left" w:pos="1080"/>
              </w:tabs>
              <w:rPr>
                <w:bCs/>
                <w:color w:val="auto"/>
                <w:szCs w:val="21"/>
              </w:rPr>
            </w:pPr>
            <w:r>
              <w:rPr>
                <w:rFonts w:hint="eastAsia"/>
                <w:bCs/>
                <w:color w:val="auto"/>
                <w:szCs w:val="21"/>
              </w:rPr>
              <w:t>1、供应商如为中小企业，须提供中小企业声明函，如为监狱企业或残疾人福利性单位，不必提供中小企业声明函，但须按注1或注2要求提供证明材料。</w:t>
            </w:r>
          </w:p>
          <w:p w14:paraId="41CB09A1">
            <w:pPr>
              <w:tabs>
                <w:tab w:val="left" w:pos="1080"/>
              </w:tabs>
              <w:rPr>
                <w:bCs/>
                <w:color w:val="auto"/>
                <w:szCs w:val="21"/>
              </w:rPr>
            </w:pPr>
            <w:r>
              <w:rPr>
                <w:rFonts w:hint="eastAsia"/>
                <w:bCs/>
                <w:color w:val="auto"/>
                <w:szCs w:val="21"/>
              </w:rPr>
              <w:t>注1：监狱企业须提供由省级以上监狱管理局（常州市含教育矫治局）、戒毒管理局（含新疆生产建设兵团）出具的属于监狱企业的证明文件。</w:t>
            </w:r>
          </w:p>
          <w:p w14:paraId="1502C526">
            <w:pPr>
              <w:tabs>
                <w:tab w:val="left" w:pos="1080"/>
              </w:tabs>
              <w:rPr>
                <w:b/>
                <w:color w:val="auto"/>
                <w:szCs w:val="21"/>
              </w:rPr>
            </w:pPr>
            <w:r>
              <w:rPr>
                <w:rFonts w:hint="eastAsia"/>
                <w:bCs/>
                <w:color w:val="auto"/>
                <w:szCs w:val="21"/>
              </w:rPr>
              <w:t>注2：残疾人福利性单位须按磋商文件要求提供《残疾人福利性单位声明函》。</w:t>
            </w:r>
          </w:p>
        </w:tc>
        <w:tc>
          <w:tcPr>
            <w:tcW w:w="974" w:type="pct"/>
            <w:noWrap w:val="0"/>
            <w:vAlign w:val="center"/>
          </w:tcPr>
          <w:p w14:paraId="2C9CBD38">
            <w:pPr>
              <w:tabs>
                <w:tab w:val="left" w:pos="1080"/>
              </w:tabs>
              <w:rPr>
                <w:color w:val="auto"/>
                <w:szCs w:val="21"/>
              </w:rPr>
            </w:pPr>
            <w:r>
              <w:rPr>
                <w:color w:val="auto"/>
                <w:szCs w:val="21"/>
              </w:rPr>
              <w:t>格式见《响应文件格式》</w:t>
            </w:r>
          </w:p>
        </w:tc>
      </w:tr>
      <w:tr w14:paraId="58A0F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noWrap w:val="0"/>
            <w:vAlign w:val="center"/>
          </w:tcPr>
          <w:p w14:paraId="23B848A9">
            <w:pPr>
              <w:tabs>
                <w:tab w:val="left" w:pos="1080"/>
              </w:tabs>
              <w:jc w:val="center"/>
              <w:rPr>
                <w:color w:val="auto"/>
                <w:szCs w:val="21"/>
              </w:rPr>
            </w:pPr>
            <w:r>
              <w:rPr>
                <w:rFonts w:hint="eastAsia"/>
                <w:color w:val="auto"/>
                <w:szCs w:val="21"/>
              </w:rPr>
              <w:t>3</w:t>
            </w:r>
          </w:p>
        </w:tc>
        <w:tc>
          <w:tcPr>
            <w:tcW w:w="1014" w:type="pct"/>
            <w:noWrap w:val="0"/>
            <w:vAlign w:val="center"/>
          </w:tcPr>
          <w:p w14:paraId="6680332E">
            <w:pPr>
              <w:rPr>
                <w:color w:val="auto"/>
                <w:szCs w:val="21"/>
              </w:rPr>
            </w:pPr>
            <w:r>
              <w:rPr>
                <w:rFonts w:hint="eastAsia"/>
                <w:color w:val="auto"/>
                <w:szCs w:val="21"/>
              </w:rPr>
              <w:t>本项目的特定条件</w:t>
            </w:r>
          </w:p>
        </w:tc>
        <w:tc>
          <w:tcPr>
            <w:tcW w:w="2637" w:type="pct"/>
            <w:noWrap w:val="0"/>
          </w:tcPr>
          <w:p w14:paraId="29FBED82">
            <w:pPr>
              <w:rPr>
                <w:color w:val="auto"/>
                <w:szCs w:val="21"/>
              </w:rPr>
            </w:pPr>
            <w:r>
              <w:rPr>
                <w:color w:val="auto"/>
                <w:szCs w:val="21"/>
              </w:rPr>
              <w:t>具体要求见第一章《</w:t>
            </w:r>
            <w:r>
              <w:rPr>
                <w:rFonts w:hint="eastAsia"/>
                <w:color w:val="auto"/>
                <w:szCs w:val="21"/>
              </w:rPr>
              <w:t>投标邀请</w:t>
            </w:r>
            <w:r>
              <w:rPr>
                <w:color w:val="auto"/>
                <w:szCs w:val="21"/>
              </w:rPr>
              <w:t>》</w:t>
            </w:r>
          </w:p>
        </w:tc>
        <w:tc>
          <w:tcPr>
            <w:tcW w:w="974" w:type="pct"/>
            <w:noWrap w:val="0"/>
            <w:vAlign w:val="center"/>
          </w:tcPr>
          <w:p w14:paraId="473474D5">
            <w:pPr>
              <w:rPr>
                <w:color w:val="auto"/>
                <w:szCs w:val="21"/>
              </w:rPr>
            </w:pPr>
          </w:p>
        </w:tc>
      </w:tr>
      <w:tr w14:paraId="40350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noWrap w:val="0"/>
            <w:vAlign w:val="center"/>
          </w:tcPr>
          <w:p w14:paraId="18B5E5B9">
            <w:pPr>
              <w:tabs>
                <w:tab w:val="left" w:pos="1080"/>
              </w:tabs>
              <w:jc w:val="center"/>
              <w:rPr>
                <w:color w:val="auto"/>
                <w:szCs w:val="21"/>
              </w:rPr>
            </w:pPr>
            <w:r>
              <w:rPr>
                <w:rFonts w:hint="eastAsia"/>
                <w:color w:val="auto"/>
                <w:szCs w:val="21"/>
              </w:rPr>
              <w:t>3-1</w:t>
            </w:r>
          </w:p>
        </w:tc>
        <w:tc>
          <w:tcPr>
            <w:tcW w:w="1014" w:type="pct"/>
            <w:noWrap w:val="0"/>
            <w:vAlign w:val="center"/>
          </w:tcPr>
          <w:p w14:paraId="4D990FEF">
            <w:pPr>
              <w:rPr>
                <w:color w:val="auto"/>
                <w:szCs w:val="21"/>
              </w:rPr>
            </w:pPr>
            <w:r>
              <w:rPr>
                <w:color w:val="auto"/>
                <w:szCs w:val="21"/>
              </w:rPr>
              <w:t>其他特定资格要求</w:t>
            </w:r>
          </w:p>
        </w:tc>
        <w:tc>
          <w:tcPr>
            <w:tcW w:w="2637" w:type="pct"/>
            <w:noWrap w:val="0"/>
          </w:tcPr>
          <w:p w14:paraId="70B898A4">
            <w:pPr>
              <w:rPr>
                <w:rFonts w:hint="eastAsia" w:ascii="宋体" w:hAnsi="宋体"/>
                <w:color w:val="auto"/>
                <w:szCs w:val="21"/>
              </w:rPr>
            </w:pPr>
            <w:r>
              <w:rPr>
                <w:rFonts w:hint="eastAsia" w:ascii="宋体" w:hAnsi="宋体"/>
                <w:color w:val="auto"/>
                <w:szCs w:val="21"/>
              </w:rPr>
              <w:t>1、申请供应商须在溧阳市范围内具有固定的汽车维修经营场所。</w:t>
            </w:r>
          </w:p>
          <w:p w14:paraId="083ECFB4">
            <w:pPr>
              <w:rPr>
                <w:rFonts w:hint="eastAsia" w:ascii="宋体" w:hAnsi="宋体"/>
                <w:color w:val="auto"/>
                <w:szCs w:val="21"/>
              </w:rPr>
            </w:pPr>
            <w:r>
              <w:rPr>
                <w:rFonts w:hint="eastAsia" w:ascii="宋体" w:hAnsi="宋体"/>
                <w:color w:val="auto"/>
                <w:szCs w:val="21"/>
              </w:rPr>
              <w:t>2、申请供应商须具有溧阳市注册汽车维修营业执照。</w:t>
            </w:r>
          </w:p>
          <w:p w14:paraId="578621D2">
            <w:pPr>
              <w:rPr>
                <w:rFonts w:ascii="宋体" w:hAnsi="宋体"/>
                <w:color w:val="auto"/>
                <w:szCs w:val="21"/>
              </w:rPr>
            </w:pPr>
            <w:r>
              <w:rPr>
                <w:rFonts w:hint="eastAsia" w:ascii="宋体" w:hAnsi="宋体"/>
                <w:color w:val="auto"/>
                <w:szCs w:val="21"/>
              </w:rPr>
              <w:t>3、申请供应商须具有一类汽车维修资格（品牌汽车4S店可放宽至二类汽车维修资格）。</w:t>
            </w:r>
          </w:p>
        </w:tc>
        <w:tc>
          <w:tcPr>
            <w:tcW w:w="974" w:type="pct"/>
            <w:noWrap w:val="0"/>
            <w:vAlign w:val="center"/>
          </w:tcPr>
          <w:p w14:paraId="2E6A0E72">
            <w:pPr>
              <w:rPr>
                <w:color w:val="auto"/>
                <w:szCs w:val="21"/>
              </w:rPr>
            </w:pPr>
            <w:r>
              <w:rPr>
                <w:rFonts w:hint="eastAsia"/>
                <w:color w:val="auto"/>
                <w:szCs w:val="21"/>
              </w:rPr>
              <w:t>须提供相关证明材料</w:t>
            </w:r>
          </w:p>
        </w:tc>
      </w:tr>
    </w:tbl>
    <w:p w14:paraId="28F9DB5B">
      <w:pPr>
        <w:pStyle w:val="325"/>
        <w:tabs>
          <w:tab w:val="left" w:pos="360"/>
          <w:tab w:val="left" w:pos="900"/>
        </w:tabs>
        <w:spacing w:line="360" w:lineRule="auto"/>
        <w:ind w:firstLine="422"/>
        <w:outlineLvl w:val="1"/>
        <w:rPr>
          <w:b/>
          <w:color w:val="auto"/>
          <w:szCs w:val="21"/>
        </w:rPr>
      </w:pPr>
      <w:bookmarkStart w:id="105" w:name="_Hlk191998338"/>
    </w:p>
    <w:p w14:paraId="608AAF59">
      <w:pPr>
        <w:pStyle w:val="325"/>
        <w:tabs>
          <w:tab w:val="left" w:pos="360"/>
          <w:tab w:val="left" w:pos="900"/>
        </w:tabs>
        <w:spacing w:line="360" w:lineRule="auto"/>
        <w:ind w:firstLine="422"/>
        <w:outlineLvl w:val="1"/>
        <w:rPr>
          <w:b/>
          <w:color w:val="auto"/>
          <w:szCs w:val="21"/>
        </w:rPr>
      </w:pPr>
      <w:r>
        <w:rPr>
          <w:rFonts w:hint="eastAsia"/>
          <w:b/>
          <w:color w:val="auto"/>
          <w:szCs w:val="21"/>
        </w:rPr>
        <w:t>二、符合审查程序</w:t>
      </w:r>
      <w:bookmarkEnd w:id="105"/>
    </w:p>
    <w:p w14:paraId="398A06B1">
      <w:pPr>
        <w:tabs>
          <w:tab w:val="left" w:pos="360"/>
        </w:tabs>
        <w:spacing w:line="360" w:lineRule="auto"/>
        <w:outlineLvl w:val="1"/>
        <w:rPr>
          <w:rFonts w:ascii="宋体" w:hAnsi="宋体"/>
          <w:color w:val="auto"/>
          <w:szCs w:val="21"/>
        </w:rPr>
      </w:pPr>
      <w:r>
        <w:rPr>
          <w:rFonts w:ascii="宋体" w:hAnsi="宋体"/>
          <w:color w:val="auto"/>
          <w:szCs w:val="21"/>
        </w:rPr>
        <w:tab/>
      </w:r>
      <w:r>
        <w:rPr>
          <w:rFonts w:hint="eastAsia" w:ascii="宋体" w:hAnsi="宋体"/>
          <w:color w:val="auto"/>
          <w:szCs w:val="21"/>
        </w:rPr>
        <w:t>1.</w:t>
      </w:r>
      <w:r>
        <w:rPr>
          <w:rFonts w:hint="eastAsia" w:ascii="宋体" w:hAnsi="宋体"/>
          <w:color w:val="auto"/>
        </w:rPr>
        <w:t xml:space="preserve"> </w:t>
      </w:r>
      <w:r>
        <w:rPr>
          <w:rFonts w:hint="eastAsia" w:ascii="宋体" w:hAnsi="宋体"/>
          <w:color w:val="auto"/>
          <w:szCs w:val="21"/>
        </w:rPr>
        <w:t>评标委员会对资格审查合格的投标人的投标文件进行符合性审查，以确定其是否满足征集文件的实质性要求。</w:t>
      </w:r>
    </w:p>
    <w:p w14:paraId="648CCEF6">
      <w:pPr>
        <w:tabs>
          <w:tab w:val="left" w:pos="360"/>
        </w:tabs>
        <w:spacing w:line="360" w:lineRule="auto"/>
        <w:ind w:firstLine="360"/>
        <w:outlineLvl w:val="1"/>
        <w:rPr>
          <w:color w:val="auto"/>
          <w:szCs w:val="21"/>
        </w:rPr>
      </w:pPr>
      <w:r>
        <w:rPr>
          <w:rFonts w:hint="eastAsia" w:ascii="宋体" w:hAnsi="宋体"/>
          <w:color w:val="auto"/>
          <w:szCs w:val="21"/>
        </w:rPr>
        <w:t>2．</w:t>
      </w:r>
      <w:r>
        <w:rPr>
          <w:rFonts w:hint="eastAsia"/>
          <w:color w:val="auto"/>
          <w:szCs w:val="21"/>
        </w:rPr>
        <w:t>评标委员会对投标人的投标文件是否实质上响应征集文件进行符合性审查，并形成符合性审查评审结果。投标文件出现“符合性审查要求”有任何一项的，将作为无效投标文件处理，无效投标文件不予参加评审。</w:t>
      </w:r>
    </w:p>
    <w:p w14:paraId="3396C94D">
      <w:pPr>
        <w:tabs>
          <w:tab w:val="left" w:pos="900"/>
          <w:tab w:val="left" w:pos="1080"/>
          <w:tab w:val="left" w:pos="1589"/>
        </w:tabs>
        <w:spacing w:line="360" w:lineRule="auto"/>
        <w:ind w:left="-45" w:hanging="312"/>
        <w:jc w:val="center"/>
        <w:rPr>
          <w:b/>
          <w:color w:val="auto"/>
          <w:szCs w:val="21"/>
        </w:rPr>
      </w:pPr>
      <w:r>
        <w:rPr>
          <w:b/>
          <w:color w:val="auto"/>
          <w:szCs w:val="21"/>
        </w:rPr>
        <w:t>符合性审查</w:t>
      </w:r>
      <w:r>
        <w:rPr>
          <w:rFonts w:hint="eastAsia"/>
          <w:b/>
          <w:color w:val="auto"/>
          <w:szCs w:val="21"/>
        </w:rPr>
        <w:t>要求</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923"/>
        <w:gridCol w:w="7142"/>
      </w:tblGrid>
      <w:tr w14:paraId="69F2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1" w:type="pct"/>
            <w:noWrap w:val="0"/>
            <w:vAlign w:val="center"/>
          </w:tcPr>
          <w:p w14:paraId="3937A4D3">
            <w:pPr>
              <w:widowControl/>
              <w:jc w:val="center"/>
              <w:rPr>
                <w:b/>
                <w:color w:val="auto"/>
                <w:szCs w:val="21"/>
              </w:rPr>
            </w:pPr>
            <w:r>
              <w:rPr>
                <w:b/>
                <w:color w:val="auto"/>
                <w:szCs w:val="21"/>
              </w:rPr>
              <w:t>序号</w:t>
            </w:r>
          </w:p>
        </w:tc>
        <w:tc>
          <w:tcPr>
            <w:tcW w:w="975" w:type="pct"/>
            <w:noWrap w:val="0"/>
            <w:vAlign w:val="center"/>
          </w:tcPr>
          <w:p w14:paraId="13D5D74E">
            <w:pPr>
              <w:widowControl/>
              <w:jc w:val="center"/>
              <w:rPr>
                <w:b/>
                <w:color w:val="auto"/>
                <w:szCs w:val="21"/>
              </w:rPr>
            </w:pPr>
            <w:r>
              <w:rPr>
                <w:b/>
                <w:color w:val="auto"/>
                <w:szCs w:val="21"/>
              </w:rPr>
              <w:t>审查因素</w:t>
            </w:r>
          </w:p>
        </w:tc>
        <w:tc>
          <w:tcPr>
            <w:tcW w:w="3622" w:type="pct"/>
            <w:noWrap w:val="0"/>
            <w:vAlign w:val="center"/>
          </w:tcPr>
          <w:p w14:paraId="0D158BD5">
            <w:pPr>
              <w:widowControl/>
              <w:jc w:val="center"/>
              <w:rPr>
                <w:b/>
                <w:color w:val="auto"/>
                <w:szCs w:val="21"/>
              </w:rPr>
            </w:pPr>
            <w:r>
              <w:rPr>
                <w:b/>
                <w:color w:val="auto"/>
                <w:szCs w:val="21"/>
              </w:rPr>
              <w:t>审查内容</w:t>
            </w:r>
          </w:p>
        </w:tc>
      </w:tr>
      <w:tr w14:paraId="328D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66706A84">
            <w:pPr>
              <w:widowControl/>
              <w:jc w:val="center"/>
              <w:rPr>
                <w:color w:val="auto"/>
                <w:szCs w:val="21"/>
              </w:rPr>
            </w:pPr>
            <w:r>
              <w:rPr>
                <w:color w:val="auto"/>
                <w:szCs w:val="21"/>
              </w:rPr>
              <w:t>1</w:t>
            </w:r>
          </w:p>
        </w:tc>
        <w:tc>
          <w:tcPr>
            <w:tcW w:w="975" w:type="pct"/>
            <w:noWrap w:val="0"/>
            <w:vAlign w:val="center"/>
          </w:tcPr>
          <w:p w14:paraId="097E7501">
            <w:pPr>
              <w:widowControl/>
              <w:jc w:val="left"/>
              <w:rPr>
                <w:color w:val="auto"/>
                <w:szCs w:val="21"/>
              </w:rPr>
            </w:pPr>
            <w:r>
              <w:rPr>
                <w:rFonts w:hint="eastAsia"/>
                <w:color w:val="auto"/>
                <w:szCs w:val="21"/>
              </w:rPr>
              <w:t>投标函、法定代表人资格证明书和政府采购供应商信用承诺书</w:t>
            </w:r>
          </w:p>
        </w:tc>
        <w:tc>
          <w:tcPr>
            <w:tcW w:w="3622" w:type="pct"/>
            <w:noWrap w:val="0"/>
            <w:vAlign w:val="center"/>
          </w:tcPr>
          <w:p w14:paraId="2394B822">
            <w:pPr>
              <w:widowControl/>
              <w:jc w:val="left"/>
              <w:rPr>
                <w:color w:val="auto"/>
                <w:szCs w:val="21"/>
              </w:rPr>
            </w:pPr>
            <w:r>
              <w:rPr>
                <w:color w:val="auto"/>
                <w:szCs w:val="21"/>
              </w:rPr>
              <w:t>按</w:t>
            </w:r>
            <w:r>
              <w:rPr>
                <w:rFonts w:hint="eastAsia"/>
                <w:color w:val="auto"/>
                <w:szCs w:val="21"/>
              </w:rPr>
              <w:t>征集</w:t>
            </w:r>
            <w:r>
              <w:rPr>
                <w:color w:val="auto"/>
                <w:szCs w:val="21"/>
              </w:rPr>
              <w:t>文件要求提供</w:t>
            </w:r>
            <w:r>
              <w:rPr>
                <w:rFonts w:hint="eastAsia"/>
                <w:color w:val="auto"/>
                <w:szCs w:val="21"/>
              </w:rPr>
              <w:t>投标函、法定代表人资格证明书和政府采购供应商信用承诺书</w:t>
            </w:r>
            <w:r>
              <w:rPr>
                <w:color w:val="auto"/>
                <w:szCs w:val="21"/>
              </w:rPr>
              <w:t>；</w:t>
            </w:r>
          </w:p>
        </w:tc>
      </w:tr>
      <w:tr w14:paraId="7728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4CFEF531">
            <w:pPr>
              <w:widowControl/>
              <w:jc w:val="center"/>
              <w:rPr>
                <w:color w:val="auto"/>
                <w:szCs w:val="21"/>
              </w:rPr>
            </w:pPr>
            <w:r>
              <w:rPr>
                <w:color w:val="auto"/>
                <w:szCs w:val="21"/>
              </w:rPr>
              <w:t>2</w:t>
            </w:r>
          </w:p>
        </w:tc>
        <w:tc>
          <w:tcPr>
            <w:tcW w:w="975" w:type="pct"/>
            <w:noWrap w:val="0"/>
            <w:vAlign w:val="center"/>
          </w:tcPr>
          <w:p w14:paraId="007BCC91">
            <w:pPr>
              <w:widowControl/>
              <w:jc w:val="left"/>
              <w:rPr>
                <w:color w:val="auto"/>
                <w:szCs w:val="21"/>
              </w:rPr>
            </w:pPr>
            <w:r>
              <w:rPr>
                <w:color w:val="auto"/>
                <w:szCs w:val="21"/>
              </w:rPr>
              <w:t>投标完整性</w:t>
            </w:r>
          </w:p>
        </w:tc>
        <w:tc>
          <w:tcPr>
            <w:tcW w:w="3622" w:type="pct"/>
            <w:noWrap w:val="0"/>
            <w:vAlign w:val="center"/>
          </w:tcPr>
          <w:p w14:paraId="4BE4E182">
            <w:pPr>
              <w:widowControl/>
              <w:jc w:val="left"/>
              <w:rPr>
                <w:color w:val="auto"/>
                <w:szCs w:val="21"/>
              </w:rPr>
            </w:pPr>
            <w:r>
              <w:rPr>
                <w:rFonts w:hint="eastAsia"/>
                <w:color w:val="auto"/>
                <w:szCs w:val="21"/>
              </w:rPr>
              <w:t>未</w:t>
            </w:r>
            <w:r>
              <w:rPr>
                <w:color w:val="auto"/>
                <w:szCs w:val="21"/>
              </w:rPr>
              <w:t>将一个采购包中的内容拆开投标；</w:t>
            </w:r>
          </w:p>
        </w:tc>
      </w:tr>
      <w:tr w14:paraId="6037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49242EA4">
            <w:pPr>
              <w:widowControl/>
              <w:jc w:val="center"/>
              <w:rPr>
                <w:color w:val="auto"/>
                <w:szCs w:val="21"/>
              </w:rPr>
            </w:pPr>
            <w:r>
              <w:rPr>
                <w:color w:val="auto"/>
                <w:szCs w:val="21"/>
              </w:rPr>
              <w:t>3</w:t>
            </w:r>
          </w:p>
        </w:tc>
        <w:tc>
          <w:tcPr>
            <w:tcW w:w="975" w:type="pct"/>
            <w:noWrap w:val="0"/>
            <w:vAlign w:val="center"/>
          </w:tcPr>
          <w:p w14:paraId="6593667E">
            <w:pPr>
              <w:widowControl/>
              <w:jc w:val="left"/>
              <w:rPr>
                <w:color w:val="auto"/>
                <w:szCs w:val="21"/>
              </w:rPr>
            </w:pPr>
            <w:r>
              <w:rPr>
                <w:color w:val="auto"/>
                <w:szCs w:val="21"/>
              </w:rPr>
              <w:t>投标报价</w:t>
            </w:r>
          </w:p>
        </w:tc>
        <w:tc>
          <w:tcPr>
            <w:tcW w:w="3622" w:type="pct"/>
            <w:noWrap w:val="0"/>
            <w:vAlign w:val="center"/>
          </w:tcPr>
          <w:p w14:paraId="4822B3E6">
            <w:pPr>
              <w:widowControl/>
              <w:jc w:val="left"/>
              <w:rPr>
                <w:color w:val="auto"/>
                <w:szCs w:val="21"/>
              </w:rPr>
            </w:pPr>
            <w:r>
              <w:rPr>
                <w:color w:val="auto"/>
                <w:szCs w:val="21"/>
              </w:rPr>
              <w:t>投标报价</w:t>
            </w:r>
            <w:r>
              <w:rPr>
                <w:rFonts w:hint="eastAsia"/>
                <w:color w:val="auto"/>
                <w:szCs w:val="21"/>
              </w:rPr>
              <w:t>未</w:t>
            </w:r>
            <w:r>
              <w:rPr>
                <w:color w:val="auto"/>
                <w:szCs w:val="21"/>
              </w:rPr>
              <w:t>超过招标文件中规定的项目/采购包预算金额或者项目/采购包最高限价；</w:t>
            </w:r>
          </w:p>
        </w:tc>
      </w:tr>
      <w:tr w14:paraId="1353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1EB1F890">
            <w:pPr>
              <w:widowControl/>
              <w:jc w:val="center"/>
              <w:rPr>
                <w:color w:val="auto"/>
                <w:szCs w:val="21"/>
              </w:rPr>
            </w:pPr>
            <w:r>
              <w:rPr>
                <w:color w:val="auto"/>
                <w:szCs w:val="21"/>
              </w:rPr>
              <w:t>4</w:t>
            </w:r>
          </w:p>
        </w:tc>
        <w:tc>
          <w:tcPr>
            <w:tcW w:w="975" w:type="pct"/>
            <w:noWrap w:val="0"/>
            <w:vAlign w:val="center"/>
          </w:tcPr>
          <w:p w14:paraId="3C345E31">
            <w:pPr>
              <w:widowControl/>
              <w:jc w:val="left"/>
              <w:rPr>
                <w:color w:val="auto"/>
                <w:szCs w:val="21"/>
              </w:rPr>
            </w:pPr>
            <w:r>
              <w:rPr>
                <w:color w:val="auto"/>
                <w:szCs w:val="21"/>
              </w:rPr>
              <w:t>报价唯一性</w:t>
            </w:r>
          </w:p>
        </w:tc>
        <w:tc>
          <w:tcPr>
            <w:tcW w:w="3622" w:type="pct"/>
            <w:noWrap w:val="0"/>
            <w:vAlign w:val="center"/>
          </w:tcPr>
          <w:p w14:paraId="364073DB">
            <w:pPr>
              <w:widowControl/>
              <w:jc w:val="left"/>
              <w:rPr>
                <w:color w:val="auto"/>
                <w:szCs w:val="21"/>
              </w:rPr>
            </w:pPr>
            <w:r>
              <w:rPr>
                <w:color w:val="auto"/>
                <w:szCs w:val="21"/>
              </w:rPr>
              <w:t>投标文件</w:t>
            </w:r>
            <w:r>
              <w:rPr>
                <w:rFonts w:hint="eastAsia"/>
                <w:color w:val="auto"/>
                <w:szCs w:val="21"/>
              </w:rPr>
              <w:t>未出现可选择性或可调整的报价（招标文件另有规定的除外）</w:t>
            </w:r>
            <w:r>
              <w:rPr>
                <w:color w:val="auto"/>
                <w:szCs w:val="21"/>
              </w:rPr>
              <w:t>；</w:t>
            </w:r>
          </w:p>
        </w:tc>
      </w:tr>
      <w:tr w14:paraId="497F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255C13ED">
            <w:pPr>
              <w:widowControl/>
              <w:jc w:val="center"/>
              <w:rPr>
                <w:color w:val="auto"/>
                <w:szCs w:val="21"/>
              </w:rPr>
            </w:pPr>
            <w:r>
              <w:rPr>
                <w:color w:val="auto"/>
                <w:szCs w:val="21"/>
              </w:rPr>
              <w:t>5</w:t>
            </w:r>
          </w:p>
        </w:tc>
        <w:tc>
          <w:tcPr>
            <w:tcW w:w="975" w:type="pct"/>
            <w:noWrap w:val="0"/>
            <w:vAlign w:val="center"/>
          </w:tcPr>
          <w:p w14:paraId="7526F4A7">
            <w:pPr>
              <w:widowControl/>
              <w:jc w:val="left"/>
              <w:rPr>
                <w:color w:val="auto"/>
                <w:szCs w:val="21"/>
              </w:rPr>
            </w:pPr>
            <w:r>
              <w:rPr>
                <w:color w:val="auto"/>
                <w:szCs w:val="21"/>
              </w:rPr>
              <w:t>投标有效期</w:t>
            </w:r>
          </w:p>
        </w:tc>
        <w:tc>
          <w:tcPr>
            <w:tcW w:w="3622" w:type="pct"/>
            <w:noWrap w:val="0"/>
            <w:vAlign w:val="center"/>
          </w:tcPr>
          <w:p w14:paraId="04464CC8">
            <w:pPr>
              <w:widowControl/>
              <w:jc w:val="left"/>
              <w:rPr>
                <w:color w:val="auto"/>
                <w:szCs w:val="21"/>
              </w:rPr>
            </w:pPr>
            <w:r>
              <w:rPr>
                <w:color w:val="auto"/>
                <w:szCs w:val="21"/>
              </w:rPr>
              <w:t>投标文件中承诺的投标有效期</w:t>
            </w:r>
            <w:r>
              <w:rPr>
                <w:rFonts w:hint="eastAsia"/>
                <w:color w:val="auto"/>
                <w:szCs w:val="21"/>
              </w:rPr>
              <w:t>满足</w:t>
            </w:r>
            <w:r>
              <w:rPr>
                <w:color w:val="auto"/>
                <w:szCs w:val="21"/>
              </w:rPr>
              <w:t>招标文件中载明的投标有效期的；</w:t>
            </w:r>
          </w:p>
        </w:tc>
      </w:tr>
      <w:tr w14:paraId="2375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79FFEB35">
            <w:pPr>
              <w:widowControl/>
              <w:jc w:val="center"/>
              <w:rPr>
                <w:color w:val="auto"/>
                <w:szCs w:val="21"/>
              </w:rPr>
            </w:pPr>
            <w:r>
              <w:rPr>
                <w:color w:val="auto"/>
                <w:szCs w:val="21"/>
              </w:rPr>
              <w:t>6</w:t>
            </w:r>
          </w:p>
        </w:tc>
        <w:tc>
          <w:tcPr>
            <w:tcW w:w="975" w:type="pct"/>
            <w:noWrap w:val="0"/>
            <w:vAlign w:val="center"/>
          </w:tcPr>
          <w:p w14:paraId="44BBDBAF">
            <w:pPr>
              <w:widowControl/>
              <w:jc w:val="left"/>
              <w:rPr>
                <w:color w:val="auto"/>
                <w:szCs w:val="21"/>
              </w:rPr>
            </w:pPr>
            <w:r>
              <w:rPr>
                <w:color w:val="auto"/>
                <w:szCs w:val="21"/>
              </w:rPr>
              <w:t>签署、加盖公章</w:t>
            </w:r>
          </w:p>
        </w:tc>
        <w:tc>
          <w:tcPr>
            <w:tcW w:w="3622" w:type="pct"/>
            <w:noWrap w:val="0"/>
            <w:vAlign w:val="center"/>
          </w:tcPr>
          <w:p w14:paraId="04751754">
            <w:pPr>
              <w:widowControl/>
              <w:jc w:val="left"/>
              <w:rPr>
                <w:color w:val="auto"/>
                <w:szCs w:val="21"/>
              </w:rPr>
            </w:pPr>
            <w:r>
              <w:rPr>
                <w:color w:val="auto"/>
                <w:szCs w:val="21"/>
              </w:rPr>
              <w:t>按照招标文件要求签署、加盖公章的；</w:t>
            </w:r>
          </w:p>
        </w:tc>
      </w:tr>
      <w:tr w14:paraId="6F2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65E0C108">
            <w:pPr>
              <w:widowControl/>
              <w:jc w:val="center"/>
              <w:rPr>
                <w:color w:val="auto"/>
                <w:szCs w:val="21"/>
              </w:rPr>
            </w:pPr>
            <w:r>
              <w:rPr>
                <w:rFonts w:hint="eastAsia"/>
                <w:color w:val="auto"/>
                <w:szCs w:val="21"/>
              </w:rPr>
              <w:t>7</w:t>
            </w:r>
          </w:p>
        </w:tc>
        <w:tc>
          <w:tcPr>
            <w:tcW w:w="975" w:type="pct"/>
            <w:noWrap w:val="0"/>
            <w:vAlign w:val="center"/>
          </w:tcPr>
          <w:p w14:paraId="5343C141">
            <w:pPr>
              <w:widowControl/>
              <w:jc w:val="left"/>
              <w:rPr>
                <w:color w:val="auto"/>
                <w:szCs w:val="21"/>
              </w:rPr>
            </w:pPr>
            <w:r>
              <w:rPr>
                <w:rFonts w:hint="eastAsia"/>
                <w:color w:val="auto"/>
                <w:szCs w:val="21"/>
              </w:rPr>
              <w:t>实质性格式</w:t>
            </w:r>
          </w:p>
        </w:tc>
        <w:tc>
          <w:tcPr>
            <w:tcW w:w="3622" w:type="pct"/>
            <w:noWrap w:val="0"/>
            <w:vAlign w:val="center"/>
          </w:tcPr>
          <w:p w14:paraId="2CA5107B">
            <w:pPr>
              <w:widowControl/>
              <w:jc w:val="left"/>
              <w:rPr>
                <w:color w:val="auto"/>
                <w:szCs w:val="21"/>
              </w:rPr>
            </w:pPr>
            <w:r>
              <w:rPr>
                <w:rFonts w:hint="eastAsia"/>
                <w:color w:val="auto"/>
                <w:szCs w:val="21"/>
              </w:rPr>
              <w:t>标记为</w:t>
            </w:r>
            <w:r>
              <w:rPr>
                <w:color w:val="auto"/>
                <w:szCs w:val="21"/>
              </w:rPr>
              <w:t>“实质性格式”的</w:t>
            </w:r>
            <w:r>
              <w:rPr>
                <w:rFonts w:hint="eastAsia"/>
                <w:color w:val="auto"/>
                <w:szCs w:val="21"/>
              </w:rPr>
              <w:t>文件均按</w:t>
            </w:r>
            <w:r>
              <w:rPr>
                <w:color w:val="auto"/>
                <w:szCs w:val="21"/>
              </w:rPr>
              <w:t>招标文件</w:t>
            </w:r>
            <w:r>
              <w:rPr>
                <w:rFonts w:hint="eastAsia"/>
                <w:color w:val="auto"/>
                <w:szCs w:val="21"/>
              </w:rPr>
              <w:t>要求提供；</w:t>
            </w:r>
          </w:p>
        </w:tc>
      </w:tr>
      <w:tr w14:paraId="6E17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4DEE9ABE">
            <w:pPr>
              <w:widowControl/>
              <w:jc w:val="center"/>
              <w:rPr>
                <w:color w:val="auto"/>
                <w:szCs w:val="21"/>
              </w:rPr>
            </w:pPr>
            <w:r>
              <w:rPr>
                <w:color w:val="auto"/>
                <w:szCs w:val="21"/>
              </w:rPr>
              <w:t>8</w:t>
            </w:r>
          </w:p>
        </w:tc>
        <w:tc>
          <w:tcPr>
            <w:tcW w:w="975" w:type="pct"/>
            <w:noWrap w:val="0"/>
            <w:vAlign w:val="center"/>
          </w:tcPr>
          <w:p w14:paraId="479EF25D">
            <w:pPr>
              <w:widowControl/>
              <w:jc w:val="left"/>
              <w:rPr>
                <w:color w:val="auto"/>
                <w:szCs w:val="21"/>
              </w:rPr>
            </w:pPr>
            <w:r>
              <w:rPr>
                <w:rFonts w:ascii="Segoe UI Symbol" w:hAnsi="Segoe UI Symbol" w:cs="Segoe UI Symbol"/>
                <w:color w:val="auto"/>
                <w:szCs w:val="21"/>
              </w:rPr>
              <w:t>★</w:t>
            </w:r>
            <w:r>
              <w:rPr>
                <w:color w:val="auto"/>
                <w:szCs w:val="21"/>
              </w:rPr>
              <w:t>号条款响应</w:t>
            </w:r>
          </w:p>
        </w:tc>
        <w:tc>
          <w:tcPr>
            <w:tcW w:w="3622" w:type="pct"/>
            <w:noWrap w:val="0"/>
            <w:vAlign w:val="center"/>
          </w:tcPr>
          <w:p w14:paraId="4F50F22B">
            <w:pPr>
              <w:widowControl/>
              <w:jc w:val="left"/>
              <w:rPr>
                <w:color w:val="auto"/>
                <w:szCs w:val="21"/>
              </w:rPr>
            </w:pPr>
            <w:r>
              <w:rPr>
                <w:color w:val="auto"/>
                <w:szCs w:val="21"/>
              </w:rPr>
              <w:t>投标文件满足</w:t>
            </w:r>
            <w:r>
              <w:rPr>
                <w:rFonts w:hint="eastAsia"/>
                <w:color w:val="auto"/>
                <w:szCs w:val="21"/>
              </w:rPr>
              <w:t>征集</w:t>
            </w:r>
            <w:r>
              <w:rPr>
                <w:color w:val="auto"/>
                <w:szCs w:val="21"/>
              </w:rPr>
              <w:t>文件第</w:t>
            </w:r>
            <w:r>
              <w:rPr>
                <w:rFonts w:hint="eastAsia"/>
                <w:color w:val="auto"/>
                <w:szCs w:val="21"/>
              </w:rPr>
              <w:t>四</w:t>
            </w:r>
            <w:r>
              <w:rPr>
                <w:color w:val="auto"/>
                <w:szCs w:val="21"/>
              </w:rPr>
              <w:t>章《采购需求》中</w:t>
            </w:r>
            <w:r>
              <w:rPr>
                <w:rFonts w:ascii="Segoe UI Symbol" w:hAnsi="Segoe UI Symbol" w:cs="Segoe UI Symbol"/>
                <w:color w:val="auto"/>
                <w:szCs w:val="21"/>
              </w:rPr>
              <w:t>★</w:t>
            </w:r>
            <w:r>
              <w:rPr>
                <w:color w:val="auto"/>
                <w:szCs w:val="21"/>
              </w:rPr>
              <w:t>号条款要求的；</w:t>
            </w:r>
          </w:p>
        </w:tc>
      </w:tr>
      <w:tr w14:paraId="721C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45886A13">
            <w:pPr>
              <w:widowControl/>
              <w:jc w:val="center"/>
              <w:rPr>
                <w:color w:val="auto"/>
                <w:szCs w:val="21"/>
              </w:rPr>
            </w:pPr>
            <w:r>
              <w:rPr>
                <w:color w:val="auto"/>
                <w:szCs w:val="21"/>
              </w:rPr>
              <w:t>9</w:t>
            </w:r>
          </w:p>
        </w:tc>
        <w:tc>
          <w:tcPr>
            <w:tcW w:w="975" w:type="pct"/>
            <w:noWrap w:val="0"/>
            <w:vAlign w:val="center"/>
          </w:tcPr>
          <w:p w14:paraId="75A8C05D">
            <w:pPr>
              <w:widowControl/>
              <w:jc w:val="left"/>
              <w:rPr>
                <w:color w:val="auto"/>
                <w:szCs w:val="21"/>
              </w:rPr>
            </w:pPr>
            <w:r>
              <w:rPr>
                <w:color w:val="auto"/>
                <w:szCs w:val="21"/>
              </w:rPr>
              <w:t>报价合理性</w:t>
            </w:r>
          </w:p>
        </w:tc>
        <w:tc>
          <w:tcPr>
            <w:tcW w:w="3622" w:type="pct"/>
            <w:noWrap w:val="0"/>
            <w:vAlign w:val="center"/>
          </w:tcPr>
          <w:p w14:paraId="63CC87B7">
            <w:pPr>
              <w:widowControl/>
              <w:jc w:val="left"/>
              <w:rPr>
                <w:color w:val="auto"/>
                <w:szCs w:val="21"/>
              </w:rPr>
            </w:pPr>
            <w:r>
              <w:rPr>
                <w:color w:val="auto"/>
                <w:szCs w:val="21"/>
              </w:rPr>
              <w:t>报价合理，或</w:t>
            </w:r>
            <w:r>
              <w:rPr>
                <w:rFonts w:hint="eastAsia"/>
                <w:color w:val="auto"/>
                <w:szCs w:val="21"/>
              </w:rPr>
              <w:t>投标人的报价明显低于其他通过符合性审查投标人的报价，</w:t>
            </w:r>
            <w:r>
              <w:rPr>
                <w:color w:val="auto"/>
                <w:szCs w:val="21"/>
              </w:rPr>
              <w:t>有可能影响产品质量或者不能诚信履约的</w:t>
            </w:r>
            <w:r>
              <w:rPr>
                <w:rFonts w:hint="eastAsia"/>
                <w:color w:val="auto"/>
                <w:szCs w:val="21"/>
              </w:rPr>
              <w:t>，能够应评标委员会要求在规定时间内证明其报价合理性的</w:t>
            </w:r>
            <w:r>
              <w:rPr>
                <w:color w:val="auto"/>
                <w:szCs w:val="21"/>
              </w:rPr>
              <w:t>；</w:t>
            </w:r>
          </w:p>
        </w:tc>
      </w:tr>
      <w:tr w14:paraId="3EA6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5F2449A3">
            <w:pPr>
              <w:widowControl/>
              <w:jc w:val="center"/>
              <w:rPr>
                <w:color w:val="auto"/>
                <w:szCs w:val="21"/>
              </w:rPr>
            </w:pPr>
            <w:r>
              <w:rPr>
                <w:color w:val="auto"/>
                <w:szCs w:val="21"/>
              </w:rPr>
              <w:t>10</w:t>
            </w:r>
          </w:p>
        </w:tc>
        <w:tc>
          <w:tcPr>
            <w:tcW w:w="975" w:type="pct"/>
            <w:noWrap w:val="0"/>
            <w:vAlign w:val="center"/>
          </w:tcPr>
          <w:p w14:paraId="24086495">
            <w:pPr>
              <w:widowControl/>
              <w:jc w:val="left"/>
              <w:rPr>
                <w:color w:val="auto"/>
                <w:szCs w:val="21"/>
              </w:rPr>
            </w:pPr>
            <w:r>
              <w:rPr>
                <w:color w:val="auto"/>
                <w:szCs w:val="21"/>
              </w:rPr>
              <w:t>进口产品</w:t>
            </w:r>
          </w:p>
          <w:p w14:paraId="5591B1B2">
            <w:pPr>
              <w:widowControl/>
              <w:jc w:val="left"/>
              <w:rPr>
                <w:color w:val="auto"/>
                <w:szCs w:val="21"/>
              </w:rPr>
            </w:pPr>
            <w:r>
              <w:rPr>
                <w:color w:val="auto"/>
                <w:szCs w:val="21"/>
              </w:rPr>
              <w:t>（如有）</w:t>
            </w:r>
          </w:p>
        </w:tc>
        <w:tc>
          <w:tcPr>
            <w:tcW w:w="3622" w:type="pct"/>
            <w:noWrap w:val="0"/>
            <w:vAlign w:val="center"/>
          </w:tcPr>
          <w:p w14:paraId="6B65551C">
            <w:pPr>
              <w:widowControl/>
              <w:jc w:val="left"/>
              <w:rPr>
                <w:color w:val="auto"/>
                <w:szCs w:val="21"/>
              </w:rPr>
            </w:pPr>
            <w:r>
              <w:rPr>
                <w:rFonts w:hint="eastAsia" w:ascii="宋体" w:hAnsi="宋体"/>
                <w:color w:val="auto"/>
                <w:szCs w:val="21"/>
              </w:rPr>
              <w:t>招标文件</w:t>
            </w:r>
            <w:r>
              <w:rPr>
                <w:rFonts w:ascii="宋体" w:hAnsi="宋体"/>
                <w:color w:val="auto"/>
                <w:szCs w:val="21"/>
              </w:rPr>
              <w:t>不接受进口产品投标</w:t>
            </w:r>
            <w:r>
              <w:rPr>
                <w:rFonts w:hint="eastAsia" w:ascii="宋体" w:hAnsi="宋体"/>
                <w:color w:val="auto"/>
                <w:szCs w:val="21"/>
              </w:rPr>
              <w:t>的内容时</w:t>
            </w:r>
            <w:r>
              <w:rPr>
                <w:rFonts w:ascii="宋体" w:hAnsi="宋体"/>
                <w:color w:val="auto"/>
                <w:szCs w:val="21"/>
              </w:rPr>
              <w:t>，</w:t>
            </w:r>
            <w:r>
              <w:rPr>
                <w:rFonts w:hint="eastAsia" w:ascii="宋体" w:hAnsi="宋体"/>
                <w:color w:val="auto"/>
                <w:szCs w:val="21"/>
              </w:rPr>
              <w:t>投标人所投产品非进口产品的；</w:t>
            </w:r>
          </w:p>
        </w:tc>
      </w:tr>
      <w:tr w14:paraId="253F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17F28AC1">
            <w:pPr>
              <w:widowControl/>
              <w:jc w:val="center"/>
              <w:rPr>
                <w:color w:val="auto"/>
                <w:szCs w:val="21"/>
              </w:rPr>
            </w:pPr>
            <w:r>
              <w:rPr>
                <w:color w:val="auto"/>
                <w:szCs w:val="21"/>
              </w:rPr>
              <w:t>11</w:t>
            </w:r>
          </w:p>
        </w:tc>
        <w:tc>
          <w:tcPr>
            <w:tcW w:w="975" w:type="pct"/>
            <w:noWrap w:val="0"/>
            <w:vAlign w:val="center"/>
          </w:tcPr>
          <w:p w14:paraId="6E4D35C8">
            <w:pPr>
              <w:widowControl/>
              <w:jc w:val="left"/>
              <w:rPr>
                <w:color w:val="auto"/>
                <w:szCs w:val="21"/>
              </w:rPr>
            </w:pPr>
            <w:r>
              <w:rPr>
                <w:color w:val="auto"/>
                <w:szCs w:val="21"/>
              </w:rPr>
              <w:t>国家有关部门对投标人的投标产品有强制性规定或要求的</w:t>
            </w:r>
          </w:p>
        </w:tc>
        <w:tc>
          <w:tcPr>
            <w:tcW w:w="3622" w:type="pct"/>
            <w:noWrap w:val="0"/>
            <w:vAlign w:val="center"/>
          </w:tcPr>
          <w:p w14:paraId="5A1C370F">
            <w:pPr>
              <w:widowControl/>
              <w:jc w:val="left"/>
              <w:rPr>
                <w:color w:val="auto"/>
                <w:szCs w:val="21"/>
              </w:rPr>
            </w:pPr>
            <w:r>
              <w:rPr>
                <w:color w:val="auto"/>
                <w:szCs w:val="21"/>
              </w:rPr>
              <w:t>国家有关部门对投标人的投标产品有强制性规定或要求的（如相应技术、安全、节能和环保等），投标人的投标产品</w:t>
            </w:r>
            <w:r>
              <w:rPr>
                <w:rFonts w:hint="eastAsia"/>
                <w:color w:val="auto"/>
                <w:szCs w:val="21"/>
              </w:rPr>
              <w:t>应</w:t>
            </w:r>
            <w:r>
              <w:rPr>
                <w:color w:val="auto"/>
                <w:szCs w:val="21"/>
              </w:rPr>
              <w:t>符合相应规定或要求</w:t>
            </w:r>
            <w:r>
              <w:rPr>
                <w:rFonts w:hint="eastAsia"/>
                <w:color w:val="auto"/>
                <w:szCs w:val="21"/>
              </w:rPr>
              <w:t>，并提供证明文件电子件：</w:t>
            </w:r>
          </w:p>
          <w:p w14:paraId="06BA5282">
            <w:pPr>
              <w:widowControl/>
              <w:jc w:val="left"/>
              <w:rPr>
                <w:color w:val="auto"/>
                <w:szCs w:val="21"/>
              </w:rPr>
            </w:pPr>
            <w:r>
              <w:rPr>
                <w:rFonts w:hint="eastAsia"/>
                <w:color w:val="auto"/>
                <w:szCs w:val="21"/>
              </w:rPr>
              <w:t>1）</w:t>
            </w:r>
            <w:r>
              <w:rPr>
                <w:color w:val="auto"/>
                <w:szCs w:val="21"/>
              </w:rPr>
              <w:t>采购的产品若属于《节能产品政府采购品目清单》范围中政府强制采购产品，则投标人所报产品必须获得国家确定的认证机构出具的、处于有效期之内的节能产品认证证书；</w:t>
            </w:r>
          </w:p>
          <w:p w14:paraId="57300EDF">
            <w:pPr>
              <w:widowControl/>
              <w:jc w:val="left"/>
              <w:rPr>
                <w:color w:val="auto"/>
                <w:szCs w:val="21"/>
              </w:rPr>
            </w:pPr>
            <w:r>
              <w:rPr>
                <w:rFonts w:hint="eastAsia"/>
                <w:color w:val="auto"/>
                <w:szCs w:val="21"/>
              </w:rPr>
              <w:t>2）</w:t>
            </w:r>
            <w:r>
              <w:rPr>
                <w:color w:val="auto"/>
                <w:szCs w:val="21"/>
              </w:rPr>
              <w:t>投标产品如涉及计算机信息系统安全专用产品的，须</w:t>
            </w:r>
            <w:r>
              <w:rPr>
                <w:rFonts w:hint="eastAsia"/>
                <w:color w:val="auto"/>
                <w:szCs w:val="21"/>
              </w:rPr>
              <w:t>提供</w:t>
            </w:r>
            <w:r>
              <w:rPr>
                <w:color w:val="auto"/>
                <w:szCs w:val="21"/>
              </w:rPr>
              <w:t>公安部颁发的计算机信息系统安全专用产品销售许可证；</w:t>
            </w:r>
          </w:p>
          <w:p w14:paraId="01DDE504">
            <w:pPr>
              <w:widowControl/>
              <w:jc w:val="left"/>
              <w:rPr>
                <w:color w:val="auto"/>
                <w:szCs w:val="21"/>
              </w:rPr>
            </w:pPr>
            <w:r>
              <w:rPr>
                <w:color w:val="auto"/>
                <w:szCs w:val="21"/>
              </w:rPr>
              <w:t>3</w:t>
            </w:r>
            <w:r>
              <w:rPr>
                <w:rFonts w:hint="eastAsia"/>
                <w:color w:val="auto"/>
                <w:szCs w:val="21"/>
              </w:rPr>
              <w:t>）</w:t>
            </w:r>
            <w:r>
              <w:rPr>
                <w:color w:val="auto"/>
                <w:szCs w:val="21"/>
              </w:rPr>
              <w:t>投标产品如有属于开展国家信息安全产品认证产品范围的，须</w:t>
            </w:r>
            <w:r>
              <w:rPr>
                <w:rFonts w:hint="eastAsia"/>
                <w:color w:val="auto"/>
                <w:szCs w:val="21"/>
              </w:rPr>
              <w:t>提供</w:t>
            </w:r>
            <w:r>
              <w:rPr>
                <w:color w:val="auto"/>
                <w:szCs w:val="21"/>
              </w:rPr>
              <w:t>由中国网络安全审查技术与认证中心（原中国信息安全认证中心）按国家标准认证颁发的有效认证证书等）；</w:t>
            </w:r>
          </w:p>
          <w:p w14:paraId="2FC501C6">
            <w:pPr>
              <w:widowControl/>
              <w:jc w:val="left"/>
              <w:rPr>
                <w:color w:val="auto"/>
                <w:szCs w:val="21"/>
              </w:rPr>
            </w:pPr>
            <w:r>
              <w:rPr>
                <w:rFonts w:hint="eastAsia"/>
                <w:color w:val="auto"/>
                <w:szCs w:val="21"/>
              </w:rPr>
              <w:t>4）</w:t>
            </w:r>
            <w:r>
              <w:rPr>
                <w:color w:val="auto"/>
                <w:szCs w:val="21"/>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tc>
      </w:tr>
      <w:tr w14:paraId="0A0C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2F3E4879">
            <w:pPr>
              <w:widowControl/>
              <w:jc w:val="center"/>
              <w:rPr>
                <w:color w:val="auto"/>
                <w:szCs w:val="21"/>
              </w:rPr>
            </w:pPr>
            <w:r>
              <w:rPr>
                <w:color w:val="auto"/>
                <w:szCs w:val="21"/>
              </w:rPr>
              <w:t>12</w:t>
            </w:r>
          </w:p>
        </w:tc>
        <w:tc>
          <w:tcPr>
            <w:tcW w:w="975" w:type="pct"/>
            <w:noWrap w:val="0"/>
            <w:vAlign w:val="center"/>
          </w:tcPr>
          <w:p w14:paraId="01606167">
            <w:pPr>
              <w:widowControl/>
              <w:jc w:val="left"/>
              <w:rPr>
                <w:color w:val="auto"/>
                <w:szCs w:val="21"/>
              </w:rPr>
            </w:pPr>
            <w:r>
              <w:rPr>
                <w:color w:val="auto"/>
                <w:szCs w:val="21"/>
              </w:rPr>
              <w:t>公平竞争</w:t>
            </w:r>
          </w:p>
        </w:tc>
        <w:tc>
          <w:tcPr>
            <w:tcW w:w="3622" w:type="pct"/>
            <w:noWrap w:val="0"/>
            <w:vAlign w:val="center"/>
          </w:tcPr>
          <w:p w14:paraId="1AFDF5AA">
            <w:pPr>
              <w:widowControl/>
              <w:jc w:val="left"/>
              <w:rPr>
                <w:color w:val="auto"/>
                <w:szCs w:val="21"/>
              </w:rPr>
            </w:pPr>
            <w:r>
              <w:rPr>
                <w:color w:val="auto"/>
                <w:szCs w:val="21"/>
              </w:rPr>
              <w:t>投标人遵循公平竞争的原则，不存在恶意串通，妨碍其他投标人的竞争行为，不存在损害采购人或者其他投标人的合法权益情形的；</w:t>
            </w:r>
          </w:p>
        </w:tc>
      </w:tr>
      <w:tr w14:paraId="3E7C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0CF57D79">
            <w:pPr>
              <w:widowControl/>
              <w:jc w:val="center"/>
              <w:rPr>
                <w:color w:val="auto"/>
                <w:szCs w:val="21"/>
              </w:rPr>
            </w:pPr>
            <w:r>
              <w:rPr>
                <w:color w:val="auto"/>
                <w:szCs w:val="21"/>
              </w:rPr>
              <w:t>13</w:t>
            </w:r>
          </w:p>
        </w:tc>
        <w:tc>
          <w:tcPr>
            <w:tcW w:w="975" w:type="pct"/>
            <w:noWrap w:val="0"/>
            <w:vAlign w:val="center"/>
          </w:tcPr>
          <w:p w14:paraId="17B2F168">
            <w:pPr>
              <w:widowControl/>
              <w:jc w:val="left"/>
              <w:rPr>
                <w:color w:val="auto"/>
                <w:szCs w:val="21"/>
              </w:rPr>
            </w:pPr>
            <w:r>
              <w:rPr>
                <w:color w:val="auto"/>
                <w:szCs w:val="21"/>
              </w:rPr>
              <w:t>串通投标</w:t>
            </w:r>
          </w:p>
        </w:tc>
        <w:tc>
          <w:tcPr>
            <w:tcW w:w="3622" w:type="pct"/>
            <w:noWrap w:val="0"/>
            <w:vAlign w:val="center"/>
          </w:tcPr>
          <w:p w14:paraId="0E1842DC">
            <w:pPr>
              <w:widowControl/>
              <w:jc w:val="left"/>
              <w:rPr>
                <w:color w:val="auto"/>
                <w:szCs w:val="21"/>
              </w:rPr>
            </w:pPr>
            <w:r>
              <w:rPr>
                <w:rFonts w:hint="eastAsia"/>
                <w:color w:val="auto"/>
                <w:szCs w:val="21"/>
              </w:rPr>
              <w:t>不存在《政府采购货物和服务招标投标管理办法》视为投标人串通投标的情形：（一）不同投标人的投标文件由同一单位或者个人编制</w:t>
            </w:r>
            <w:r>
              <w:rPr>
                <w:rFonts w:hint="eastAsia" w:ascii="宋体" w:hAnsi="宋体"/>
                <w:color w:val="auto"/>
                <w:szCs w:val="21"/>
              </w:rPr>
              <w:t>（包含使用同一MAC地址的计算机制作电子响应文件的情形）</w:t>
            </w:r>
            <w:r>
              <w:rPr>
                <w:rFonts w:hint="eastAsia"/>
                <w:color w:val="auto"/>
                <w:szCs w:val="21"/>
              </w:rPr>
              <w:t>；（二）不同投标人委托同一单位或者个人办理投标事宜</w:t>
            </w:r>
            <w:r>
              <w:rPr>
                <w:rFonts w:hint="eastAsia" w:ascii="宋体" w:hAnsi="宋体"/>
                <w:color w:val="auto"/>
                <w:szCs w:val="21"/>
              </w:rPr>
              <w:t>（包含使用同一MAC地址的计算机提交或者解密电子响应文件的情形）</w:t>
            </w:r>
            <w:r>
              <w:rPr>
                <w:rFonts w:hint="eastAsia"/>
                <w:color w:val="auto"/>
                <w:szCs w:val="21"/>
              </w:rPr>
              <w:t>；（三）不同投标人的投标文件载明的项目管理成员或者联系人员为同一人；（四）不同投标人的投标文件异常一致或者投标报价呈规律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auto"/>
                <w:szCs w:val="21"/>
              </w:rPr>
              <w:t>；</w:t>
            </w:r>
          </w:p>
        </w:tc>
      </w:tr>
      <w:tr w14:paraId="1653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758E16DF">
            <w:pPr>
              <w:widowControl/>
              <w:jc w:val="center"/>
              <w:rPr>
                <w:color w:val="auto"/>
                <w:szCs w:val="21"/>
              </w:rPr>
            </w:pPr>
            <w:r>
              <w:rPr>
                <w:color w:val="auto"/>
                <w:szCs w:val="21"/>
              </w:rPr>
              <w:t>14</w:t>
            </w:r>
          </w:p>
        </w:tc>
        <w:tc>
          <w:tcPr>
            <w:tcW w:w="975" w:type="pct"/>
            <w:noWrap w:val="0"/>
            <w:vAlign w:val="center"/>
          </w:tcPr>
          <w:p w14:paraId="33E3E8B7">
            <w:pPr>
              <w:widowControl/>
              <w:jc w:val="left"/>
              <w:rPr>
                <w:color w:val="auto"/>
                <w:szCs w:val="21"/>
              </w:rPr>
            </w:pPr>
            <w:r>
              <w:rPr>
                <w:color w:val="auto"/>
                <w:szCs w:val="21"/>
              </w:rPr>
              <w:t>附加条件</w:t>
            </w:r>
          </w:p>
        </w:tc>
        <w:tc>
          <w:tcPr>
            <w:tcW w:w="3622" w:type="pct"/>
            <w:noWrap w:val="0"/>
            <w:vAlign w:val="center"/>
          </w:tcPr>
          <w:p w14:paraId="5B559312">
            <w:pPr>
              <w:widowControl/>
              <w:jc w:val="left"/>
              <w:rPr>
                <w:color w:val="auto"/>
                <w:szCs w:val="21"/>
              </w:rPr>
            </w:pPr>
            <w:r>
              <w:rPr>
                <w:color w:val="auto"/>
                <w:szCs w:val="21"/>
              </w:rPr>
              <w:t>投标文件</w:t>
            </w:r>
            <w:r>
              <w:rPr>
                <w:rFonts w:hint="eastAsia"/>
                <w:color w:val="auto"/>
                <w:szCs w:val="21"/>
              </w:rPr>
              <w:t>未</w:t>
            </w:r>
            <w:r>
              <w:rPr>
                <w:color w:val="auto"/>
                <w:szCs w:val="21"/>
              </w:rPr>
              <w:t>含有</w:t>
            </w:r>
            <w:r>
              <w:rPr>
                <w:rFonts w:hint="eastAsia"/>
                <w:color w:val="auto"/>
                <w:szCs w:val="21"/>
              </w:rPr>
              <w:t>征集</w:t>
            </w:r>
            <w:r>
              <w:rPr>
                <w:color w:val="auto"/>
                <w:szCs w:val="21"/>
              </w:rPr>
              <w:t>人不能接受的附加条件的；</w:t>
            </w:r>
          </w:p>
        </w:tc>
      </w:tr>
      <w:tr w14:paraId="0B0F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noWrap w:val="0"/>
            <w:vAlign w:val="center"/>
          </w:tcPr>
          <w:p w14:paraId="5CEAF18E">
            <w:pPr>
              <w:widowControl/>
              <w:jc w:val="center"/>
              <w:rPr>
                <w:color w:val="auto"/>
                <w:szCs w:val="21"/>
              </w:rPr>
            </w:pPr>
            <w:r>
              <w:rPr>
                <w:color w:val="auto"/>
                <w:szCs w:val="21"/>
              </w:rPr>
              <w:t>15</w:t>
            </w:r>
          </w:p>
        </w:tc>
        <w:tc>
          <w:tcPr>
            <w:tcW w:w="975" w:type="pct"/>
            <w:noWrap w:val="0"/>
            <w:vAlign w:val="center"/>
          </w:tcPr>
          <w:p w14:paraId="3D32AF5F">
            <w:pPr>
              <w:widowControl/>
              <w:jc w:val="left"/>
              <w:rPr>
                <w:color w:val="auto"/>
                <w:szCs w:val="21"/>
              </w:rPr>
            </w:pPr>
            <w:r>
              <w:rPr>
                <w:color w:val="auto"/>
                <w:szCs w:val="21"/>
              </w:rPr>
              <w:t>其他无效情形</w:t>
            </w:r>
          </w:p>
        </w:tc>
        <w:tc>
          <w:tcPr>
            <w:tcW w:w="3622" w:type="pct"/>
            <w:noWrap w:val="0"/>
            <w:vAlign w:val="center"/>
          </w:tcPr>
          <w:p w14:paraId="1849CCFC">
            <w:pPr>
              <w:widowControl/>
              <w:jc w:val="left"/>
              <w:rPr>
                <w:color w:val="auto"/>
                <w:szCs w:val="21"/>
              </w:rPr>
            </w:pPr>
            <w:r>
              <w:rPr>
                <w:color w:val="auto"/>
                <w:szCs w:val="21"/>
              </w:rPr>
              <w:t>投标人、投标文件</w:t>
            </w:r>
            <w:r>
              <w:rPr>
                <w:rFonts w:hint="eastAsia"/>
                <w:color w:val="auto"/>
                <w:szCs w:val="21"/>
              </w:rPr>
              <w:t>不存在</w:t>
            </w:r>
            <w:r>
              <w:rPr>
                <w:color w:val="auto"/>
                <w:szCs w:val="21"/>
              </w:rPr>
              <w:t>不符合法律、法规和招标文件规定的其他无效情形。</w:t>
            </w:r>
          </w:p>
        </w:tc>
      </w:tr>
    </w:tbl>
    <w:p w14:paraId="33BD70DD">
      <w:pPr>
        <w:tabs>
          <w:tab w:val="left" w:pos="360"/>
          <w:tab w:val="left" w:pos="900"/>
        </w:tabs>
        <w:spacing w:line="360" w:lineRule="auto"/>
        <w:outlineLvl w:val="1"/>
        <w:rPr>
          <w:color w:val="auto"/>
          <w:szCs w:val="21"/>
        </w:rPr>
      </w:pPr>
      <w:bookmarkStart w:id="106" w:name="_Hlk191998345"/>
      <w:bookmarkEnd w:id="106"/>
    </w:p>
    <w:p w14:paraId="555038C1">
      <w:pPr>
        <w:pStyle w:val="325"/>
        <w:numPr>
          <w:ilvl w:val="0"/>
          <w:numId w:val="5"/>
        </w:numPr>
        <w:tabs>
          <w:tab w:val="left" w:pos="360"/>
          <w:tab w:val="left" w:pos="900"/>
        </w:tabs>
        <w:spacing w:line="360" w:lineRule="auto"/>
        <w:outlineLvl w:val="1"/>
        <w:rPr>
          <w:b/>
          <w:bCs/>
          <w:color w:val="auto"/>
          <w:szCs w:val="21"/>
        </w:rPr>
      </w:pPr>
      <w:r>
        <w:rPr>
          <w:b/>
          <w:bCs/>
          <w:color w:val="auto"/>
          <w:szCs w:val="21"/>
        </w:rPr>
        <w:t>投标文件有关事项的澄清或者说明</w:t>
      </w:r>
    </w:p>
    <w:p w14:paraId="234A9C71">
      <w:pPr>
        <w:pStyle w:val="16"/>
        <w:numPr>
          <w:ilvl w:val="0"/>
          <w:numId w:val="6"/>
        </w:numPr>
        <w:rPr>
          <w:rFonts w:ascii="宋体" w:hAnsi="宋体" w:eastAsia="宋体"/>
          <w:color w:val="auto"/>
          <w:sz w:val="21"/>
          <w:szCs w:val="21"/>
        </w:rPr>
      </w:pPr>
      <w:r>
        <w:rPr>
          <w:rFonts w:hint="eastAsia" w:ascii="宋体" w:hAnsi="宋体" w:eastAsia="宋体"/>
          <w:color w:val="auto"/>
          <w:sz w:val="21"/>
          <w:szCs w:val="21"/>
        </w:rPr>
        <w:t>评标过程中，评标委员会将通过“苏采云”系统以书面形式要求投标人对其投标文件中含义不明确、同类问题表述不一致或者有明显文字和计算错误的内容，作出必要的澄清、说明或者补正。投标人的澄清、说明或者补正应当采用书面形式，并加盖电子公章。投标人的澄清、说明或者补正不得超出投标文件的范围或者改变投标文件的实质性内容。澄清文件将作为投标文件内容的一部分。</w:t>
      </w:r>
    </w:p>
    <w:p w14:paraId="730A1ACE">
      <w:pPr>
        <w:pStyle w:val="325"/>
        <w:numPr>
          <w:ilvl w:val="0"/>
          <w:numId w:val="6"/>
        </w:numPr>
        <w:rPr>
          <w:color w:val="auto"/>
        </w:rPr>
      </w:pPr>
      <w:r>
        <w:rPr>
          <w:rFonts w:hint="eastAsia"/>
          <w:color w:val="auto"/>
        </w:rPr>
        <w:t>评标委员会认为投标人的报价明显低于其他通过符合性审查投标人的报价，有可能影响产品质量或者不能诚信履约的，有权要求该投标人在规定的时间内提供书面说明，必要时提交相关证明材料；若投标人不能证明其报价合理性，评标委员会将其作为无效投标处理。</w:t>
      </w:r>
    </w:p>
    <w:p w14:paraId="59A967F3">
      <w:pPr>
        <w:pStyle w:val="325"/>
        <w:numPr>
          <w:ilvl w:val="0"/>
          <w:numId w:val="6"/>
        </w:numPr>
        <w:rPr>
          <w:color w:val="auto"/>
        </w:rPr>
      </w:pPr>
      <w:r>
        <w:rPr>
          <w:rFonts w:hint="eastAsia"/>
          <w:color w:val="auto"/>
        </w:rPr>
        <w:t>投标报价须包含征集文件全部内容，如分项报价表有缺漏视为已含在其他各项报价中，将不对投标总价进行调整。评标委员会有权要求投标人在规定的时间内对此进行书面确认，投标人不确认的，视为将一个采购包中的内容拆开投标，其投标无效。</w:t>
      </w:r>
    </w:p>
    <w:p w14:paraId="15FA9EF7">
      <w:pPr>
        <w:pStyle w:val="325"/>
        <w:numPr>
          <w:ilvl w:val="0"/>
          <w:numId w:val="6"/>
        </w:numPr>
        <w:rPr>
          <w:color w:val="auto"/>
        </w:rPr>
      </w:pPr>
      <w:r>
        <w:rPr>
          <w:rFonts w:hint="eastAsia"/>
          <w:color w:val="auto"/>
        </w:rPr>
        <w:t>投标文件报价出现前后不一致的，除征集文件另有规定外，按照下列规定修正：</w:t>
      </w:r>
    </w:p>
    <w:p w14:paraId="1D80819F">
      <w:pPr>
        <w:spacing w:line="312" w:lineRule="auto"/>
        <w:ind w:firstLine="479"/>
        <w:rPr>
          <w:rFonts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投标文件中开标一览表（报价表）内容与投标文件中相应内容不一致的，以开标一览表（报价表）为准；</w:t>
      </w:r>
    </w:p>
    <w:p w14:paraId="72B478B4">
      <w:pPr>
        <w:spacing w:line="312" w:lineRule="auto"/>
        <w:ind w:firstLine="479"/>
        <w:rPr>
          <w:rFonts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大写金额和小写金额不一致的，以大写金额为准；</w:t>
      </w:r>
    </w:p>
    <w:p w14:paraId="1140CDB8">
      <w:pPr>
        <w:spacing w:line="312" w:lineRule="auto"/>
        <w:ind w:firstLine="479"/>
        <w:rPr>
          <w:rFonts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单价金额小数点或者百分比有明显错位的，以开标一览表的总价为准，并修改单价；</w:t>
      </w:r>
    </w:p>
    <w:p w14:paraId="03972F66">
      <w:pPr>
        <w:spacing w:line="312" w:lineRule="auto"/>
        <w:ind w:firstLine="479"/>
        <w:rPr>
          <w:rFonts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总价金额与按单价汇总金额不一致的，以单价金额计算结果为准。</w:t>
      </w:r>
    </w:p>
    <w:p w14:paraId="008C4AC0">
      <w:pPr>
        <w:spacing w:line="312" w:lineRule="auto"/>
        <w:ind w:firstLine="479"/>
        <w:rPr>
          <w:b/>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同时出现两种以上不一致的，按照前款规定的顺序修正。投标人不确认修正后报价的，</w:t>
      </w:r>
      <w:r>
        <w:rPr>
          <w:rFonts w:hint="eastAsia" w:ascii="宋体" w:hAnsi="宋体"/>
          <w:b/>
          <w:bCs/>
          <w:color w:val="auto"/>
          <w:szCs w:val="21"/>
        </w:rPr>
        <w:t>其投标无效</w:t>
      </w:r>
      <w:r>
        <w:rPr>
          <w:rFonts w:hint="eastAsia" w:ascii="宋体" w:hAnsi="宋体"/>
          <w:color w:val="auto"/>
          <w:szCs w:val="21"/>
        </w:rPr>
        <w:t>。</w:t>
      </w:r>
      <w:bookmarkEnd w:id="102"/>
      <w:bookmarkEnd w:id="103"/>
    </w:p>
    <w:p w14:paraId="12E394EA">
      <w:pPr>
        <w:pStyle w:val="325"/>
        <w:numPr>
          <w:ilvl w:val="0"/>
          <w:numId w:val="5"/>
        </w:numPr>
        <w:tabs>
          <w:tab w:val="left" w:pos="360"/>
          <w:tab w:val="left" w:pos="900"/>
        </w:tabs>
        <w:spacing w:line="360" w:lineRule="auto"/>
        <w:outlineLvl w:val="1"/>
        <w:rPr>
          <w:b/>
          <w:color w:val="auto"/>
          <w:szCs w:val="21"/>
        </w:rPr>
      </w:pPr>
      <w:r>
        <w:rPr>
          <w:rFonts w:hint="eastAsia"/>
          <w:b/>
          <w:color w:val="auto"/>
          <w:szCs w:val="21"/>
        </w:rPr>
        <w:t>评标方法和评分标准</w:t>
      </w:r>
    </w:p>
    <w:p w14:paraId="63E79CE3">
      <w:pPr>
        <w:tabs>
          <w:tab w:val="left" w:pos="360"/>
          <w:tab w:val="left" w:pos="900"/>
          <w:tab w:val="left" w:pos="1080"/>
          <w:tab w:val="left" w:pos="2014"/>
        </w:tabs>
        <w:spacing w:line="360" w:lineRule="auto"/>
        <w:rPr>
          <w:rFonts w:ascii="宋体" w:hAnsi="宋体" w:cs="宋体"/>
          <w:color w:val="auto"/>
          <w:szCs w:val="21"/>
        </w:rPr>
      </w:pPr>
      <w:r>
        <w:rPr>
          <w:rFonts w:hint="eastAsia" w:ascii="宋体" w:hAnsi="宋体" w:cs="宋体"/>
          <w:color w:val="auto"/>
          <w:szCs w:val="21"/>
        </w:rPr>
        <w:t>1 评标方法</w:t>
      </w:r>
    </w:p>
    <w:p w14:paraId="30FE74D7">
      <w:pPr>
        <w:pStyle w:val="17"/>
        <w:numPr>
          <w:ilvl w:val="1"/>
          <w:numId w:val="7"/>
        </w:numPr>
        <w:spacing w:line="360" w:lineRule="auto"/>
        <w:ind w:firstLine="210"/>
        <w:rPr>
          <w:rFonts w:ascii="宋体" w:hAnsi="宋体" w:cs="宋体"/>
          <w:color w:val="auto"/>
          <w:sz w:val="21"/>
          <w:szCs w:val="21"/>
        </w:rPr>
      </w:pPr>
      <w:r>
        <w:rPr>
          <w:rFonts w:hint="eastAsia" w:ascii="宋体" w:hAnsi="宋体" w:cs="宋体"/>
          <w:color w:val="auto"/>
          <w:sz w:val="21"/>
          <w:szCs w:val="21"/>
        </w:rPr>
        <w:t xml:space="preserve"> 本项目确定第一阶段入围供应商的评审方法采用质量优先法，是指对满足采购需求的服务进行质量综合评分，按照质量评分从高到低排序，根据征集文件规定的淘汰率或者入围供应商数量上限，确定入围供应商的评审方法。评审小组遵循公平、公正、择优原则，独立按照评分标准分别评定供应商的分值；各供应商的评审后得分（即最终得分）为各评委所评定分值的平均值（若出现小数点则通过四舍五入保留到小数点后两位），按高低顺序排列，并按排列顺序依次确定入围供应商。</w:t>
      </w:r>
    </w:p>
    <w:p w14:paraId="2595D843">
      <w:pPr>
        <w:pStyle w:val="17"/>
        <w:numPr>
          <w:ilvl w:val="1"/>
          <w:numId w:val="7"/>
        </w:numPr>
        <w:spacing w:line="360" w:lineRule="auto"/>
        <w:ind w:firstLine="210"/>
        <w:rPr>
          <w:rFonts w:ascii="宋体" w:hAnsi="宋体" w:cs="宋体"/>
          <w:color w:val="auto"/>
          <w:sz w:val="21"/>
          <w:szCs w:val="21"/>
        </w:rPr>
      </w:pPr>
      <w:r>
        <w:rPr>
          <w:rFonts w:hint="eastAsia" w:ascii="宋体" w:hAnsi="宋体" w:cs="宋体"/>
          <w:color w:val="auto"/>
          <w:sz w:val="21"/>
          <w:szCs w:val="21"/>
        </w:rPr>
        <w:t xml:space="preserve"> 评分标准</w:t>
      </w:r>
    </w:p>
    <w:tbl>
      <w:tblPr>
        <w:tblStyle w:val="40"/>
        <w:tblW w:w="0" w:type="auto"/>
        <w:tblInd w:w="0" w:type="dxa"/>
        <w:tblLayout w:type="autofit"/>
        <w:tblCellMar>
          <w:top w:w="0" w:type="dxa"/>
          <w:left w:w="0" w:type="dxa"/>
          <w:bottom w:w="0" w:type="dxa"/>
          <w:right w:w="0" w:type="dxa"/>
        </w:tblCellMar>
      </w:tblPr>
      <w:tblGrid>
        <w:gridCol w:w="555"/>
        <w:gridCol w:w="1193"/>
        <w:gridCol w:w="4327"/>
        <w:gridCol w:w="976"/>
        <w:gridCol w:w="2804"/>
      </w:tblGrid>
      <w:tr w14:paraId="17D6E33B">
        <w:tblPrEx>
          <w:tblCellMar>
            <w:top w:w="0" w:type="dxa"/>
            <w:left w:w="0" w:type="dxa"/>
            <w:bottom w:w="0" w:type="dxa"/>
            <w:right w:w="0" w:type="dxa"/>
          </w:tblCellMar>
        </w:tblPrEx>
        <w:trPr>
          <w:trHeight w:val="420"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CD2EB5">
            <w:pPr>
              <w:widowControl/>
              <w:jc w:val="center"/>
              <w:rPr>
                <w:rFonts w:ascii="宋体" w:hAnsi="宋体" w:cs="宋体"/>
                <w:color w:val="auto"/>
                <w:szCs w:val="21"/>
              </w:rPr>
            </w:pPr>
            <w:r>
              <w:rPr>
                <w:rFonts w:hint="eastAsia" w:ascii="宋体" w:hAnsi="宋体" w:cs="宋体"/>
                <w:b/>
                <w:bCs/>
                <w:color w:val="auto"/>
                <w:szCs w:val="21"/>
              </w:rPr>
              <w:t>序号</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300C6A">
            <w:pPr>
              <w:widowControl/>
              <w:jc w:val="center"/>
              <w:rPr>
                <w:rFonts w:ascii="宋体" w:hAnsi="宋体" w:cs="宋体"/>
                <w:b/>
                <w:bCs/>
                <w:color w:val="auto"/>
                <w:szCs w:val="21"/>
              </w:rPr>
            </w:pPr>
            <w:r>
              <w:rPr>
                <w:rFonts w:hint="eastAsia" w:ascii="宋体" w:hAnsi="宋体" w:cs="宋体"/>
                <w:b/>
                <w:bCs/>
                <w:color w:val="auto"/>
                <w:szCs w:val="21"/>
              </w:rPr>
              <w:t>评分因素</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6CE5F8">
            <w:pPr>
              <w:widowControl/>
              <w:jc w:val="center"/>
              <w:rPr>
                <w:rFonts w:ascii="宋体" w:hAnsi="宋体" w:cs="宋体"/>
                <w:color w:val="auto"/>
                <w:szCs w:val="21"/>
              </w:rPr>
            </w:pPr>
            <w:r>
              <w:rPr>
                <w:rFonts w:hint="eastAsia" w:ascii="宋体" w:hAnsi="宋体" w:cs="宋体"/>
                <w:b/>
                <w:bCs/>
                <w:color w:val="auto"/>
                <w:szCs w:val="21"/>
              </w:rPr>
              <w:t>评分标准</w:t>
            </w: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D9ADE5">
            <w:pPr>
              <w:widowControl/>
              <w:jc w:val="center"/>
              <w:rPr>
                <w:rFonts w:ascii="宋体" w:hAnsi="宋体" w:cs="宋体"/>
                <w:color w:val="auto"/>
                <w:szCs w:val="21"/>
              </w:rPr>
            </w:pPr>
            <w:r>
              <w:rPr>
                <w:rFonts w:hint="eastAsia" w:ascii="宋体" w:hAnsi="宋体" w:cs="宋体"/>
                <w:b/>
                <w:bCs/>
                <w:color w:val="auto"/>
                <w:szCs w:val="21"/>
              </w:rPr>
              <w:t>分值</w:t>
            </w: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3E05FC">
            <w:pPr>
              <w:widowControl/>
              <w:jc w:val="center"/>
              <w:rPr>
                <w:rFonts w:ascii="宋体" w:hAnsi="宋体" w:cs="宋体"/>
                <w:color w:val="auto"/>
                <w:szCs w:val="21"/>
              </w:rPr>
            </w:pPr>
            <w:r>
              <w:rPr>
                <w:rFonts w:hint="eastAsia" w:ascii="宋体" w:hAnsi="宋体" w:cs="宋体"/>
                <w:b/>
                <w:bCs/>
                <w:color w:val="auto"/>
                <w:szCs w:val="21"/>
              </w:rPr>
              <w:t>说明</w:t>
            </w:r>
          </w:p>
        </w:tc>
      </w:tr>
      <w:tr w14:paraId="19A07981">
        <w:tblPrEx>
          <w:tblCellMar>
            <w:top w:w="0" w:type="dxa"/>
            <w:left w:w="0" w:type="dxa"/>
            <w:bottom w:w="0" w:type="dxa"/>
            <w:right w:w="0" w:type="dxa"/>
          </w:tblCellMar>
        </w:tblPrEx>
        <w:trPr>
          <w:trHeight w:val="470"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0E500F">
            <w:pPr>
              <w:widowControl/>
              <w:jc w:val="center"/>
              <w:rPr>
                <w:rFonts w:ascii="宋体" w:hAnsi="宋体" w:cs="宋体"/>
                <w:color w:val="auto"/>
                <w:szCs w:val="21"/>
              </w:rPr>
            </w:pPr>
            <w:r>
              <w:rPr>
                <w:rFonts w:hint="eastAsia" w:ascii="宋体" w:hAnsi="宋体" w:cs="宋体"/>
                <w:b/>
                <w:bCs/>
                <w:color w:val="auto"/>
                <w:szCs w:val="21"/>
              </w:rPr>
              <w:t>1</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07048F">
            <w:pPr>
              <w:widowControl/>
              <w:jc w:val="center"/>
              <w:rPr>
                <w:rFonts w:ascii="宋体" w:hAnsi="宋体" w:cs="宋体"/>
                <w:color w:val="auto"/>
                <w:szCs w:val="21"/>
              </w:rPr>
            </w:pPr>
            <w:r>
              <w:rPr>
                <w:rFonts w:hint="eastAsia" w:ascii="宋体" w:hAnsi="宋体" w:cs="宋体"/>
                <w:b/>
                <w:bCs/>
                <w:color w:val="auto"/>
                <w:szCs w:val="21"/>
              </w:rPr>
              <w:t>价格分（30分）</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45AA1D0">
            <w:pPr>
              <w:widowControl/>
              <w:jc w:val="left"/>
              <w:rPr>
                <w:rFonts w:ascii="宋体" w:hAnsi="宋体" w:cs="宋体"/>
                <w:color w:val="auto"/>
                <w:szCs w:val="21"/>
              </w:rPr>
            </w:pP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0A78B2">
            <w:pPr>
              <w:widowControl/>
              <w:jc w:val="center"/>
              <w:rPr>
                <w:rFonts w:ascii="宋体" w:hAnsi="宋体" w:cs="宋体"/>
                <w:color w:val="auto"/>
                <w:szCs w:val="21"/>
              </w:rPr>
            </w:pP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1C6E4B4">
            <w:pPr>
              <w:widowControl/>
              <w:jc w:val="center"/>
              <w:rPr>
                <w:rFonts w:ascii="宋体" w:hAnsi="宋体" w:cs="宋体"/>
                <w:color w:val="auto"/>
                <w:szCs w:val="21"/>
              </w:rPr>
            </w:pPr>
          </w:p>
        </w:tc>
      </w:tr>
      <w:tr w14:paraId="500422D7">
        <w:tblPrEx>
          <w:tblCellMar>
            <w:top w:w="0" w:type="dxa"/>
            <w:left w:w="0" w:type="dxa"/>
            <w:bottom w:w="0" w:type="dxa"/>
            <w:right w:w="0" w:type="dxa"/>
          </w:tblCellMar>
        </w:tblPrEx>
        <w:trPr>
          <w:trHeight w:val="1914" w:hRule="atLeast"/>
        </w:trPr>
        <w:tc>
          <w:tcPr>
            <w:tcW w:w="0" w:type="auto"/>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9CDCC87">
            <w:pPr>
              <w:widowControl/>
              <w:jc w:val="center"/>
              <w:rPr>
                <w:rFonts w:hint="eastAsia"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Cs w:val="21"/>
                <w:lang w:val="en-US" w:eastAsia="zh-CN"/>
              </w:rPr>
              <w:t>1.1</w:t>
            </w:r>
          </w:p>
        </w:tc>
        <w:tc>
          <w:tcPr>
            <w:tcW w:w="1193"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4ADCD5B">
            <w:pPr>
              <w:widowControl/>
              <w:jc w:val="center"/>
              <w:rPr>
                <w:rFonts w:hint="eastAsia"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Cs w:val="21"/>
                <w:lang w:val="en-US" w:eastAsia="zh-CN"/>
              </w:rPr>
              <w:t>工时单价</w:t>
            </w:r>
            <w:r>
              <w:rPr>
                <w:rFonts w:hint="eastAsia" w:ascii="Times New Roman" w:hAnsi="Times New Roman" w:cs="Times New Roman"/>
                <w:b/>
                <w:bCs/>
                <w:color w:val="auto"/>
                <w:szCs w:val="21"/>
                <w:lang w:val="en-US" w:eastAsia="zh-CN"/>
              </w:rPr>
              <w:t>、</w:t>
            </w:r>
            <w:r>
              <w:rPr>
                <w:rFonts w:hint="default" w:ascii="Times New Roman" w:hAnsi="Times New Roman" w:cs="Times New Roman"/>
                <w:b/>
                <w:bCs/>
                <w:color w:val="auto"/>
                <w:szCs w:val="21"/>
                <w:lang w:val="en-US" w:eastAsia="zh-CN"/>
              </w:rPr>
              <w:t>材料进销差价率</w:t>
            </w:r>
          </w:p>
        </w:tc>
        <w:tc>
          <w:tcPr>
            <w:tcW w:w="4327"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7F47A80">
            <w:pPr>
              <w:spacing w:line="300" w:lineRule="exact"/>
              <w:rPr>
                <w:rFonts w:hint="default" w:ascii="Times New Roman" w:hAnsi="Times New Roman" w:cs="Times New Roman"/>
                <w:color w:val="auto"/>
                <w:szCs w:val="21"/>
              </w:rPr>
            </w:pPr>
            <w:r>
              <w:rPr>
                <w:rFonts w:hint="default" w:ascii="Times New Roman" w:hAnsi="Times New Roman" w:cs="Times New Roman"/>
                <w:color w:val="auto"/>
                <w:szCs w:val="21"/>
              </w:rPr>
              <w:t>采用高下浮率优先法计算，即满足招标文件要求且下浮率最高的为评标基准下浮率，该投标人下浮率得满分</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0分。其他投标人的下浮率得分统一按照下列公式计算：</w:t>
            </w:r>
          </w:p>
          <w:p w14:paraId="4C79DCF1">
            <w:pPr>
              <w:widowControl/>
              <w:jc w:val="left"/>
              <w:rPr>
                <w:rFonts w:hint="eastAsia" w:ascii="Times New Roman" w:hAnsi="Times New Roman" w:eastAsia="宋体" w:cs="Times New Roman"/>
                <w:color w:val="auto"/>
                <w:sz w:val="21"/>
                <w:szCs w:val="21"/>
              </w:rPr>
            </w:pPr>
            <w:r>
              <w:rPr>
                <w:rFonts w:hint="default" w:ascii="Times New Roman" w:hAnsi="Times New Roman" w:cs="Times New Roman"/>
                <w:color w:val="auto"/>
                <w:szCs w:val="21"/>
              </w:rPr>
              <w:t>下浮率得分=</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1-评标基准下浮率</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/（1-投标下浮率）×</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0。</w:t>
            </w:r>
          </w:p>
        </w:tc>
        <w:tc>
          <w:tcPr>
            <w:tcW w:w="976"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67CE60B">
            <w:pPr>
              <w:widowControl/>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Cs w:val="21"/>
                <w:lang w:val="en-US" w:eastAsia="zh-CN"/>
              </w:rPr>
              <w:t>3</w:t>
            </w:r>
            <w:r>
              <w:rPr>
                <w:rFonts w:hint="default" w:ascii="Times New Roman" w:hAnsi="Times New Roman" w:cs="Times New Roman"/>
                <w:b/>
                <w:bCs/>
                <w:color w:val="auto"/>
                <w:szCs w:val="21"/>
                <w:lang w:val="en-US" w:eastAsia="zh-CN"/>
              </w:rPr>
              <w:t>0</w:t>
            </w:r>
          </w:p>
        </w:tc>
        <w:tc>
          <w:tcPr>
            <w:tcW w:w="2804"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CDDF09D">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最高限制单价：</w:t>
            </w:r>
          </w:p>
          <w:p w14:paraId="11449FAF">
            <w:pPr>
              <w:widowControl/>
              <w:jc w:val="center"/>
              <w:rPr>
                <w:rFonts w:hint="eastAsia" w:ascii="Times New Roman" w:hAnsi="Times New Roman" w:cs="Times New Roman"/>
                <w:color w:val="auto"/>
                <w:szCs w:val="21"/>
                <w:lang w:eastAsia="zh-CN"/>
              </w:rPr>
            </w:pPr>
            <w:r>
              <w:rPr>
                <w:rFonts w:hint="default" w:ascii="Times New Roman" w:hAnsi="Times New Roman" w:cs="Times New Roman"/>
                <w:color w:val="auto"/>
                <w:szCs w:val="21"/>
              </w:rPr>
              <w:t>工时单价：15元/工时</w:t>
            </w:r>
          </w:p>
          <w:p w14:paraId="14C8EE9E">
            <w:pPr>
              <w:widowControl/>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Cs w:val="21"/>
              </w:rPr>
              <w:t>材料进销差价率：15%</w:t>
            </w:r>
          </w:p>
        </w:tc>
      </w:tr>
      <w:tr w14:paraId="6C346A2C">
        <w:tblPrEx>
          <w:tblCellMar>
            <w:top w:w="0" w:type="dxa"/>
            <w:left w:w="0" w:type="dxa"/>
            <w:bottom w:w="0" w:type="dxa"/>
            <w:right w:w="0" w:type="dxa"/>
          </w:tblCellMar>
        </w:tblPrEx>
        <w:trPr>
          <w:trHeight w:val="533"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E690F6">
            <w:pPr>
              <w:widowControl/>
              <w:jc w:val="center"/>
              <w:rPr>
                <w:rFonts w:ascii="宋体" w:hAnsi="宋体" w:cs="宋体"/>
                <w:b/>
                <w:bCs/>
                <w:color w:val="auto"/>
                <w:szCs w:val="21"/>
              </w:rPr>
            </w:pPr>
            <w:r>
              <w:rPr>
                <w:rFonts w:hint="eastAsia" w:ascii="宋体" w:hAnsi="宋体" w:cs="宋体"/>
                <w:b/>
                <w:bCs/>
                <w:color w:val="auto"/>
                <w:szCs w:val="21"/>
              </w:rPr>
              <w:t>2</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287A27">
            <w:pPr>
              <w:widowControl/>
              <w:jc w:val="center"/>
              <w:rPr>
                <w:rFonts w:ascii="宋体" w:hAnsi="宋体" w:cs="宋体"/>
                <w:b/>
                <w:bCs/>
                <w:color w:val="auto"/>
                <w:szCs w:val="21"/>
              </w:rPr>
            </w:pPr>
            <w:r>
              <w:rPr>
                <w:rFonts w:hint="eastAsia" w:ascii="宋体" w:hAnsi="宋体" w:cs="宋体"/>
                <w:b/>
                <w:bCs/>
                <w:color w:val="auto"/>
                <w:szCs w:val="21"/>
              </w:rPr>
              <w:t>主观分</w:t>
            </w:r>
          </w:p>
          <w:p w14:paraId="2D3EC3FA">
            <w:pPr>
              <w:widowControl/>
              <w:jc w:val="left"/>
              <w:rPr>
                <w:rFonts w:ascii="宋体" w:hAnsi="宋体" w:cs="宋体"/>
                <w:bCs/>
                <w:color w:val="auto"/>
                <w:szCs w:val="21"/>
              </w:rPr>
            </w:pPr>
            <w:r>
              <w:rPr>
                <w:rFonts w:hint="eastAsia" w:ascii="宋体" w:hAnsi="宋体" w:cs="宋体"/>
                <w:b/>
                <w:bCs/>
                <w:color w:val="auto"/>
                <w:szCs w:val="21"/>
              </w:rPr>
              <w:t>（3</w:t>
            </w:r>
            <w:r>
              <w:rPr>
                <w:rFonts w:hint="eastAsia" w:ascii="宋体" w:hAnsi="宋体" w:cs="宋体"/>
                <w:b/>
                <w:bCs/>
                <w:color w:val="auto"/>
                <w:szCs w:val="21"/>
                <w:lang w:val="en-US" w:eastAsia="zh-CN"/>
              </w:rPr>
              <w:t>5</w:t>
            </w:r>
            <w:r>
              <w:rPr>
                <w:rFonts w:hint="eastAsia" w:ascii="宋体" w:hAnsi="宋体" w:cs="宋体"/>
                <w:b/>
                <w:bCs/>
                <w:color w:val="auto"/>
                <w:szCs w:val="21"/>
              </w:rPr>
              <w:t>分）</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D03326">
            <w:pPr>
              <w:widowControl/>
              <w:jc w:val="left"/>
              <w:rPr>
                <w:rFonts w:ascii="宋体" w:hAnsi="宋体" w:cs="宋体"/>
                <w:bCs/>
                <w:color w:val="auto"/>
                <w:szCs w:val="21"/>
              </w:rPr>
            </w:pP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1DFF59">
            <w:pPr>
              <w:widowControl/>
              <w:jc w:val="center"/>
              <w:rPr>
                <w:rFonts w:ascii="宋体" w:hAnsi="宋体" w:cs="宋体"/>
                <w:b/>
                <w:bCs/>
                <w:color w:val="auto"/>
                <w:szCs w:val="21"/>
              </w:rPr>
            </w:pP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B75DF0">
            <w:pPr>
              <w:widowControl/>
              <w:jc w:val="center"/>
              <w:rPr>
                <w:rFonts w:ascii="宋体" w:hAnsi="宋体" w:cs="宋体"/>
                <w:color w:val="auto"/>
                <w:szCs w:val="21"/>
              </w:rPr>
            </w:pPr>
          </w:p>
        </w:tc>
      </w:tr>
      <w:tr w14:paraId="63EBE453">
        <w:tblPrEx>
          <w:tblCellMar>
            <w:top w:w="0" w:type="dxa"/>
            <w:left w:w="0" w:type="dxa"/>
            <w:bottom w:w="0" w:type="dxa"/>
            <w:right w:w="0" w:type="dxa"/>
          </w:tblCellMar>
        </w:tblPrEx>
        <w:trPr>
          <w:trHeight w:val="1075"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726440">
            <w:pPr>
              <w:widowControl/>
              <w:jc w:val="center"/>
              <w:rPr>
                <w:rFonts w:ascii="宋体" w:hAnsi="宋体" w:cs="宋体"/>
                <w:b/>
                <w:bCs/>
                <w:color w:val="auto"/>
                <w:szCs w:val="21"/>
              </w:rPr>
            </w:pPr>
            <w:r>
              <w:rPr>
                <w:rFonts w:hint="eastAsia" w:ascii="宋体" w:hAnsi="宋体" w:cs="宋体"/>
                <w:b/>
                <w:bCs/>
                <w:color w:val="auto"/>
                <w:szCs w:val="21"/>
              </w:rPr>
              <w:t>2.1</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D5E85">
            <w:pPr>
              <w:widowControl/>
              <w:jc w:val="left"/>
              <w:rPr>
                <w:rFonts w:ascii="宋体" w:hAnsi="宋体" w:cs="宋体"/>
                <w:color w:val="auto"/>
                <w:szCs w:val="21"/>
              </w:rPr>
            </w:pPr>
            <w:r>
              <w:rPr>
                <w:rFonts w:hint="eastAsia" w:ascii="宋体" w:hAnsi="宋体" w:cs="宋体"/>
                <w:color w:val="auto"/>
                <w:szCs w:val="21"/>
              </w:rPr>
              <w:t>整体方案</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0BFB18">
            <w:pPr>
              <w:widowControl/>
              <w:jc w:val="left"/>
              <w:rPr>
                <w:rFonts w:hint="default" w:ascii="Times New Roman" w:hAnsi="Times New Roman" w:cs="Times New Roman"/>
                <w:bCs/>
                <w:color w:val="auto"/>
                <w:szCs w:val="21"/>
              </w:rPr>
            </w:pPr>
            <w:r>
              <w:rPr>
                <w:rFonts w:hint="eastAsia" w:ascii="Times New Roman" w:hAnsi="Times New Roman" w:cs="Times New Roman"/>
                <w:bCs/>
                <w:color w:val="auto"/>
                <w:szCs w:val="21"/>
                <w:lang w:eastAsia="zh-CN"/>
              </w:rPr>
              <w:t>（</w:t>
            </w:r>
            <w:r>
              <w:rPr>
                <w:rFonts w:hint="eastAsia" w:ascii="Times New Roman" w:hAnsi="Times New Roman" w:cs="Times New Roman"/>
                <w:bCs/>
                <w:color w:val="auto"/>
                <w:szCs w:val="21"/>
                <w:lang w:val="en-US" w:eastAsia="zh-CN"/>
              </w:rPr>
              <w:t>1）</w:t>
            </w:r>
            <w:r>
              <w:rPr>
                <w:rFonts w:hint="default" w:ascii="Times New Roman" w:hAnsi="Times New Roman" w:cs="Times New Roman"/>
                <w:bCs/>
                <w:color w:val="auto"/>
                <w:szCs w:val="21"/>
              </w:rPr>
              <w:t>基本服务方案（20分）：根据投标人的业务流程管理（5分）、修理场所管理（5分）、各项规章制度（5分）、专项管理的内容（5分）：由评审小组进行综合评审，非常恰当适用的得5分，较为恰当的得3分，一般的得1分；未表述该项内容的不得分。</w:t>
            </w:r>
          </w:p>
          <w:p w14:paraId="63EC7ECA">
            <w:pPr>
              <w:widowControl/>
              <w:jc w:val="left"/>
              <w:rPr>
                <w:rFonts w:ascii="宋体" w:hAnsi="宋体" w:cs="宋体"/>
                <w:bCs/>
                <w:color w:val="auto"/>
                <w:szCs w:val="21"/>
              </w:rPr>
            </w:pPr>
            <w:r>
              <w:rPr>
                <w:rFonts w:hint="default" w:ascii="Times New Roman" w:hAnsi="Times New Roman" w:cs="Times New Roman"/>
                <w:bCs/>
                <w:color w:val="auto"/>
                <w:szCs w:val="21"/>
              </w:rPr>
              <w:t>（2）特色服务方案（15分）：根据投标人提供的其它特色服务，含服务范围（3分）、紧急救援时间（3分）、措施（3分）、清障车（3分）、及其他情况（3分）：由评审小组进行综合评审，非常恰当适用的得3分，较为恰当的得2分，一般的得1分；未表述该项内容的不得分</w:t>
            </w:r>
            <w:r>
              <w:rPr>
                <w:rFonts w:hint="eastAsia" w:ascii="宋体" w:hAnsi="宋体" w:cs="宋体"/>
                <w:bCs/>
                <w:color w:val="auto"/>
                <w:szCs w:val="21"/>
              </w:rPr>
              <w:t>。</w:t>
            </w: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E5F7B2">
            <w:pPr>
              <w:widowControl/>
              <w:jc w:val="center"/>
              <w:rPr>
                <w:rFonts w:hint="default" w:ascii="宋体" w:hAnsi="宋体" w:eastAsia="宋体" w:cs="宋体"/>
                <w:color w:val="auto"/>
                <w:szCs w:val="21"/>
                <w:lang w:val="en-US" w:eastAsia="zh-CN"/>
              </w:rPr>
            </w:pPr>
            <w:r>
              <w:rPr>
                <w:rFonts w:hint="eastAsia" w:ascii="宋体" w:hAnsi="宋体" w:cs="宋体"/>
                <w:b/>
                <w:bCs/>
                <w:color w:val="auto"/>
                <w:szCs w:val="21"/>
                <w:lang w:val="en-US" w:eastAsia="zh-CN"/>
              </w:rPr>
              <w:t>35</w:t>
            </w: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75B8C7">
            <w:pPr>
              <w:widowControl/>
              <w:jc w:val="center"/>
              <w:rPr>
                <w:rFonts w:ascii="宋体" w:hAnsi="宋体" w:cs="宋体"/>
                <w:color w:val="auto"/>
                <w:szCs w:val="21"/>
              </w:rPr>
            </w:pPr>
          </w:p>
        </w:tc>
      </w:tr>
      <w:tr w14:paraId="017613AC">
        <w:tblPrEx>
          <w:tblCellMar>
            <w:top w:w="0" w:type="dxa"/>
            <w:left w:w="0" w:type="dxa"/>
            <w:bottom w:w="0" w:type="dxa"/>
            <w:right w:w="0" w:type="dxa"/>
          </w:tblCellMar>
        </w:tblPrEx>
        <w:trPr>
          <w:trHeight w:val="420"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3474CB">
            <w:pPr>
              <w:widowControl/>
              <w:jc w:val="center"/>
              <w:rPr>
                <w:rFonts w:ascii="宋体" w:hAnsi="宋体" w:cs="宋体"/>
                <w:b/>
                <w:bCs/>
                <w:color w:val="auto"/>
                <w:szCs w:val="21"/>
              </w:rPr>
            </w:pPr>
            <w:r>
              <w:rPr>
                <w:rFonts w:hint="eastAsia" w:ascii="宋体" w:hAnsi="宋体" w:cs="宋体"/>
                <w:b/>
                <w:bCs/>
                <w:color w:val="auto"/>
                <w:szCs w:val="21"/>
              </w:rPr>
              <w:t>3</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1C2261">
            <w:pPr>
              <w:widowControl/>
              <w:jc w:val="center"/>
              <w:rPr>
                <w:rFonts w:ascii="宋体" w:hAnsi="宋体" w:cs="宋体"/>
                <w:b/>
                <w:bCs/>
                <w:color w:val="auto"/>
                <w:szCs w:val="21"/>
              </w:rPr>
            </w:pPr>
            <w:r>
              <w:rPr>
                <w:rFonts w:hint="eastAsia" w:ascii="宋体" w:hAnsi="宋体" w:cs="宋体"/>
                <w:b/>
                <w:bCs/>
                <w:color w:val="auto"/>
                <w:szCs w:val="21"/>
              </w:rPr>
              <w:t>客观分（3</w:t>
            </w:r>
            <w:r>
              <w:rPr>
                <w:rFonts w:hint="eastAsia" w:ascii="宋体" w:hAnsi="宋体" w:cs="宋体"/>
                <w:b/>
                <w:bCs/>
                <w:color w:val="auto"/>
                <w:szCs w:val="21"/>
                <w:lang w:val="en-US" w:eastAsia="zh-CN"/>
              </w:rPr>
              <w:t>5</w:t>
            </w:r>
            <w:r>
              <w:rPr>
                <w:rFonts w:hint="eastAsia" w:ascii="宋体" w:hAnsi="宋体" w:cs="宋体"/>
                <w:b/>
                <w:bCs/>
                <w:color w:val="auto"/>
                <w:szCs w:val="21"/>
              </w:rPr>
              <w:t>分）</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801E7C">
            <w:pPr>
              <w:widowControl/>
              <w:jc w:val="left"/>
              <w:rPr>
                <w:rFonts w:ascii="宋体" w:hAnsi="宋体" w:cs="宋体"/>
                <w:bCs/>
                <w:color w:val="auto"/>
                <w:szCs w:val="21"/>
              </w:rPr>
            </w:pP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9BD458">
            <w:pPr>
              <w:widowControl/>
              <w:jc w:val="center"/>
              <w:rPr>
                <w:rFonts w:ascii="宋体" w:hAnsi="宋体" w:cs="宋体"/>
                <w:b/>
                <w:bCs/>
                <w:color w:val="auto"/>
                <w:szCs w:val="21"/>
              </w:rPr>
            </w:pP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4A9892C">
            <w:pPr>
              <w:widowControl/>
              <w:jc w:val="center"/>
              <w:rPr>
                <w:rFonts w:ascii="宋体" w:hAnsi="宋体" w:cs="宋体"/>
                <w:color w:val="auto"/>
                <w:szCs w:val="21"/>
              </w:rPr>
            </w:pPr>
          </w:p>
        </w:tc>
      </w:tr>
      <w:tr w14:paraId="480F19CE">
        <w:tblPrEx>
          <w:tblCellMar>
            <w:top w:w="0" w:type="dxa"/>
            <w:left w:w="0" w:type="dxa"/>
            <w:bottom w:w="0" w:type="dxa"/>
            <w:right w:w="0" w:type="dxa"/>
          </w:tblCellMar>
        </w:tblPrEx>
        <w:trPr>
          <w:trHeight w:val="684"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9742F8">
            <w:pPr>
              <w:widowControl/>
              <w:jc w:val="center"/>
              <w:rPr>
                <w:rFonts w:ascii="宋体" w:hAnsi="宋体" w:cs="宋体"/>
                <w:b/>
                <w:bCs/>
                <w:color w:val="auto"/>
                <w:szCs w:val="21"/>
              </w:rPr>
            </w:pPr>
            <w:r>
              <w:rPr>
                <w:rFonts w:hint="eastAsia" w:ascii="宋体" w:hAnsi="宋体" w:cs="宋体"/>
                <w:b/>
                <w:bCs/>
                <w:color w:val="auto"/>
                <w:szCs w:val="21"/>
              </w:rPr>
              <w:t>3.1</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029ECD">
            <w:pPr>
              <w:widowControl/>
              <w:rPr>
                <w:rFonts w:ascii="宋体" w:hAnsi="宋体" w:cs="宋体"/>
                <w:bCs/>
                <w:color w:val="auto"/>
                <w:szCs w:val="21"/>
              </w:rPr>
            </w:pPr>
            <w:r>
              <w:rPr>
                <w:rFonts w:hint="eastAsia" w:ascii="宋体" w:hAnsi="宋体" w:cs="宋体"/>
                <w:bCs/>
                <w:color w:val="auto"/>
                <w:szCs w:val="21"/>
              </w:rPr>
              <w:t>信息化监管设备</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970E59">
            <w:pPr>
              <w:widowControl/>
              <w:jc w:val="left"/>
              <w:rPr>
                <w:rFonts w:ascii="宋体" w:hAnsi="宋体" w:cs="宋体"/>
                <w:color w:val="auto"/>
                <w:szCs w:val="21"/>
              </w:rPr>
            </w:pPr>
            <w:r>
              <w:rPr>
                <w:rFonts w:hint="default" w:ascii="Times New Roman" w:hAnsi="Times New Roman" w:cs="Times New Roman"/>
                <w:color w:val="auto"/>
                <w:szCs w:val="21"/>
              </w:rPr>
              <w:t>投标人具备：公务用车专用维修工位，且维修工位装有2个以上监控设备，并可单独对公务用车维修进行监控的得</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分；须提供专用工位标识和监控设备（摄像头和监控电脑）照片</w:t>
            </w:r>
            <w:r>
              <w:rPr>
                <w:rFonts w:hint="eastAsia" w:ascii="宋体" w:hAnsi="宋体" w:cs="宋体"/>
                <w:color w:val="auto"/>
                <w:szCs w:val="21"/>
              </w:rPr>
              <w:t>。</w:t>
            </w: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78F79E">
            <w:pPr>
              <w:widowControl/>
              <w:jc w:val="center"/>
              <w:rPr>
                <w:rFonts w:hint="eastAsia" w:ascii="宋体" w:hAnsi="宋体" w:eastAsia="宋体" w:cs="宋体"/>
                <w:color w:val="auto"/>
                <w:szCs w:val="21"/>
                <w:lang w:eastAsia="zh-CN"/>
              </w:rPr>
            </w:pPr>
            <w:r>
              <w:rPr>
                <w:rFonts w:hint="eastAsia" w:ascii="宋体" w:hAnsi="宋体" w:cs="宋体"/>
                <w:b/>
                <w:bCs/>
                <w:color w:val="auto"/>
                <w:szCs w:val="21"/>
                <w:lang w:val="en-US" w:eastAsia="zh-CN"/>
              </w:rPr>
              <w:t>2</w:t>
            </w: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E7117D">
            <w:pPr>
              <w:widowControl/>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提供相应证明材料</w:t>
            </w:r>
          </w:p>
        </w:tc>
      </w:tr>
      <w:tr w14:paraId="7AC6BCEA">
        <w:tblPrEx>
          <w:tblCellMar>
            <w:top w:w="0" w:type="dxa"/>
            <w:left w:w="0" w:type="dxa"/>
            <w:bottom w:w="0" w:type="dxa"/>
            <w:right w:w="0" w:type="dxa"/>
          </w:tblCellMar>
        </w:tblPrEx>
        <w:trPr>
          <w:trHeight w:val="1132"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95BECE">
            <w:pPr>
              <w:widowControl/>
              <w:jc w:val="center"/>
              <w:rPr>
                <w:rFonts w:ascii="宋体" w:hAnsi="宋体" w:cs="宋体"/>
                <w:b/>
                <w:bCs/>
                <w:color w:val="auto"/>
                <w:szCs w:val="21"/>
              </w:rPr>
            </w:pPr>
            <w:r>
              <w:rPr>
                <w:rFonts w:hint="eastAsia" w:ascii="宋体" w:hAnsi="宋体" w:cs="宋体"/>
                <w:b/>
                <w:bCs/>
                <w:color w:val="auto"/>
                <w:szCs w:val="21"/>
              </w:rPr>
              <w:t>3.2</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8E2F0B">
            <w:pPr>
              <w:widowControl/>
              <w:rPr>
                <w:rFonts w:ascii="宋体" w:hAnsi="宋体" w:cs="宋体"/>
                <w:bCs/>
                <w:color w:val="auto"/>
                <w:szCs w:val="21"/>
              </w:rPr>
            </w:pPr>
            <w:r>
              <w:rPr>
                <w:rFonts w:hint="eastAsia" w:ascii="宋体" w:hAnsi="宋体" w:cs="宋体"/>
                <w:bCs/>
                <w:color w:val="auto"/>
                <w:szCs w:val="21"/>
              </w:rPr>
              <w:t>从业人员资质</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B7400B">
            <w:pPr>
              <w:widowControl/>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具有与本行业有关的高级技术等级有1人得1分，最高得</w:t>
            </w: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分。</w:t>
            </w:r>
          </w:p>
          <w:p w14:paraId="3294C48C">
            <w:pPr>
              <w:widowControl/>
              <w:rPr>
                <w:rFonts w:hint="default" w:ascii="Times New Roman" w:hAnsi="Times New Roman" w:cs="Times New Roman"/>
                <w:color w:val="auto"/>
                <w:szCs w:val="21"/>
              </w:rPr>
            </w:pPr>
            <w:r>
              <w:rPr>
                <w:rFonts w:hint="default" w:ascii="Times New Roman" w:hAnsi="Times New Roman" w:cs="Times New Roman"/>
                <w:color w:val="auto"/>
                <w:szCs w:val="21"/>
              </w:rPr>
              <w:t>（2）具有与本行业有关的中级技术等级有1人得0.5分，最高得</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分。</w:t>
            </w:r>
          </w:p>
          <w:p w14:paraId="746D029C">
            <w:pPr>
              <w:widowControl/>
              <w:rPr>
                <w:rFonts w:ascii="宋体" w:hAnsi="宋体" w:cs="宋体"/>
                <w:color w:val="auto"/>
                <w:szCs w:val="21"/>
              </w:rPr>
            </w:pPr>
            <w:r>
              <w:rPr>
                <w:rFonts w:hint="default" w:ascii="Times New Roman" w:hAnsi="Times New Roman" w:cs="Times New Roman"/>
                <w:color w:val="auto"/>
                <w:szCs w:val="21"/>
              </w:rPr>
              <w:t>（3）技工人员有5人得2分，少一人扣1分。最高得2分</w:t>
            </w:r>
            <w:r>
              <w:rPr>
                <w:rFonts w:hint="eastAsia" w:ascii="宋体" w:hAnsi="宋体" w:cs="宋体"/>
                <w:color w:val="auto"/>
                <w:szCs w:val="21"/>
              </w:rPr>
              <w:t>。</w:t>
            </w: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03762CC">
            <w:pPr>
              <w:widowControl/>
              <w:jc w:val="center"/>
              <w:rPr>
                <w:rFonts w:hint="eastAsia" w:ascii="宋体" w:hAnsi="宋体" w:eastAsia="宋体" w:cs="宋体"/>
                <w:color w:val="auto"/>
                <w:szCs w:val="21"/>
                <w:lang w:eastAsia="zh-CN"/>
              </w:rPr>
            </w:pPr>
            <w:r>
              <w:rPr>
                <w:rFonts w:hint="eastAsia" w:ascii="宋体" w:hAnsi="宋体" w:cs="宋体"/>
                <w:b/>
                <w:bCs/>
                <w:color w:val="auto"/>
                <w:szCs w:val="21"/>
                <w:lang w:val="en-US" w:eastAsia="zh-CN"/>
              </w:rPr>
              <w:t>8</w:t>
            </w: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F845F8">
            <w:pPr>
              <w:widowControl/>
              <w:jc w:val="left"/>
              <w:rPr>
                <w:rFonts w:ascii="宋体" w:hAnsi="宋体" w:cs="宋体"/>
                <w:color w:val="auto"/>
                <w:szCs w:val="21"/>
              </w:rPr>
            </w:pPr>
            <w:r>
              <w:rPr>
                <w:rFonts w:hint="default" w:ascii="Times New Roman" w:hAnsi="Times New Roman" w:cs="Times New Roman"/>
                <w:color w:val="auto"/>
                <w:szCs w:val="21"/>
                <w:lang w:val="en-US" w:eastAsia="zh-CN"/>
              </w:rPr>
              <w:t>须提供具有有权部门认可的与本行业有关有效证书且须附复印件。聘请高工必须有聘书且在有效期内方可得分</w:t>
            </w:r>
            <w:r>
              <w:rPr>
                <w:rFonts w:hint="eastAsia" w:ascii="宋体" w:hAnsi="宋体" w:cs="宋体"/>
                <w:color w:val="auto"/>
                <w:szCs w:val="21"/>
                <w:lang w:val="en-US" w:eastAsia="zh-CN"/>
              </w:rPr>
              <w:t>。</w:t>
            </w:r>
          </w:p>
        </w:tc>
      </w:tr>
      <w:tr w14:paraId="177CFA06">
        <w:tblPrEx>
          <w:tblCellMar>
            <w:top w:w="0" w:type="dxa"/>
            <w:left w:w="0" w:type="dxa"/>
            <w:bottom w:w="0" w:type="dxa"/>
            <w:right w:w="0" w:type="dxa"/>
          </w:tblCellMar>
        </w:tblPrEx>
        <w:trPr>
          <w:trHeight w:val="1146"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5CB334">
            <w:pPr>
              <w:widowControl/>
              <w:jc w:val="center"/>
              <w:rPr>
                <w:rFonts w:ascii="宋体" w:hAnsi="宋体" w:cs="宋体"/>
                <w:b/>
                <w:bCs/>
                <w:color w:val="auto"/>
                <w:szCs w:val="21"/>
              </w:rPr>
            </w:pPr>
            <w:r>
              <w:rPr>
                <w:rFonts w:hint="eastAsia" w:ascii="宋体" w:hAnsi="宋体" w:cs="宋体"/>
                <w:b/>
                <w:bCs/>
                <w:color w:val="auto"/>
                <w:szCs w:val="21"/>
              </w:rPr>
              <w:t>3.3</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887D88">
            <w:pPr>
              <w:spacing w:line="280" w:lineRule="exact"/>
              <w:jc w:val="left"/>
              <w:rPr>
                <w:rFonts w:ascii="宋体" w:hAnsi="宋体" w:cs="宋体"/>
                <w:color w:val="auto"/>
                <w:szCs w:val="21"/>
              </w:rPr>
            </w:pPr>
            <w:r>
              <w:rPr>
                <w:rFonts w:hint="eastAsia" w:ascii="宋体" w:hAnsi="宋体" w:cs="宋体"/>
                <w:color w:val="auto"/>
                <w:szCs w:val="21"/>
              </w:rPr>
              <w:t>维修设备</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23D077">
            <w:pPr>
              <w:spacing w:line="280" w:lineRule="exact"/>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投标人具备：总成吊装设备、喷燃油系统清洗设备、发动机检测诊断设备、车身校正设备、制动检测台、测滑试验台、车速试验台、四轮定位仪、机电举升器有5位以上、前照灯检测仪、排气分析仪、故障诊断设备、无损探伤设备、悬架试验台的每有一个得1.5分，共</w:t>
            </w:r>
            <w:r>
              <w:rPr>
                <w:rFonts w:hint="default" w:ascii="Times New Roman" w:hAnsi="Times New Roman" w:cs="Times New Roman"/>
                <w:bCs/>
                <w:color w:val="auto"/>
                <w:szCs w:val="21"/>
                <w:lang w:val="en-US" w:eastAsia="zh-CN"/>
              </w:rPr>
              <w:t>15</w:t>
            </w:r>
            <w:r>
              <w:rPr>
                <w:rFonts w:hint="default" w:ascii="Times New Roman" w:hAnsi="Times New Roman" w:cs="Times New Roman"/>
                <w:bCs/>
                <w:color w:val="auto"/>
                <w:szCs w:val="21"/>
              </w:rPr>
              <w:t>分；如投标人具有其它先进设备可替代上述相应设备的须附详细情况说明，并经评委认定确实是可替代的先进设备的可获得相应得分。</w:t>
            </w:r>
          </w:p>
          <w:p w14:paraId="7B1FE497">
            <w:pPr>
              <w:spacing w:line="280" w:lineRule="exact"/>
              <w:jc w:val="left"/>
              <w:rPr>
                <w:rFonts w:ascii="宋体" w:hAnsi="宋体" w:cs="宋体"/>
                <w:bCs/>
                <w:color w:val="auto"/>
                <w:szCs w:val="21"/>
              </w:rPr>
            </w:pPr>
            <w:r>
              <w:rPr>
                <w:rFonts w:hint="default" w:ascii="Times New Roman" w:hAnsi="Times New Roman" w:cs="Times New Roman"/>
                <w:bCs/>
                <w:color w:val="auto"/>
                <w:szCs w:val="21"/>
              </w:rPr>
              <w:t>另视投标人拥有的除上述设备之外的其他另有优势设备的优劣情况酌情给分，最高得</w:t>
            </w:r>
            <w:r>
              <w:rPr>
                <w:rFonts w:hint="default" w:ascii="Times New Roman" w:hAnsi="Times New Roman" w:cs="Times New Roman"/>
                <w:bCs/>
                <w:color w:val="auto"/>
                <w:szCs w:val="21"/>
                <w:lang w:val="en-US" w:eastAsia="zh-CN"/>
              </w:rPr>
              <w:t>5</w:t>
            </w:r>
            <w:r>
              <w:rPr>
                <w:rFonts w:hint="default" w:ascii="Times New Roman" w:hAnsi="Times New Roman" w:cs="Times New Roman"/>
                <w:bCs/>
                <w:color w:val="auto"/>
                <w:szCs w:val="21"/>
              </w:rPr>
              <w:t>分。须提供相应设备的购买发票复印件（或具有资质的评估公司出具的评估报告）</w:t>
            </w:r>
            <w:r>
              <w:rPr>
                <w:rFonts w:hint="eastAsia" w:ascii="宋体" w:hAnsi="宋体" w:cs="宋体"/>
                <w:bCs/>
                <w:color w:val="auto"/>
                <w:szCs w:val="21"/>
              </w:rPr>
              <w:t>。</w:t>
            </w: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086DF53">
            <w:pPr>
              <w:widowControl/>
              <w:jc w:val="center"/>
              <w:rPr>
                <w:rFonts w:hint="default" w:ascii="宋体" w:hAnsi="宋体" w:eastAsia="宋体" w:cs="宋体"/>
                <w:color w:val="auto"/>
                <w:szCs w:val="21"/>
                <w:lang w:val="en-US" w:eastAsia="zh-CN"/>
              </w:rPr>
            </w:pPr>
            <w:r>
              <w:rPr>
                <w:rFonts w:hint="eastAsia" w:ascii="宋体" w:hAnsi="宋体" w:cs="宋体"/>
                <w:b/>
                <w:bCs/>
                <w:color w:val="auto"/>
                <w:szCs w:val="21"/>
                <w:lang w:val="en-US" w:eastAsia="zh-CN"/>
              </w:rPr>
              <w:t>20</w:t>
            </w: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6DE0E8">
            <w:pPr>
              <w:widowControl/>
              <w:jc w:val="center"/>
              <w:rPr>
                <w:rFonts w:ascii="宋体" w:hAnsi="宋体" w:cs="宋体"/>
                <w:color w:val="auto"/>
                <w:szCs w:val="21"/>
              </w:rPr>
            </w:pPr>
            <w:r>
              <w:rPr>
                <w:rFonts w:hint="default" w:ascii="Times New Roman" w:hAnsi="Times New Roman" w:cs="Times New Roman"/>
                <w:color w:val="auto"/>
                <w:szCs w:val="21"/>
              </w:rPr>
              <w:t>所供设备必须完好且须附有购置发票（或具有资质的评估公司出具的评估报告）复印件，改制企业以相关证明文件为准，否则不得分</w:t>
            </w:r>
            <w:r>
              <w:rPr>
                <w:rFonts w:hint="eastAsia" w:ascii="宋体" w:hAnsi="宋体" w:cs="宋体"/>
                <w:color w:val="auto"/>
                <w:szCs w:val="21"/>
              </w:rPr>
              <w:t>。</w:t>
            </w:r>
          </w:p>
        </w:tc>
      </w:tr>
      <w:tr w14:paraId="23D1498D">
        <w:tblPrEx>
          <w:tblCellMar>
            <w:top w:w="0" w:type="dxa"/>
            <w:left w:w="0" w:type="dxa"/>
            <w:bottom w:w="0" w:type="dxa"/>
            <w:right w:w="0" w:type="dxa"/>
          </w:tblCellMar>
        </w:tblPrEx>
        <w:trPr>
          <w:trHeight w:val="1146"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6C86CB">
            <w:pPr>
              <w:widowControl/>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3.4</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886B38">
            <w:pPr>
              <w:widowControl/>
              <w:jc w:val="left"/>
              <w:rPr>
                <w:rFonts w:hint="eastAsia" w:ascii="宋体" w:hAnsi="宋体" w:cs="宋体"/>
                <w:bCs/>
                <w:color w:val="auto"/>
                <w:szCs w:val="21"/>
              </w:rPr>
            </w:pPr>
            <w:r>
              <w:rPr>
                <w:rFonts w:hint="eastAsia" w:ascii="宋体" w:hAnsi="宋体" w:cs="宋体"/>
                <w:color w:val="auto"/>
                <w:kern w:val="0"/>
                <w:sz w:val="21"/>
                <w:szCs w:val="21"/>
              </w:rPr>
              <w:t>基础台帐</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20378E">
            <w:pPr>
              <w:widowControl/>
              <w:jc w:val="left"/>
              <w:rPr>
                <w:rFonts w:hint="eastAsia" w:ascii="宋体" w:hAnsi="宋体" w:cs="宋体"/>
                <w:color w:val="auto"/>
                <w:szCs w:val="21"/>
              </w:rPr>
            </w:pPr>
            <w:r>
              <w:rPr>
                <w:rFonts w:hint="default" w:ascii="Times New Roman" w:hAnsi="Times New Roman" w:cs="Times New Roman"/>
                <w:color w:val="auto"/>
                <w:szCs w:val="21"/>
              </w:rPr>
              <w:t>基础台帐（用户意见台帐、事故分析、车辆修理台帐、返修车台帐，每少一项扣</w:t>
            </w:r>
            <w:r>
              <w:rPr>
                <w:rFonts w:hint="default" w:ascii="Times New Roman" w:hAnsi="Times New Roman" w:cs="Times New Roman"/>
                <w:color w:val="auto"/>
                <w:szCs w:val="21"/>
                <w:lang w:val="en-US" w:eastAsia="zh-CN"/>
              </w:rPr>
              <w:t>0.5</w:t>
            </w:r>
            <w:r>
              <w:rPr>
                <w:rFonts w:hint="default" w:ascii="Times New Roman" w:hAnsi="Times New Roman" w:cs="Times New Roman"/>
                <w:color w:val="auto"/>
                <w:szCs w:val="21"/>
              </w:rPr>
              <w:t>分）得</w:t>
            </w: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分</w:t>
            </w:r>
            <w:r>
              <w:rPr>
                <w:rFonts w:hint="eastAsia" w:ascii="宋体" w:hAnsi="宋体" w:cs="宋体"/>
                <w:color w:val="auto"/>
                <w:szCs w:val="21"/>
              </w:rPr>
              <w:t>。</w:t>
            </w: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A513F3">
            <w:pPr>
              <w:widowControl/>
              <w:jc w:val="center"/>
              <w:rPr>
                <w:rFonts w:hint="default" w:ascii="宋体" w:hAnsi="宋体" w:cs="宋体"/>
                <w:b/>
                <w:bCs/>
                <w:color w:val="auto"/>
                <w:szCs w:val="21"/>
                <w:lang w:val="en-US" w:eastAsia="zh-CN"/>
              </w:rPr>
            </w:pPr>
            <w:r>
              <w:rPr>
                <w:rFonts w:hint="eastAsia" w:ascii="宋体" w:hAnsi="宋体" w:cs="宋体"/>
                <w:b/>
                <w:bCs/>
                <w:color w:val="auto"/>
                <w:szCs w:val="21"/>
                <w:lang w:val="en-US" w:eastAsia="zh-CN"/>
              </w:rPr>
              <w:t>2</w:t>
            </w: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386AEF">
            <w:pPr>
              <w:widowControl/>
              <w:jc w:val="center"/>
              <w:rPr>
                <w:rFonts w:hint="eastAsia" w:ascii="宋体" w:hAnsi="宋体" w:cs="宋体"/>
                <w:color w:val="auto"/>
                <w:szCs w:val="21"/>
                <w:lang w:val="en-US" w:eastAsia="zh-CN"/>
              </w:rPr>
            </w:pPr>
            <w:r>
              <w:rPr>
                <w:rFonts w:hint="eastAsia" w:ascii="宋体" w:hAnsi="宋体" w:cs="宋体"/>
                <w:color w:val="auto"/>
                <w:szCs w:val="21"/>
                <w:lang w:val="en-US" w:eastAsia="zh-CN"/>
              </w:rPr>
              <w:t>提供相应证明材料</w:t>
            </w:r>
          </w:p>
        </w:tc>
      </w:tr>
      <w:tr w14:paraId="0EC8B692">
        <w:tblPrEx>
          <w:tblCellMar>
            <w:top w:w="0" w:type="dxa"/>
            <w:left w:w="0" w:type="dxa"/>
            <w:bottom w:w="0" w:type="dxa"/>
            <w:right w:w="0" w:type="dxa"/>
          </w:tblCellMar>
        </w:tblPrEx>
        <w:trPr>
          <w:trHeight w:val="1146" w:hRule="atLeast"/>
        </w:trPr>
        <w:tc>
          <w:tcPr>
            <w:tcW w:w="0" w:type="auto"/>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653175">
            <w:pPr>
              <w:widowControl/>
              <w:jc w:val="center"/>
              <w:rPr>
                <w:rFonts w:hint="default" w:ascii="宋体" w:hAnsi="宋体" w:cs="宋体"/>
                <w:b/>
                <w:bCs/>
                <w:color w:val="auto"/>
                <w:szCs w:val="21"/>
                <w:lang w:val="en-US" w:eastAsia="zh-CN"/>
              </w:rPr>
            </w:pPr>
            <w:r>
              <w:rPr>
                <w:rFonts w:hint="eastAsia" w:ascii="宋体" w:hAnsi="宋体" w:cs="宋体"/>
                <w:b/>
                <w:bCs/>
                <w:color w:val="auto"/>
                <w:szCs w:val="21"/>
                <w:lang w:val="en-US" w:eastAsia="zh-CN"/>
              </w:rPr>
              <w:t>3.5</w:t>
            </w:r>
          </w:p>
        </w:tc>
        <w:tc>
          <w:tcPr>
            <w:tcW w:w="119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AEEC11">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场所设施</w:t>
            </w:r>
          </w:p>
        </w:tc>
        <w:tc>
          <w:tcPr>
            <w:tcW w:w="43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448F27">
            <w:pPr>
              <w:widowControl/>
              <w:jc w:val="left"/>
              <w:rPr>
                <w:rFonts w:hint="eastAsia" w:ascii="宋体" w:hAnsi="宋体" w:cs="宋体"/>
                <w:color w:val="auto"/>
                <w:szCs w:val="21"/>
              </w:rPr>
            </w:pPr>
            <w:r>
              <w:rPr>
                <w:rFonts w:hint="default" w:ascii="Times New Roman" w:hAnsi="Times New Roman" w:cs="Times New Roman"/>
                <w:color w:val="auto"/>
                <w:szCs w:val="21"/>
              </w:rPr>
              <w:t>有完整的场所设施即有单独的维修车间、烤漆房、电工车间、钣金车间</w:t>
            </w:r>
            <w:r>
              <w:rPr>
                <w:rFonts w:hint="eastAsia" w:ascii="宋体" w:hAnsi="宋体" w:cs="宋体"/>
                <w:color w:val="auto"/>
                <w:szCs w:val="21"/>
              </w:rPr>
              <w:t>。</w:t>
            </w:r>
          </w:p>
        </w:tc>
        <w:tc>
          <w:tcPr>
            <w:tcW w:w="9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8C5B19">
            <w:pPr>
              <w:widowControl/>
              <w:jc w:val="center"/>
              <w:rPr>
                <w:rFonts w:hint="default" w:ascii="宋体" w:hAnsi="宋体" w:cs="宋体"/>
                <w:b/>
                <w:bCs/>
                <w:color w:val="auto"/>
                <w:szCs w:val="21"/>
                <w:lang w:val="en-US" w:eastAsia="zh-CN"/>
              </w:rPr>
            </w:pPr>
            <w:r>
              <w:rPr>
                <w:rFonts w:hint="eastAsia" w:ascii="宋体" w:hAnsi="宋体" w:cs="宋体"/>
                <w:b/>
                <w:bCs/>
                <w:color w:val="auto"/>
                <w:szCs w:val="21"/>
                <w:lang w:val="en-US" w:eastAsia="zh-CN"/>
              </w:rPr>
              <w:t>3</w:t>
            </w: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891F59">
            <w:pPr>
              <w:widowControl/>
              <w:jc w:val="center"/>
              <w:rPr>
                <w:rFonts w:hint="eastAsia" w:ascii="宋体" w:hAnsi="宋体" w:cs="宋体"/>
                <w:color w:val="auto"/>
                <w:szCs w:val="21"/>
                <w:lang w:val="en-US" w:eastAsia="zh-CN"/>
              </w:rPr>
            </w:pPr>
            <w:r>
              <w:rPr>
                <w:rFonts w:hint="eastAsia" w:ascii="宋体" w:hAnsi="宋体" w:cs="宋体"/>
                <w:color w:val="auto"/>
                <w:szCs w:val="21"/>
                <w:lang w:val="en-US" w:eastAsia="zh-CN"/>
              </w:rPr>
              <w:t>提供相应证明材料</w:t>
            </w:r>
          </w:p>
        </w:tc>
      </w:tr>
    </w:tbl>
    <w:p w14:paraId="0EE0BA0A">
      <w:pPr>
        <w:spacing w:line="520" w:lineRule="exact"/>
        <w:rPr>
          <w:rFonts w:ascii="宋体" w:hAnsi="宋体" w:cs="宋体"/>
          <w:b/>
          <w:color w:val="auto"/>
          <w:szCs w:val="21"/>
        </w:rPr>
      </w:pPr>
      <w:r>
        <w:rPr>
          <w:rFonts w:hint="eastAsia" w:ascii="宋体" w:hAnsi="宋体" w:cs="宋体"/>
          <w:b/>
          <w:color w:val="auto"/>
          <w:szCs w:val="21"/>
        </w:rPr>
        <w:t>备注：</w:t>
      </w:r>
    </w:p>
    <w:p w14:paraId="18D9E3BF">
      <w:pPr>
        <w:tabs>
          <w:tab w:val="left" w:pos="1190"/>
        </w:tabs>
        <w:spacing w:line="360" w:lineRule="auto"/>
        <w:rPr>
          <w:rFonts w:ascii="宋体" w:hAnsi="宋体" w:cs="宋体"/>
          <w:color w:val="auto"/>
          <w:szCs w:val="21"/>
        </w:rPr>
      </w:pPr>
      <w:r>
        <w:rPr>
          <w:rFonts w:hint="eastAsia" w:ascii="宋体" w:hAnsi="宋体" w:cs="宋体"/>
          <w:color w:val="auto"/>
          <w:szCs w:val="21"/>
        </w:rPr>
        <w:t>1.各投标人必须按评分标准随投标文件同时递交用于评分的证明材料复印件（或者具有司法效力的公证件）加盖公章，如果不能按评分标准提供相关材料，该评分项不得分。</w:t>
      </w:r>
    </w:p>
    <w:p w14:paraId="27F65347">
      <w:pPr>
        <w:spacing w:line="360" w:lineRule="auto"/>
        <w:rPr>
          <w:rFonts w:ascii="宋体" w:hAnsi="宋体" w:cs="宋体"/>
          <w:b/>
          <w:bCs/>
          <w:color w:val="auto"/>
          <w:szCs w:val="21"/>
        </w:rPr>
      </w:pPr>
      <w:r>
        <w:rPr>
          <w:rFonts w:hint="eastAsia" w:ascii="宋体" w:hAnsi="宋体" w:cs="宋体"/>
          <w:bCs/>
          <w:color w:val="auto"/>
          <w:szCs w:val="21"/>
        </w:rPr>
        <w:t>2</w:t>
      </w:r>
      <w:r>
        <w:rPr>
          <w:rFonts w:hint="eastAsia" w:ascii="宋体" w:hAnsi="宋体" w:cs="宋体"/>
          <w:color w:val="auto"/>
          <w:szCs w:val="21"/>
        </w:rPr>
        <w:t>.</w:t>
      </w:r>
      <w:r>
        <w:rPr>
          <w:rFonts w:hint="eastAsia" w:ascii="宋体" w:hAnsi="宋体" w:cs="宋体"/>
          <w:bCs/>
          <w:color w:val="auto"/>
          <w:szCs w:val="21"/>
        </w:rPr>
        <w:t>为便于评分，请投标人按评分表样式，逐条列出证明材料所在页码，格式自定。</w:t>
      </w:r>
    </w:p>
    <w:p w14:paraId="45DCB555">
      <w:pPr>
        <w:spacing w:line="360" w:lineRule="auto"/>
        <w:rPr>
          <w:rFonts w:ascii="宋体" w:hAnsi="宋体" w:cs="宋体"/>
          <w:b/>
          <w:bCs/>
          <w:color w:val="auto"/>
          <w:szCs w:val="21"/>
        </w:rPr>
      </w:pPr>
      <w:r>
        <w:rPr>
          <w:rFonts w:hint="eastAsia" w:ascii="宋体" w:hAnsi="宋体" w:cs="宋体"/>
          <w:b/>
          <w:bCs/>
          <w:color w:val="auto"/>
          <w:szCs w:val="21"/>
        </w:rPr>
        <w:t>3.入围供应商数量上限为1</w:t>
      </w:r>
      <w:r>
        <w:rPr>
          <w:rFonts w:hint="eastAsia" w:ascii="宋体" w:hAnsi="宋体" w:cs="宋体"/>
          <w:b/>
          <w:bCs/>
          <w:color w:val="auto"/>
          <w:szCs w:val="21"/>
          <w:lang w:val="en-US" w:eastAsia="zh-CN"/>
        </w:rPr>
        <w:t>5</w:t>
      </w:r>
      <w:r>
        <w:rPr>
          <w:rFonts w:hint="eastAsia" w:ascii="宋体" w:hAnsi="宋体" w:cs="宋体"/>
          <w:b/>
          <w:bCs/>
          <w:color w:val="auto"/>
          <w:szCs w:val="21"/>
        </w:rPr>
        <w:t>家，如参与投标的投标人少于或等于1</w:t>
      </w:r>
      <w:r>
        <w:rPr>
          <w:rFonts w:hint="eastAsia" w:ascii="宋体" w:hAnsi="宋体" w:cs="宋体"/>
          <w:b/>
          <w:bCs/>
          <w:color w:val="auto"/>
          <w:szCs w:val="21"/>
          <w:lang w:val="en-US" w:eastAsia="zh-CN"/>
        </w:rPr>
        <w:t>5</w:t>
      </w:r>
      <w:r>
        <w:rPr>
          <w:rFonts w:hint="eastAsia" w:ascii="宋体" w:hAnsi="宋体" w:cs="宋体"/>
          <w:b/>
          <w:bCs/>
          <w:color w:val="auto"/>
          <w:szCs w:val="21"/>
        </w:rPr>
        <w:t>家时，按淘汰率入围供应商。</w:t>
      </w:r>
    </w:p>
    <w:p w14:paraId="471BB363">
      <w:pPr>
        <w:spacing w:line="360" w:lineRule="auto"/>
        <w:rPr>
          <w:rFonts w:ascii="宋体" w:hAnsi="宋体" w:cs="宋体"/>
          <w:b/>
          <w:bCs/>
          <w:color w:val="auto"/>
          <w:szCs w:val="21"/>
        </w:rPr>
      </w:pPr>
      <w:r>
        <w:rPr>
          <w:rFonts w:hint="eastAsia" w:ascii="宋体" w:hAnsi="宋体" w:cs="宋体"/>
          <w:b/>
          <w:bCs/>
          <w:color w:val="auto"/>
          <w:szCs w:val="21"/>
        </w:rPr>
        <w:t>4.淘汰比例：20%，（计算结果精确到整数，小数点后四舍五入，取整数），且至少淘汰一家供应商（提交响应文件和符合资格条件、实质性要求的供应商少于2家时，采购活动终止）。</w:t>
      </w:r>
    </w:p>
    <w:p w14:paraId="1A795561">
      <w:pPr>
        <w:spacing w:line="360" w:lineRule="auto"/>
        <w:rPr>
          <w:rFonts w:hint="eastAsia" w:ascii="宋体" w:hAnsi="宋体" w:cs="宋体"/>
          <w:color w:val="auto"/>
          <w:szCs w:val="21"/>
        </w:rPr>
      </w:pPr>
      <w:r>
        <w:rPr>
          <w:rFonts w:hint="eastAsia" w:ascii="宋体" w:hAnsi="宋体" w:cs="宋体"/>
          <w:color w:val="auto"/>
          <w:szCs w:val="21"/>
        </w:rPr>
        <w:t>5.按照评审后得分从高到低排序，根据征集文件规定的淘汰率或者入围供应商数量上限，确定入围供应商。</w:t>
      </w:r>
    </w:p>
    <w:p w14:paraId="63D1BFC8">
      <w:pPr>
        <w:jc w:val="center"/>
        <w:rPr>
          <w:rFonts w:ascii="宋体" w:hAnsi="宋体" w:cs="宋体"/>
          <w:b/>
          <w:bCs/>
          <w:color w:val="auto"/>
          <w:sz w:val="28"/>
          <w:szCs w:val="28"/>
        </w:rPr>
      </w:pPr>
      <w:r>
        <w:rPr>
          <w:rStyle w:val="314"/>
          <w:rFonts w:hint="eastAsia" w:cs="宋体"/>
          <w:color w:val="auto"/>
          <w:sz w:val="28"/>
          <w:szCs w:val="28"/>
        </w:rPr>
        <w:br w:type="page" w:clear="all"/>
      </w:r>
      <w:r>
        <w:rPr>
          <w:rStyle w:val="314"/>
          <w:rFonts w:hint="eastAsia" w:cs="宋体"/>
          <w:color w:val="auto"/>
          <w:sz w:val="28"/>
          <w:szCs w:val="28"/>
        </w:rPr>
        <w:t xml:space="preserve">第六部分 </w:t>
      </w:r>
      <w:bookmarkEnd w:id="96"/>
      <w:bookmarkEnd w:id="97"/>
      <w:bookmarkEnd w:id="98"/>
      <w:bookmarkEnd w:id="99"/>
      <w:bookmarkEnd w:id="100"/>
      <w:r>
        <w:rPr>
          <w:rStyle w:val="314"/>
          <w:rFonts w:hint="eastAsia" w:cs="宋体"/>
          <w:color w:val="auto"/>
          <w:sz w:val="28"/>
          <w:szCs w:val="28"/>
        </w:rPr>
        <w:t>框架协议（范本）</w:t>
      </w:r>
    </w:p>
    <w:bookmarkEnd w:id="4"/>
    <w:bookmarkEnd w:id="5"/>
    <w:bookmarkEnd w:id="6"/>
    <w:p w14:paraId="6905E2B7">
      <w:pPr>
        <w:spacing w:line="560" w:lineRule="exact"/>
        <w:ind w:firstLine="420" w:firstLineChars="200"/>
        <w:rPr>
          <w:rFonts w:hint="eastAsia" w:ascii="宋体" w:hAnsi="宋体" w:cs="宋体"/>
          <w:color w:val="auto"/>
          <w:szCs w:val="21"/>
          <w:shd w:val="clear" w:color="auto" w:fill="FFFFFF"/>
        </w:rPr>
      </w:pPr>
      <w:bookmarkStart w:id="107" w:name="_Toc29077"/>
      <w:r>
        <w:rPr>
          <w:rFonts w:hint="eastAsia" w:ascii="宋体" w:hAnsi="宋体" w:cs="宋体"/>
          <w:color w:val="auto"/>
          <w:szCs w:val="21"/>
          <w:shd w:val="clear" w:color="auto" w:fill="FFFFFF"/>
        </w:rPr>
        <w:t>本协议为政府采购封闭式框架协议采购框架协议，于  年  月  日由甲、乙双方共同签订。</w:t>
      </w:r>
    </w:p>
    <w:p w14:paraId="03FB4E8E">
      <w:pPr>
        <w:spacing w:line="560" w:lineRule="exact"/>
        <w:ind w:firstLine="420" w:firstLineChars="20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甲方作为征集人，通过公开征集程序，确定乙方系项目第一阶段入围供应商</w:t>
      </w:r>
      <w:r>
        <w:rPr>
          <w:rFonts w:hint="eastAsia" w:ascii="宋体" w:hAnsi="宋体" w:cs="宋体"/>
          <w:color w:val="auto"/>
          <w:szCs w:val="21"/>
        </w:rPr>
        <w:t>。甲、乙双方根据《中华人民共和国政府采购法》及其实施条例、</w:t>
      </w:r>
      <w:r>
        <w:rPr>
          <w:rFonts w:hint="eastAsia" w:ascii="宋体" w:hAnsi="宋体" w:cs="宋体"/>
          <w:color w:val="auto"/>
          <w:szCs w:val="21"/>
          <w:shd w:val="clear" w:color="auto" w:fill="FFFFFF"/>
        </w:rPr>
        <w:t>《政府采购框架协议采购方式管理暂行办法》（财政部令第110号）、</w:t>
      </w:r>
      <w:r>
        <w:rPr>
          <w:rFonts w:hint="eastAsia" w:ascii="宋体" w:hAnsi="宋体" w:cs="宋体"/>
          <w:color w:val="auto"/>
          <w:szCs w:val="21"/>
        </w:rPr>
        <w:t>《中华人民共和国民法典》等相关法律以及本项目征集文件的规定，达成协议如下：</w:t>
      </w:r>
    </w:p>
    <w:p w14:paraId="1BB8258D">
      <w:pPr>
        <w:spacing w:line="560" w:lineRule="exact"/>
        <w:rPr>
          <w:rFonts w:hint="eastAsia" w:ascii="宋体" w:hAnsi="宋体" w:cs="宋体"/>
          <w:b/>
          <w:color w:val="auto"/>
          <w:szCs w:val="21"/>
        </w:rPr>
      </w:pPr>
      <w:r>
        <w:rPr>
          <w:rFonts w:hint="eastAsia" w:ascii="宋体" w:hAnsi="宋体" w:cs="宋体"/>
          <w:b/>
          <w:color w:val="auto"/>
          <w:szCs w:val="21"/>
        </w:rPr>
        <w:t>一、协议文件</w:t>
      </w:r>
    </w:p>
    <w:p w14:paraId="6D91BF26">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本协议所附下列文件是构成本协议不可分割的部分：</w:t>
      </w:r>
    </w:p>
    <w:p w14:paraId="2FDE091C">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（一）本项目征集文件</w:t>
      </w:r>
    </w:p>
    <w:p w14:paraId="5D7910EA">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（二）乙方的响应</w:t>
      </w:r>
      <w:r>
        <w:rPr>
          <w:rFonts w:hint="eastAsia" w:ascii="宋体" w:hAnsi="宋体" w:cs="宋体"/>
          <w:color w:val="auto"/>
          <w:szCs w:val="21"/>
        </w:rPr>
        <w:fldChar w:fldCharType="begin"/>
      </w:r>
      <w:r>
        <w:rPr>
          <w:rFonts w:hint="eastAsia" w:ascii="宋体" w:hAnsi="宋体" w:cs="宋体"/>
          <w:color w:val="auto"/>
          <w:szCs w:val="21"/>
        </w:rPr>
        <w:instrText xml:space="preserve">&lt;MK&gt;(pro.tradeway=='1036'||pro.tradeway=='1037')?"投标":"响应"&lt;/MK&gt;</w:instrText>
      </w:r>
      <w:r>
        <w:rPr>
          <w:rFonts w:hint="eastAsia" w:ascii="宋体" w:hAnsi="宋体" w:cs="宋体"/>
          <w:color w:val="auto"/>
          <w:szCs w:val="21"/>
        </w:rPr>
        <w:fldChar w:fldCharType="end"/>
      </w:r>
      <w:r>
        <w:rPr>
          <w:rFonts w:hint="eastAsia" w:ascii="宋体" w:hAnsi="宋体" w:cs="宋体"/>
          <w:color w:val="auto"/>
          <w:szCs w:val="21"/>
        </w:rPr>
        <w:t>文件</w:t>
      </w:r>
    </w:p>
    <w:p w14:paraId="380550E6">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（三）协议格式、协议条款</w:t>
      </w:r>
    </w:p>
    <w:p w14:paraId="4594920F">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（四）乙方在本项目评审过程中作出的有关澄清、说明或者补正文件</w:t>
      </w:r>
    </w:p>
    <w:p w14:paraId="5447DA30">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（五）入围</w:t>
      </w:r>
      <w:r>
        <w:rPr>
          <w:rFonts w:hint="eastAsia" w:ascii="宋体" w:hAnsi="宋体" w:cs="宋体"/>
          <w:color w:val="auto"/>
          <w:szCs w:val="21"/>
        </w:rPr>
        <w:fldChar w:fldCharType="begin"/>
      </w:r>
      <w:r>
        <w:rPr>
          <w:rFonts w:hint="eastAsia" w:ascii="宋体" w:hAnsi="宋体" w:cs="宋体"/>
          <w:color w:val="auto"/>
          <w:szCs w:val="21"/>
        </w:rPr>
        <w:instrText xml:space="preserve">&lt;MK&gt;(pro.tradeway=='1036'||pro.tradeway=='1037')?"中标":"成交"&lt;/MK&gt;</w:instrText>
      </w:r>
      <w:r>
        <w:rPr>
          <w:rFonts w:hint="eastAsia" w:ascii="宋体" w:hAnsi="宋体" w:cs="宋体"/>
          <w:color w:val="auto"/>
          <w:szCs w:val="21"/>
        </w:rPr>
        <w:fldChar w:fldCharType="end"/>
      </w:r>
      <w:r>
        <w:rPr>
          <w:rFonts w:hint="eastAsia" w:ascii="宋体" w:hAnsi="宋体" w:cs="宋体"/>
          <w:color w:val="auto"/>
          <w:szCs w:val="21"/>
        </w:rPr>
        <w:t>通知书</w:t>
      </w:r>
    </w:p>
    <w:p w14:paraId="05D850F0">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（六）本协议附件</w:t>
      </w:r>
    </w:p>
    <w:p w14:paraId="7566BEF6">
      <w:pPr>
        <w:spacing w:line="560" w:lineRule="exact"/>
        <w:rPr>
          <w:rFonts w:hint="eastAsia" w:ascii="宋体" w:hAnsi="宋体" w:cs="宋体"/>
          <w:b/>
          <w:color w:val="auto"/>
          <w:szCs w:val="21"/>
        </w:rPr>
      </w:pPr>
      <w:r>
        <w:rPr>
          <w:rFonts w:hint="eastAsia" w:ascii="宋体" w:hAnsi="宋体" w:cs="宋体"/>
          <w:b/>
          <w:color w:val="auto"/>
          <w:szCs w:val="21"/>
        </w:rPr>
        <w:t>二、采购需求以及</w:t>
      </w:r>
      <w:r>
        <w:rPr>
          <w:rFonts w:hint="eastAsia" w:ascii="宋体" w:hAnsi="宋体"/>
          <w:b/>
          <w:bCs/>
          <w:color w:val="auto"/>
          <w:spacing w:val="2"/>
          <w:szCs w:val="21"/>
          <w:lang w:val="en-US" w:eastAsia="zh-CN"/>
        </w:rPr>
        <w:t>车辆定点维修服务</w:t>
      </w:r>
      <w:r>
        <w:rPr>
          <w:rFonts w:hint="eastAsia" w:ascii="宋体" w:hAnsi="宋体"/>
          <w:b/>
          <w:bCs/>
          <w:color w:val="auto"/>
          <w:spacing w:val="2"/>
          <w:szCs w:val="21"/>
        </w:rPr>
        <w:t>费用标准</w:t>
      </w:r>
    </w:p>
    <w:p w14:paraId="0E10F6B8">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详见附件。</w:t>
      </w:r>
    </w:p>
    <w:p w14:paraId="6BDE7C95">
      <w:pPr>
        <w:spacing w:line="560" w:lineRule="exact"/>
        <w:rPr>
          <w:rFonts w:hint="eastAsia" w:ascii="宋体" w:hAnsi="宋体" w:cs="宋体"/>
          <w:b/>
          <w:color w:val="auto"/>
          <w:szCs w:val="21"/>
        </w:rPr>
      </w:pPr>
      <w:r>
        <w:rPr>
          <w:rFonts w:hint="eastAsia" w:ascii="宋体" w:hAnsi="宋体" w:cs="宋体"/>
          <w:b/>
          <w:color w:val="auto"/>
          <w:szCs w:val="21"/>
        </w:rPr>
        <w:t>三、甲方、乙方信息</w:t>
      </w:r>
    </w:p>
    <w:p w14:paraId="30B4EB33">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（一）甲方信息</w:t>
      </w:r>
    </w:p>
    <w:p w14:paraId="022813C9">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名称：</w:t>
      </w:r>
    </w:p>
    <w:p w14:paraId="3F45358A">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地址：</w:t>
      </w:r>
    </w:p>
    <w:p w14:paraId="36451A29">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联系人：</w:t>
      </w:r>
    </w:p>
    <w:p w14:paraId="2267ACA8">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联系方式：</w:t>
      </w:r>
    </w:p>
    <w:p w14:paraId="628BC184">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（二）乙方信息</w:t>
      </w:r>
    </w:p>
    <w:p w14:paraId="4B05EA7C">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名称：</w:t>
      </w:r>
    </w:p>
    <w:p w14:paraId="2211D4D5">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地址：</w:t>
      </w:r>
    </w:p>
    <w:p w14:paraId="13CF0ABD">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联系人：</w:t>
      </w:r>
    </w:p>
    <w:p w14:paraId="6E768D45">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联系方式：</w:t>
      </w:r>
    </w:p>
    <w:p w14:paraId="3EA26175">
      <w:pPr>
        <w:spacing w:line="560" w:lineRule="exact"/>
        <w:rPr>
          <w:rFonts w:hint="eastAsia" w:ascii="宋体" w:hAnsi="宋体" w:cs="宋体"/>
          <w:b/>
          <w:color w:val="auto"/>
          <w:szCs w:val="21"/>
        </w:rPr>
      </w:pPr>
      <w:r>
        <w:rPr>
          <w:rFonts w:hint="eastAsia" w:ascii="宋体" w:hAnsi="宋体" w:cs="宋体"/>
          <w:b/>
          <w:color w:val="auto"/>
          <w:szCs w:val="21"/>
        </w:rPr>
        <w:t>四、框架协议期限</w:t>
      </w:r>
    </w:p>
    <w:p w14:paraId="4477B8E9">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框架协议期限为年，自</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none"/>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none"/>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日起至</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none"/>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none"/>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日止。</w:t>
      </w:r>
    </w:p>
    <w:p w14:paraId="7660C9C8">
      <w:pPr>
        <w:spacing w:line="560" w:lineRule="exact"/>
        <w:jc w:val="left"/>
        <w:rPr>
          <w:rFonts w:hint="eastAsia" w:ascii="宋体" w:hAnsi="宋体" w:cs="宋体"/>
          <w:b/>
          <w:color w:val="auto"/>
          <w:szCs w:val="21"/>
        </w:rPr>
      </w:pPr>
      <w:r>
        <w:rPr>
          <w:rFonts w:hint="eastAsia" w:ascii="宋体" w:hAnsi="宋体" w:cs="宋体"/>
          <w:b/>
          <w:color w:val="auto"/>
          <w:szCs w:val="21"/>
        </w:rPr>
        <w:t>五、框架协议采购项目信息</w:t>
      </w:r>
    </w:p>
    <w:p w14:paraId="1A214C87">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（一）入围服务内容、服务标准</w:t>
      </w:r>
    </w:p>
    <w:p w14:paraId="0DDDA03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（二）乙方的协议价格</w:t>
      </w:r>
    </w:p>
    <w:p w14:paraId="26A7393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（三）确定第二阶段成交供应商的方式</w:t>
      </w:r>
    </w:p>
    <w:p w14:paraId="1D293B57">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（四）采购合同的授予方式</w:t>
      </w:r>
    </w:p>
    <w:p w14:paraId="5CC106C1">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（五）适用框架协议的采购人范围，履行合同的地域范围</w:t>
      </w:r>
    </w:p>
    <w:p w14:paraId="4E930929">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（六）入围供应商的清退和补充规则</w:t>
      </w:r>
    </w:p>
    <w:p w14:paraId="1C13D1C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1.清退规则</w:t>
      </w:r>
    </w:p>
    <w:p w14:paraId="750FB0BA">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乙方无正当理由，不得主动放弃入围资格或者退出框架协议。</w:t>
      </w:r>
    </w:p>
    <w:p w14:paraId="62048151">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乙方有下列情形之一的，将被取消入围资格；已经签订框架协议的，甲方有权解除与乙方签订的框架协议：</w:t>
      </w:r>
    </w:p>
    <w:p w14:paraId="5EAD92FB">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①恶意串通谋取入围或者合同成交的；</w:t>
      </w:r>
    </w:p>
    <w:p w14:paraId="34DC33E6">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②提供虚假材料谋取入围或者合同成交的；</w:t>
      </w:r>
    </w:p>
    <w:p w14:paraId="3B964536">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③无正当理由拒不接受合同授予的；</w:t>
      </w:r>
    </w:p>
    <w:p w14:paraId="20E0B6AF">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④不履行合同义务或者履行合同义务不符合约定，经采购人请求履行后仍不履行或者仍未按约定履行的；</w:t>
      </w:r>
    </w:p>
    <w:p w14:paraId="5C31A4D9">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⑤框架协议有效期内，因违法行为被禁止或限制参加政府采购活动的；</w:t>
      </w:r>
    </w:p>
    <w:p w14:paraId="3602CF01">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⑥拒不按照本协议约定的事项履行本协议约定义务的；</w:t>
      </w:r>
    </w:p>
    <w:p w14:paraId="3E350006">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⑦框架协议征集文件规定的其他情形。</w:t>
      </w:r>
    </w:p>
    <w:p w14:paraId="4B7F877A">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2.补充征集规则</w:t>
      </w:r>
    </w:p>
    <w:p w14:paraId="7C96DB2B">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乙方被取消入围资格或者被解除框架协议的，不得参加同一封闭式框架协议补充征集活动,不得重新申请加入同一开放式框架协议。</w:t>
      </w:r>
    </w:p>
    <w:p w14:paraId="267A4DE1">
      <w:pPr>
        <w:widowControl/>
        <w:shd w:val="clear" w:color="auto" w:fill="FFFFFF"/>
        <w:spacing w:line="560" w:lineRule="exact"/>
        <w:ind w:firstLine="420" w:firstLineChars="200"/>
        <w:rPr>
          <w:rFonts w:hint="eastAsia" w:ascii="宋体" w:hAnsi="宋体" w:cs="宋体"/>
          <w:color w:val="auto"/>
          <w:szCs w:val="21"/>
        </w:rPr>
      </w:pPr>
      <w:r>
        <w:rPr>
          <w:rFonts w:hint="eastAsia" w:ascii="宋体" w:hAnsi="宋体" w:cs="宋体"/>
          <w:color w:val="auto"/>
          <w:szCs w:val="21"/>
        </w:rPr>
        <w:t>乙方退出或者取消供应商入围资格后，剩余入围供应商数量不足原入围供应商数量70%且影响框架协议执行的，甲方将补充征集供应商。</w:t>
      </w:r>
    </w:p>
    <w:p w14:paraId="7022C744">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补充征集的条件、程序、评审方法和淘汰比例，以及入围最高限价或入围质量标准与初次征集相同。补充征集遵守原框架协议的有效期。</w:t>
      </w:r>
    </w:p>
    <w:p w14:paraId="5621A800">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框架协议剩余期限不足以补充征集供应商时，框架协议将履行至期满终止。</w:t>
      </w:r>
    </w:p>
    <w:p w14:paraId="300D9872">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（七）入围信息告知</w:t>
      </w:r>
    </w:p>
    <w:p w14:paraId="3A3D8514">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在框架协议签订后3个工作日内，甲方将入围信息以书面形式告知本框架协议涵盖的所有采购人。入围信息包括所有入围供应商名单、地址、联系方式、入围供应商响应的采购标的情况及报价，确保征集文件和入围信息在整个框架协议有效期内随时可供查阅。</w:t>
      </w:r>
    </w:p>
    <w:p w14:paraId="2B5574B1">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（八）成交结果汇总公告</w:t>
      </w:r>
    </w:p>
    <w:p w14:paraId="3EAFF4BB">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甲方将在本框架协议有效期满后10个工作日内在“常州市政府采购网”发布成交结果汇总公告。汇总公告包括采购人的名称、地址、联系方式，框架协议采购项目名称、编号，以及所有成交供应商的名称、地址及其成交合同总数和总金额。</w:t>
      </w:r>
    </w:p>
    <w:p w14:paraId="10A7AD44">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（九）合同定价方式及结算依据</w:t>
      </w:r>
    </w:p>
    <w:p w14:paraId="756E06F3">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本协议采购授予</w:t>
      </w:r>
      <w:r>
        <w:rPr>
          <w:rFonts w:hint="eastAsia" w:ascii="宋体" w:hAnsi="宋体" w:cs="宋体"/>
          <w:color w:val="auto"/>
          <w:szCs w:val="21"/>
          <w:lang w:val="en-US" w:eastAsia="zh-CN"/>
        </w:rPr>
        <w:t>下浮率</w:t>
      </w:r>
      <w:r>
        <w:rPr>
          <w:rFonts w:hint="eastAsia" w:ascii="宋体" w:hAnsi="宋体" w:cs="宋体"/>
          <w:color w:val="auto"/>
          <w:szCs w:val="21"/>
        </w:rPr>
        <w:t>合同。根据实际采购数量和本协议约定的采购标的</w:t>
      </w:r>
      <w:r>
        <w:rPr>
          <w:rFonts w:hint="eastAsia" w:ascii="宋体" w:hAnsi="宋体" w:cs="宋体"/>
          <w:color w:val="auto"/>
          <w:szCs w:val="21"/>
          <w:lang w:val="en-US" w:eastAsia="zh-CN"/>
        </w:rPr>
        <w:t>下浮率</w:t>
      </w:r>
      <w:r>
        <w:rPr>
          <w:rFonts w:hint="eastAsia" w:ascii="宋体" w:hAnsi="宋体" w:cs="宋体"/>
          <w:color w:val="auto"/>
          <w:szCs w:val="21"/>
        </w:rPr>
        <w:t>，确定合同的总价。</w:t>
      </w:r>
    </w:p>
    <w:p w14:paraId="0F66AC33">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（十）采购合同文本</w:t>
      </w:r>
    </w:p>
    <w:p w14:paraId="4FECE074">
      <w:pPr>
        <w:spacing w:line="560" w:lineRule="exact"/>
        <w:ind w:firstLine="840" w:firstLineChars="400"/>
        <w:jc w:val="left"/>
        <w:rPr>
          <w:rFonts w:hint="eastAsia" w:ascii="宋体" w:hAnsi="宋体" w:cs="宋体"/>
          <w:color w:val="auto"/>
          <w:szCs w:val="21"/>
        </w:rPr>
      </w:pPr>
      <w:r>
        <w:rPr>
          <w:rFonts w:hint="eastAsia" w:ascii="宋体" w:hAnsi="宋体" w:cs="宋体"/>
          <w:color w:val="auto"/>
          <w:szCs w:val="21"/>
        </w:rPr>
        <w:t>见附件。</w:t>
      </w:r>
    </w:p>
    <w:p w14:paraId="0EB7F0B4">
      <w:pPr>
        <w:spacing w:line="560" w:lineRule="exact"/>
        <w:jc w:val="left"/>
        <w:rPr>
          <w:rFonts w:hint="eastAsia" w:ascii="宋体" w:hAnsi="宋体" w:cs="宋体"/>
          <w:b/>
          <w:color w:val="auto"/>
          <w:szCs w:val="21"/>
        </w:rPr>
      </w:pPr>
      <w:r>
        <w:rPr>
          <w:rFonts w:hint="eastAsia" w:ascii="宋体" w:hAnsi="宋体" w:cs="宋体"/>
          <w:b/>
          <w:color w:val="auto"/>
          <w:szCs w:val="21"/>
        </w:rPr>
        <w:t>六、费用支付</w:t>
      </w:r>
    </w:p>
    <w:p w14:paraId="74D6167B">
      <w:pPr>
        <w:spacing w:line="560" w:lineRule="exact"/>
        <w:ind w:firstLine="630" w:firstLineChars="300"/>
        <w:rPr>
          <w:rFonts w:hint="eastAsia" w:ascii="宋体" w:hAnsi="宋体" w:cs="宋体"/>
          <w:color w:val="auto"/>
          <w:szCs w:val="21"/>
        </w:rPr>
      </w:pPr>
      <w:r>
        <w:rPr>
          <w:rFonts w:hint="eastAsia" w:ascii="宋体" w:hAnsi="宋体" w:cs="宋体"/>
          <w:color w:val="auto"/>
          <w:szCs w:val="21"/>
        </w:rPr>
        <w:t>按实结算</w:t>
      </w:r>
    </w:p>
    <w:p w14:paraId="0F98003A">
      <w:pPr>
        <w:spacing w:line="560" w:lineRule="exact"/>
        <w:ind w:firstLine="630" w:firstLineChars="300"/>
        <w:rPr>
          <w:rFonts w:hint="eastAsia" w:ascii="宋体" w:hAnsi="宋体" w:cs="宋体"/>
          <w:color w:val="auto"/>
          <w:szCs w:val="21"/>
        </w:rPr>
      </w:pPr>
      <w:r>
        <w:rPr>
          <w:rFonts w:hint="eastAsia" w:ascii="宋体" w:hAnsi="宋体" w:cs="宋体"/>
          <w:color w:val="auto"/>
          <w:szCs w:val="21"/>
        </w:rPr>
        <w:t>采购人应将费用支付至乙方指定的以下银行账户。</w:t>
      </w:r>
    </w:p>
    <w:p w14:paraId="7CFEFFD0">
      <w:pPr>
        <w:spacing w:line="56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rPr>
        <w:t>户名：</w:t>
      </w:r>
    </w:p>
    <w:p w14:paraId="75B21009">
      <w:pPr>
        <w:spacing w:line="56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rPr>
        <w:t>开户银行：</w:t>
      </w:r>
    </w:p>
    <w:p w14:paraId="17D2F32A">
      <w:pPr>
        <w:spacing w:line="56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rPr>
        <w:t>银行账号：</w:t>
      </w:r>
    </w:p>
    <w:p w14:paraId="180D1029">
      <w:pPr>
        <w:spacing w:line="56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七、权利义务</w:t>
      </w:r>
    </w:p>
    <w:p w14:paraId="52D1E9C1">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（一）甲方、采购人的权利</w:t>
      </w:r>
    </w:p>
    <w:p w14:paraId="25117AB9">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1.甲方、采购人有权向乙方询问工作情况及相关的内容，有权阐述对具体问题的意见和建议；</w:t>
      </w:r>
    </w:p>
    <w:p w14:paraId="22B62575">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2.采购人有权要求乙方更换不符合维修服务要求的维修人员；</w:t>
      </w:r>
    </w:p>
    <w:p w14:paraId="401F0793">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3.甲方对采购人服务费用的拖欠不承担任何责任。</w:t>
      </w:r>
    </w:p>
    <w:p w14:paraId="3B4FB213">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（二）甲方、采购人的义务</w:t>
      </w:r>
    </w:p>
    <w:p w14:paraId="340B37F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1.甲方为第二阶段合同授予提供工作便利；</w:t>
      </w:r>
    </w:p>
    <w:p w14:paraId="43395806">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2.甲方对第二阶段最高限价和需求标准执行情况进行管理；</w:t>
      </w:r>
    </w:p>
    <w:p w14:paraId="2C3E3E20">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3.甲方对第二阶段确定成交供应商情况进行管理；</w:t>
      </w:r>
    </w:p>
    <w:p w14:paraId="35644782">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4.甲方建立用户反馈和评价机制，接受采购人对入围供应商履行框架协议和采购合同情况的反馈与评价，并将用户反馈和评价情况向采购人和服务对象公开，作为第二阶段直接选定成交供应商的参考；</w:t>
      </w:r>
    </w:p>
    <w:p w14:paraId="18DED8D7">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5.甲方公开封闭式框架协议的第二阶段成交结果；</w:t>
      </w:r>
    </w:p>
    <w:p w14:paraId="6002B50D">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6.甲方办理入围供应商清退和补充相关事宜；</w:t>
      </w:r>
    </w:p>
    <w:p w14:paraId="148E2652">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.采购人在乙方服务提供完毕且验收合格后，按约定及时向乙方支付费用。</w:t>
      </w:r>
    </w:p>
    <w:p w14:paraId="7722D0CC">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（三）乙方的权利</w:t>
      </w:r>
    </w:p>
    <w:p w14:paraId="0095127B">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1.获得提供服务相应费用的权利；</w:t>
      </w:r>
    </w:p>
    <w:p w14:paraId="5F8988D9">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2.乙方有权拒绝甲方及采购人提出的除本项目服务以外的不合理要求；</w:t>
      </w:r>
    </w:p>
    <w:p w14:paraId="29F25911">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3.乙方有权对甲方在日常管理工作中和采购人在接受其提供服务的过程中的不正当要求和违规行为进行投诉，并要求有关部门做出处理。</w:t>
      </w:r>
    </w:p>
    <w:p w14:paraId="2A8885B6">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（四）乙方的义务</w:t>
      </w:r>
    </w:p>
    <w:p w14:paraId="4721D2D9">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1.严格执行国家的法律、法规等相关规章制度，守法经营，按章办事，自觉维护甲方及采购人的利益；</w:t>
      </w:r>
    </w:p>
    <w:p w14:paraId="538D6EE1">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2.接受甲方的检查、监督，严格履行服务承诺，做到诚实、守信；</w:t>
      </w:r>
    </w:p>
    <w:p w14:paraId="3FB7B08A">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3.加强内部管理，提高服务质量，按照本协议及与采购人签订的</w:t>
      </w:r>
      <w:r>
        <w:rPr>
          <w:rFonts w:hint="eastAsia" w:ascii="宋体" w:hAnsi="宋体" w:cs="宋体"/>
          <w:color w:val="auto"/>
          <w:szCs w:val="21"/>
          <w:lang w:eastAsia="zh-CN"/>
        </w:rPr>
        <w:t>公务车辆定点维修服务</w:t>
      </w:r>
      <w:r>
        <w:rPr>
          <w:rFonts w:hint="eastAsia" w:ascii="宋体" w:hAnsi="宋体" w:cs="宋体"/>
          <w:color w:val="auto"/>
          <w:szCs w:val="21"/>
        </w:rPr>
        <w:t>合同的有关规定开展</w:t>
      </w:r>
      <w:r>
        <w:rPr>
          <w:rFonts w:hint="eastAsia" w:ascii="宋体" w:hAnsi="宋体" w:cs="宋体"/>
          <w:color w:val="auto"/>
          <w:szCs w:val="21"/>
          <w:lang w:eastAsia="zh-CN"/>
        </w:rPr>
        <w:t>公务车辆定点维修服务</w:t>
      </w:r>
      <w:r>
        <w:rPr>
          <w:rFonts w:hint="eastAsia" w:ascii="宋体" w:hAnsi="宋体" w:cs="宋体"/>
          <w:color w:val="auto"/>
          <w:szCs w:val="21"/>
        </w:rPr>
        <w:t>业务，保证不发生服务质量问题。由乙方原因造成负面影响等相关问题，对因此而产生的一切后果，由乙方承担；</w:t>
      </w:r>
    </w:p>
    <w:p w14:paraId="37C7AA36">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4.对本单位人员的</w:t>
      </w:r>
      <w:r>
        <w:rPr>
          <w:rFonts w:hint="eastAsia" w:ascii="宋体" w:hAnsi="宋体" w:cs="宋体"/>
          <w:bCs/>
          <w:color w:val="auto"/>
          <w:szCs w:val="21"/>
          <w:lang w:eastAsia="zh-CN"/>
        </w:rPr>
        <w:t>公务车辆定点维修服务</w:t>
      </w:r>
      <w:r>
        <w:rPr>
          <w:rFonts w:hint="eastAsia" w:ascii="宋体" w:hAnsi="宋体" w:cs="宋体"/>
          <w:color w:val="auto"/>
          <w:szCs w:val="21"/>
        </w:rPr>
        <w:t>工作进行监督，配合相关行政</w:t>
      </w:r>
      <w:r>
        <w:rPr>
          <w:rFonts w:hint="eastAsia" w:ascii="宋体" w:hAnsi="宋体" w:cs="宋体"/>
          <w:bCs/>
          <w:color w:val="auto"/>
          <w:szCs w:val="21"/>
        </w:rPr>
        <w:t>主管部门</w:t>
      </w:r>
      <w:r>
        <w:rPr>
          <w:rFonts w:hint="eastAsia" w:ascii="宋体" w:hAnsi="宋体" w:cs="宋体"/>
          <w:color w:val="auto"/>
          <w:szCs w:val="21"/>
        </w:rPr>
        <w:t>对涉及本单位人员的投诉等事项的调查工作并执行相关行政</w:t>
      </w:r>
      <w:r>
        <w:rPr>
          <w:rFonts w:hint="eastAsia" w:ascii="宋体" w:hAnsi="宋体" w:cs="宋体"/>
          <w:bCs/>
          <w:color w:val="auto"/>
          <w:szCs w:val="21"/>
        </w:rPr>
        <w:t>主管部门</w:t>
      </w:r>
      <w:r>
        <w:rPr>
          <w:rFonts w:hint="eastAsia" w:ascii="宋体" w:hAnsi="宋体" w:cs="宋体"/>
          <w:color w:val="auto"/>
          <w:szCs w:val="21"/>
        </w:rPr>
        <w:t>的处理意见；</w:t>
      </w:r>
    </w:p>
    <w:p w14:paraId="2E99DE4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5.乙方保证指派的服务团队具有提供</w:t>
      </w:r>
      <w:r>
        <w:rPr>
          <w:rFonts w:hint="eastAsia" w:ascii="宋体" w:hAnsi="宋体" w:cs="宋体"/>
          <w:color w:val="auto"/>
          <w:szCs w:val="21"/>
          <w:lang w:eastAsia="zh-CN"/>
        </w:rPr>
        <w:t>公务车辆定点维修服务</w:t>
      </w:r>
      <w:r>
        <w:rPr>
          <w:rFonts w:hint="eastAsia" w:ascii="宋体" w:hAnsi="宋体" w:cs="宋体"/>
          <w:color w:val="auto"/>
          <w:szCs w:val="21"/>
        </w:rPr>
        <w:t>工作的相应资质和能力；</w:t>
      </w:r>
    </w:p>
    <w:p w14:paraId="2DA4B6B8">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6.乙方保证所提供的</w:t>
      </w:r>
      <w:r>
        <w:rPr>
          <w:rFonts w:hint="eastAsia" w:ascii="宋体" w:hAnsi="宋体" w:cs="宋体"/>
          <w:color w:val="auto"/>
          <w:szCs w:val="21"/>
          <w:lang w:eastAsia="zh-CN"/>
        </w:rPr>
        <w:t>公务车辆定点维修服务</w:t>
      </w:r>
      <w:r>
        <w:rPr>
          <w:rFonts w:hint="eastAsia" w:ascii="宋体" w:hAnsi="宋体" w:cs="宋体"/>
          <w:color w:val="auto"/>
          <w:szCs w:val="21"/>
        </w:rPr>
        <w:t>不侵犯任何第三方的知识产权或其他合法权益，保证不使甲方、采购人遭受因接受</w:t>
      </w:r>
      <w:r>
        <w:rPr>
          <w:rFonts w:hint="eastAsia" w:ascii="宋体" w:hAnsi="宋体" w:cs="宋体"/>
          <w:color w:val="auto"/>
          <w:szCs w:val="21"/>
          <w:lang w:eastAsia="zh-CN"/>
        </w:rPr>
        <w:t>公务车辆定点维修服务</w:t>
      </w:r>
      <w:r>
        <w:rPr>
          <w:rFonts w:hint="eastAsia" w:ascii="宋体" w:hAnsi="宋体" w:cs="宋体"/>
          <w:color w:val="auto"/>
          <w:szCs w:val="21"/>
        </w:rPr>
        <w:t>服务或而引起的来自前述任何第三方的任何索赔、债务、开支或费用；</w:t>
      </w:r>
    </w:p>
    <w:p w14:paraId="7F2BFB1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7.乙方应亲自处理本协议项下的委托服务事项，不得将</w:t>
      </w:r>
      <w:r>
        <w:rPr>
          <w:rFonts w:hint="eastAsia" w:ascii="宋体" w:hAnsi="宋体" w:cs="宋体"/>
          <w:color w:val="auto"/>
          <w:szCs w:val="21"/>
          <w:lang w:eastAsia="zh-CN"/>
        </w:rPr>
        <w:t>公务车辆定点维修服务</w:t>
      </w:r>
      <w:r>
        <w:rPr>
          <w:rFonts w:hint="eastAsia" w:ascii="宋体" w:hAnsi="宋体" w:cs="宋体"/>
          <w:color w:val="auto"/>
          <w:szCs w:val="21"/>
        </w:rPr>
        <w:t>事项全部或任何部分再行委托、外包或转让给任何第三方；</w:t>
      </w:r>
    </w:p>
    <w:p w14:paraId="39526E5F">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8.乙方在服务期限内，应当以不高于其报价的价格向采购人供应</w:t>
      </w:r>
      <w:r>
        <w:rPr>
          <w:rFonts w:hint="eastAsia" w:ascii="宋体" w:hAnsi="宋体" w:cs="宋体"/>
          <w:color w:val="auto"/>
          <w:szCs w:val="21"/>
          <w:lang w:eastAsia="zh-CN"/>
        </w:rPr>
        <w:t>公务车辆定点维修服务</w:t>
      </w:r>
      <w:r>
        <w:rPr>
          <w:rFonts w:hint="eastAsia" w:ascii="宋体" w:hAnsi="宋体" w:cs="宋体"/>
          <w:color w:val="auto"/>
          <w:szCs w:val="21"/>
        </w:rPr>
        <w:t>；</w:t>
      </w:r>
    </w:p>
    <w:p w14:paraId="4E6F0AA2">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9.建立</w:t>
      </w:r>
      <w:r>
        <w:rPr>
          <w:rFonts w:hint="eastAsia" w:ascii="宋体" w:hAnsi="宋体" w:cs="宋体"/>
          <w:color w:val="auto"/>
          <w:szCs w:val="21"/>
          <w:lang w:eastAsia="zh-CN"/>
        </w:rPr>
        <w:t>公务车辆定点维修服务</w:t>
      </w:r>
      <w:r>
        <w:rPr>
          <w:rFonts w:hint="eastAsia" w:ascii="宋体" w:hAnsi="宋体" w:cs="宋体"/>
          <w:color w:val="auto"/>
          <w:szCs w:val="21"/>
        </w:rPr>
        <w:t>档案制度，将有关政府采购的材料整理归档，妥善保管，以备查用；</w:t>
      </w:r>
    </w:p>
    <w:p w14:paraId="13D29C84">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10.为采购人提供优质服务。按照与采购人签署的</w:t>
      </w:r>
      <w:r>
        <w:rPr>
          <w:rFonts w:hint="eastAsia" w:ascii="宋体" w:hAnsi="宋体" w:cs="宋体"/>
          <w:color w:val="auto"/>
          <w:szCs w:val="21"/>
          <w:lang w:eastAsia="zh-CN"/>
        </w:rPr>
        <w:t>公务车辆定点维修服务</w:t>
      </w:r>
      <w:r>
        <w:rPr>
          <w:rFonts w:hint="eastAsia" w:ascii="宋体" w:hAnsi="宋体" w:cs="宋体"/>
          <w:color w:val="auto"/>
          <w:szCs w:val="21"/>
        </w:rPr>
        <w:t>合同及其他承诺服务内容提供及时有效的服务。</w:t>
      </w:r>
    </w:p>
    <w:p w14:paraId="71E1C2FD">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（五）其他：本协议附件中采购合同（范本）和本协议共同组成甲方、乙方及采购人的权利义务。</w:t>
      </w:r>
    </w:p>
    <w:p w14:paraId="31D80E7B">
      <w:pPr>
        <w:spacing w:line="560" w:lineRule="exact"/>
        <w:jc w:val="left"/>
        <w:rPr>
          <w:rFonts w:hint="eastAsia" w:ascii="宋体" w:hAnsi="宋体" w:cs="宋体"/>
          <w:b/>
          <w:color w:val="auto"/>
          <w:szCs w:val="21"/>
        </w:rPr>
      </w:pPr>
      <w:r>
        <w:rPr>
          <w:rFonts w:hint="eastAsia" w:ascii="宋体" w:hAnsi="宋体" w:cs="宋体"/>
          <w:b/>
          <w:color w:val="auto"/>
          <w:szCs w:val="21"/>
        </w:rPr>
        <w:t>八、保密</w:t>
      </w:r>
    </w:p>
    <w:p w14:paraId="70BE6872">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（一）乙方应对提供</w:t>
      </w:r>
      <w:r>
        <w:rPr>
          <w:rFonts w:hint="eastAsia" w:ascii="宋体" w:hAnsi="宋体"/>
          <w:color w:val="auto"/>
          <w:szCs w:val="21"/>
          <w:lang w:eastAsia="zh-CN"/>
        </w:rPr>
        <w:t>车辆定点维修服务</w:t>
      </w:r>
      <w:r>
        <w:rPr>
          <w:rFonts w:hint="eastAsia" w:ascii="宋体" w:hAnsi="宋体" w:cs="宋体"/>
          <w:color w:val="auto"/>
          <w:szCs w:val="21"/>
        </w:rPr>
        <w:t>过程中所涉及的、产生的如下保密信息保密，保密信息包括但不限于：1.乙方提供</w:t>
      </w:r>
      <w:r>
        <w:rPr>
          <w:rFonts w:hint="eastAsia" w:ascii="宋体" w:hAnsi="宋体"/>
          <w:color w:val="auto"/>
          <w:szCs w:val="21"/>
          <w:lang w:eastAsia="zh-CN"/>
        </w:rPr>
        <w:t>车辆定点维修服务</w:t>
      </w:r>
      <w:r>
        <w:rPr>
          <w:rFonts w:hint="eastAsia" w:ascii="宋体" w:hAnsi="宋体" w:cs="宋体"/>
          <w:color w:val="auto"/>
          <w:szCs w:val="21"/>
        </w:rPr>
        <w:t>期间所获得的与采购人有关的任何信息、合同、资料、数据；2.</w:t>
      </w:r>
      <w:r>
        <w:rPr>
          <w:rFonts w:hint="eastAsia" w:ascii="宋体" w:hAnsi="宋体"/>
          <w:color w:val="auto"/>
          <w:szCs w:val="21"/>
          <w:lang w:eastAsia="zh-CN"/>
        </w:rPr>
        <w:t>车辆定点维修服务</w:t>
      </w:r>
      <w:r>
        <w:rPr>
          <w:rFonts w:hint="eastAsia" w:ascii="宋体" w:hAnsi="宋体" w:cs="宋体"/>
          <w:color w:val="auto"/>
          <w:szCs w:val="21"/>
        </w:rPr>
        <w:t>过程中，乙方向采购人提供的意见、解决方案；3.</w:t>
      </w:r>
      <w:r>
        <w:rPr>
          <w:rFonts w:hint="eastAsia" w:ascii="宋体" w:hAnsi="宋体"/>
          <w:color w:val="auto"/>
          <w:szCs w:val="21"/>
          <w:lang w:eastAsia="zh-CN"/>
        </w:rPr>
        <w:t>车辆定点维修服务</w:t>
      </w:r>
      <w:r>
        <w:rPr>
          <w:rFonts w:hint="eastAsia" w:ascii="宋体" w:hAnsi="宋体" w:cs="宋体"/>
          <w:color w:val="auto"/>
          <w:szCs w:val="21"/>
        </w:rPr>
        <w:t>相关的服务过程中获知的个人信息和国家、个人、商业秘密等；4.采购人的其他涉密信息。</w:t>
      </w:r>
    </w:p>
    <w:p w14:paraId="1ED5B277">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二）乙方保证以不低于其对自己拥有的类似信息的保护程度采取合理可行的措施保护保密信息，使保密信息不被泄露。未经采购人事先书面授权或同意，乙方不得以任何方式向第三方及双方无关人员披露或公开保密信息。如因政府机关、法院或其他有权机构的书面强制要求而需披露，乙方应在接到此等强制披露要求之次日通知采购人，并与采购人商讨披露的方式。</w:t>
      </w:r>
    </w:p>
    <w:p w14:paraId="2B044382">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（三）乙方应将本协议涉及的保密信息接触范围仅限于提供本协议项下</w:t>
      </w:r>
      <w:r>
        <w:rPr>
          <w:rFonts w:hint="eastAsia" w:ascii="宋体" w:hAnsi="宋体"/>
          <w:color w:val="auto"/>
          <w:szCs w:val="21"/>
          <w:lang w:eastAsia="zh-CN"/>
        </w:rPr>
        <w:t>车辆定点维修服务</w:t>
      </w:r>
      <w:r>
        <w:rPr>
          <w:rFonts w:hint="eastAsia" w:ascii="宋体" w:hAnsi="宋体" w:cs="宋体"/>
          <w:color w:val="auto"/>
          <w:szCs w:val="21"/>
        </w:rPr>
        <w:t>工作而需接触保密信息的管理人员、雇员、顾问和相关人员（以下统称“代表”）。在乙方代表知悉保密信息前，乙方应向其提示保密信息的保密性和应承担的义务，要求其签署书面保密承诺函，并确保代表承担保密责任的程度不低于本协议约定程度。</w:t>
      </w:r>
    </w:p>
    <w:p w14:paraId="2356DF8C">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（四）乙方的保密义务不因本协议的变更、解除、终止而解除。</w:t>
      </w:r>
    </w:p>
    <w:p w14:paraId="4E2EB970">
      <w:pPr>
        <w:spacing w:line="560" w:lineRule="exact"/>
        <w:jc w:val="left"/>
        <w:rPr>
          <w:rFonts w:hint="eastAsia" w:ascii="宋体" w:hAnsi="宋体" w:cs="宋体"/>
          <w:b/>
          <w:color w:val="auto"/>
          <w:szCs w:val="21"/>
        </w:rPr>
      </w:pPr>
      <w:r>
        <w:rPr>
          <w:rFonts w:hint="eastAsia" w:ascii="宋体" w:hAnsi="宋体" w:cs="宋体"/>
          <w:b/>
          <w:color w:val="auto"/>
          <w:szCs w:val="21"/>
        </w:rPr>
        <w:t>九、合规要求</w:t>
      </w:r>
    </w:p>
    <w:p w14:paraId="742C86FA">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乙方承诺遵守以下合规条款。</w:t>
      </w:r>
    </w:p>
    <w:p w14:paraId="3BA7416A">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一）反商业贿赂：不得为获得不正当利益或商业机会进行商业贿赂，不对甲方、采购人及其工作人员和工作人员的家庭成员行贿或输送不当利益，包括但不限于提供现金、有价证券、支付凭证、物品及就业机会等，同时禁止给予甲方、采购人工作人员及其家庭成员不合适的商业礼仪或馈赠，包括但不限于提供贵重物品、高价值文化礼品、旅游、考察、高规格接待等。</w:t>
      </w:r>
    </w:p>
    <w:p w14:paraId="6819CBF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（二）配合甲方、采购人的合规检查和审计：理解并接受合规管理要求，同意配合合规检查与审计，并不得隐瞒任何可能对甲方、采购人利益造成影响的信息。</w:t>
      </w:r>
    </w:p>
    <w:p w14:paraId="728D9135">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（三）严格约束乙方代表：承诺严格要求乙方代表遵守合规承诺条款，若乙方代表违反相关承诺即视为乙方违反。</w:t>
      </w:r>
    </w:p>
    <w:p w14:paraId="07ACC82F">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（四）责任承担：如果乙方违反前述合规承诺条款，甲方将有权解除本协议，并有权要求乙方承担因此给其造成的全部损失。</w:t>
      </w:r>
    </w:p>
    <w:p w14:paraId="3E088062">
      <w:pPr>
        <w:spacing w:line="560" w:lineRule="exact"/>
        <w:jc w:val="left"/>
        <w:rPr>
          <w:rFonts w:hint="eastAsia" w:ascii="宋体" w:hAnsi="宋体" w:cs="宋体"/>
          <w:b/>
          <w:color w:val="auto"/>
          <w:szCs w:val="21"/>
        </w:rPr>
      </w:pPr>
      <w:r>
        <w:rPr>
          <w:rFonts w:hint="eastAsia" w:ascii="宋体" w:hAnsi="宋体" w:cs="宋体"/>
          <w:b/>
          <w:color w:val="auto"/>
          <w:szCs w:val="21"/>
        </w:rPr>
        <w:t>十、违约责任</w:t>
      </w:r>
    </w:p>
    <w:p w14:paraId="16DB313B">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（一）任一方违反或未履行本协议相关条款的规定，均应视为违约，违约方应依法律法规及本协议的相关规定向守约方承担相应责任。</w:t>
      </w:r>
    </w:p>
    <w:p w14:paraId="13C81F5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二）乙方在本协议期内未依约向采购人提供本协议所列的各项服务，或服务质量未达到采购人需求的，采购人有权要求乙方退还已支付的费用，乙方拒不履行的，甲方有权解除本协议，因采购人原因造成乙方未按本协议约定履行约定义务的情形除外。</w:t>
      </w:r>
    </w:p>
    <w:p w14:paraId="7D381F50">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（三）如因乙方或其安排的工作人员在服务过程中的过错或失误，导致甲方、采购人利益遭受到损失的，乙方应依法承担相应的赔偿责任。</w:t>
      </w:r>
    </w:p>
    <w:p w14:paraId="6C18A61E">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四）除不可抗力外，甲方、乙方和采购人未能履行本协议约定的主要义务的，经催告后在合理期限内仍未履行的，或者前述任何一方有其他违约行为致使不能实现协议或合同目的的，或者前述任何一方有腐败行为（即：提供或给予或接受或索取任何财物或其他好处或者采取其他不正当手段来影响对方当事人在协议或合同签订、履行过程中的行为）或者欺诈行为（即：以谎报事实或隐瞒真相的方法来影响对方当事人在协议或合同签订、履行过程中的行为）的，对方当事人可以书面通知违约方解除协议或合同；</w:t>
      </w:r>
    </w:p>
    <w:p w14:paraId="1BA9B0D6">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五）除前述约定外，除不可抗力外，任何一方未能履行本协议约定的义务，对方当事人均有权要求继续履行、采取补救措施或者赔偿损失等，且对方当事人行使的任何权利救济方式均不视为其放弃了其他法定或者约定的权利救济方式；</w:t>
      </w:r>
    </w:p>
    <w:p w14:paraId="3ED61524">
      <w:pPr>
        <w:spacing w:line="560" w:lineRule="exact"/>
        <w:ind w:firstLine="420" w:firstLineChars="200"/>
        <w:rPr>
          <w:rFonts w:hint="eastAsia" w:ascii="宋体" w:hAnsi="宋体" w:cs="宋体"/>
          <w:color w:val="auto"/>
          <w:szCs w:val="21"/>
        </w:rPr>
      </w:pPr>
      <w:r>
        <w:rPr>
          <w:rFonts w:hint="eastAsia" w:ascii="宋体" w:hAnsi="宋体" w:cs="宋体"/>
          <w:color w:val="auto"/>
          <w:szCs w:val="21"/>
        </w:rPr>
        <w:t>（六）如果出现政府采购监督管理部门在处理投诉事项期间，书面通知甲方暂停采购活动的情形，或者询问或质疑事项可能影响中标结果的，导致甲方中止履行协议的情形，均不视为甲方违约。</w:t>
      </w:r>
    </w:p>
    <w:p w14:paraId="20FFEA8E">
      <w:pPr>
        <w:spacing w:line="560" w:lineRule="exact"/>
        <w:jc w:val="left"/>
        <w:rPr>
          <w:rFonts w:hint="eastAsia" w:ascii="宋体" w:hAnsi="宋体" w:cs="宋体"/>
          <w:b/>
          <w:color w:val="auto"/>
          <w:szCs w:val="21"/>
        </w:rPr>
      </w:pPr>
      <w:r>
        <w:rPr>
          <w:rFonts w:hint="eastAsia" w:ascii="宋体" w:hAnsi="宋体" w:cs="宋体"/>
          <w:b/>
          <w:color w:val="auto"/>
          <w:szCs w:val="21"/>
        </w:rPr>
        <w:t>十一、不可抗力</w:t>
      </w:r>
    </w:p>
    <w:p w14:paraId="7E2EDA01">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一）如发生不可抗力事件，受该事件影响的一方所应承担的合同义务在该不可抗力造成的延误期内可中止履行，履行期限应相应予以延长，延长的期限与该中止时间相等，但乙方安排工作人员不能正常履行本协议的情形除外，无论因何种原因，在乙方安排工作人员不能正常履行本协议时，乙方应立刻与采购人商讨更换合格工作人员，保证本协议的正常履行。</w:t>
      </w:r>
    </w:p>
    <w:p w14:paraId="5B3CCCD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二）遭受不可抗力的一方应尽快书面通知另一方，并在通知后的十天内提供不可抗力的详细情况、本协议不能履行或需延迟履行的理由以及不可抗力发生地公证机关出具的证明文件。遭受不可抗力的一方还应尽一切合理的努力终止该不可抗力，消除或降低该不可抗力造成的不利影响或损失。</w:t>
      </w:r>
    </w:p>
    <w:p w14:paraId="51A7499B">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（三）在不可抗力事件发生后，双方终止本协议，则在本协议终止时，对于采购人已支付乙方的费用超出乙方应得的，乙方应返还采购人；如采购人已支付乙方的费用存在不足的，采购人应补足。</w:t>
      </w:r>
    </w:p>
    <w:p w14:paraId="101B9DC2">
      <w:pPr>
        <w:spacing w:line="560" w:lineRule="exact"/>
        <w:jc w:val="left"/>
        <w:rPr>
          <w:rFonts w:hint="eastAsia" w:ascii="宋体" w:hAnsi="宋体" w:cs="宋体"/>
          <w:b/>
          <w:color w:val="auto"/>
          <w:szCs w:val="21"/>
        </w:rPr>
      </w:pPr>
      <w:r>
        <w:rPr>
          <w:rFonts w:hint="eastAsia" w:ascii="宋体" w:hAnsi="宋体" w:cs="宋体"/>
          <w:b/>
          <w:color w:val="auto"/>
          <w:szCs w:val="21"/>
        </w:rPr>
        <w:t>十二、适用法律及争议解决</w:t>
      </w:r>
    </w:p>
    <w:p w14:paraId="11E9325F">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因本协议的履行产生的，或与本协议履行有关的任何争议，双方应首先本着友好态度协商解决。若争议无法在一方向另一方提出友好协商的书面通知之日起三十工作日内通过协商方式予以解决，则任何一方有权向甲方所在地有管辖权的法院提起诉讼。</w:t>
      </w:r>
    </w:p>
    <w:p w14:paraId="0EBFBEEE">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在争议解决期间，除有争议的事项外，双方应继续全面履行本协议。</w:t>
      </w:r>
    </w:p>
    <w:p w14:paraId="2395480A">
      <w:pPr>
        <w:spacing w:line="560" w:lineRule="exact"/>
        <w:jc w:val="left"/>
        <w:rPr>
          <w:rFonts w:hint="eastAsia" w:ascii="宋体" w:hAnsi="宋体" w:cs="宋体"/>
          <w:b/>
          <w:color w:val="auto"/>
          <w:szCs w:val="21"/>
        </w:rPr>
      </w:pPr>
      <w:r>
        <w:rPr>
          <w:rFonts w:hint="eastAsia" w:ascii="宋体" w:hAnsi="宋体" w:cs="宋体"/>
          <w:b/>
          <w:color w:val="auto"/>
          <w:szCs w:val="21"/>
        </w:rPr>
        <w:t>十三、文本生效及其他</w:t>
      </w:r>
    </w:p>
    <w:p w14:paraId="6E0A1E73">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（一）本协议附件为本协议不可分割的组成部分，具有同等效力。</w:t>
      </w:r>
    </w:p>
    <w:p w14:paraId="15016EDC">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（二）本协议为双方之间的书面合同，取代以前的所有书面或口头征集、声明或协议等。</w:t>
      </w:r>
    </w:p>
    <w:p w14:paraId="29FE70C9">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（三）本协议签订后，经双方协商一致可对本协议进行修改或补充，本协议的任何修改或补充应采用书面形式，并经双方签字盖章后方为有效，与本协议具有同等法律效力。</w:t>
      </w:r>
    </w:p>
    <w:p w14:paraId="47BF83C4">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（四）本协议应当在入围通知书发出之日起30日内签订，自双方代表签字并加盖各自公章后生效，框架协议期限为自生效之日起  年。</w:t>
      </w:r>
    </w:p>
    <w:p w14:paraId="2914E051">
      <w:pPr>
        <w:spacing w:line="560" w:lineRule="exact"/>
        <w:ind w:firstLine="420" w:firstLineChars="200"/>
        <w:jc w:val="left"/>
        <w:rPr>
          <w:rFonts w:hint="eastAsia" w:ascii="宋体" w:hAnsi="宋体" w:cs="宋体"/>
          <w:color w:val="auto"/>
          <w:szCs w:val="21"/>
        </w:rPr>
      </w:pPr>
    </w:p>
    <w:p w14:paraId="58DD0930">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附件：</w:t>
      </w:r>
    </w:p>
    <w:p w14:paraId="3DE07E37">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1.采购需求</w:t>
      </w:r>
    </w:p>
    <w:p w14:paraId="21C7174B">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2.服务标准及内容</w:t>
      </w:r>
    </w:p>
    <w:p w14:paraId="62B53CE3">
      <w:pPr>
        <w:spacing w:line="560" w:lineRule="exact"/>
        <w:ind w:firstLine="420" w:firstLineChars="200"/>
        <w:jc w:val="left"/>
        <w:rPr>
          <w:rFonts w:hint="eastAsia" w:ascii="宋体" w:hAnsi="宋体" w:cs="宋体"/>
          <w:color w:val="auto"/>
          <w:szCs w:val="21"/>
        </w:rPr>
      </w:pPr>
      <w:r>
        <w:rPr>
          <w:rFonts w:hint="eastAsia" w:ascii="宋体" w:hAnsi="宋体" w:cs="宋体"/>
          <w:color w:val="auto"/>
          <w:szCs w:val="21"/>
        </w:rPr>
        <w:t>3.采购合同文本（范本）</w:t>
      </w:r>
    </w:p>
    <w:p w14:paraId="5401EAC9">
      <w:pPr>
        <w:spacing w:after="120"/>
        <w:ind w:firstLine="210" w:firstLineChars="100"/>
        <w:rPr>
          <w:rFonts w:hint="eastAsia" w:ascii="宋体" w:hAnsi="宋体" w:cs="宋体"/>
          <w:color w:val="auto"/>
          <w:szCs w:val="21"/>
        </w:rPr>
      </w:pPr>
    </w:p>
    <w:tbl>
      <w:tblPr>
        <w:tblStyle w:val="40"/>
        <w:tblW w:w="0" w:type="auto"/>
        <w:tblInd w:w="108" w:type="dxa"/>
        <w:tblLayout w:type="fixed"/>
        <w:tblCellMar>
          <w:top w:w="0" w:type="dxa"/>
          <w:left w:w="10" w:type="dxa"/>
          <w:bottom w:w="0" w:type="dxa"/>
          <w:right w:w="10" w:type="dxa"/>
        </w:tblCellMar>
      </w:tblPr>
      <w:tblGrid>
        <w:gridCol w:w="4678"/>
        <w:gridCol w:w="5103"/>
      </w:tblGrid>
      <w:tr w14:paraId="7A5794F1">
        <w:tblPrEx>
          <w:tblCellMar>
            <w:top w:w="0" w:type="dxa"/>
            <w:left w:w="10" w:type="dxa"/>
            <w:bottom w:w="0" w:type="dxa"/>
            <w:right w:w="10" w:type="dxa"/>
          </w:tblCellMar>
        </w:tblPrEx>
        <w:tc>
          <w:tcPr>
            <w:tcW w:w="4678" w:type="dxa"/>
            <w:noWrap w:val="0"/>
            <w:vAlign w:val="top"/>
          </w:tcPr>
          <w:p w14:paraId="452DABBE">
            <w:pPr>
              <w:widowControl/>
              <w:adjustRightInd w:val="0"/>
              <w:snapToGrid w:val="0"/>
              <w:spacing w:line="560" w:lineRule="exact"/>
              <w:rPr>
                <w:rFonts w:hint="eastAsia" w:ascii="宋体" w:hAnsi="宋体" w:cs="宋体"/>
                <w:color w:val="auto"/>
                <w:szCs w:val="21"/>
              </w:rPr>
            </w:pPr>
            <w:r>
              <w:rPr>
                <w:rFonts w:hint="eastAsia" w:ascii="宋体" w:hAnsi="宋体" w:cs="宋体"/>
                <w:color w:val="auto"/>
                <w:szCs w:val="21"/>
              </w:rPr>
              <w:t>甲    方：</w:t>
            </w:r>
            <w:r>
              <w:rPr>
                <w:rFonts w:hint="eastAsia" w:ascii="宋体" w:hAnsi="宋体" w:cs="宋体"/>
                <w:color w:val="auto"/>
                <w:szCs w:val="21"/>
              </w:rPr>
              <w:fldChar w:fldCharType="begin"/>
            </w:r>
            <w:r>
              <w:rPr>
                <w:rFonts w:hint="eastAsia" w:ascii="宋体" w:hAnsi="宋体" w:cs="宋体"/>
                <w:color w:val="auto"/>
                <w:szCs w:val="21"/>
              </w:rPr>
              <w:instrText xml:space="preserve">&lt;MK&gt;buyer.organname&lt;/MK&gt;</w:instrText>
            </w:r>
            <w:r>
              <w:rPr>
                <w:rFonts w:hint="eastAsia" w:ascii="宋体" w:hAnsi="宋体" w:cs="宋体"/>
                <w:color w:val="auto"/>
                <w:szCs w:val="21"/>
              </w:rPr>
              <w:fldChar w:fldCharType="end"/>
            </w:r>
          </w:p>
        </w:tc>
        <w:tc>
          <w:tcPr>
            <w:tcW w:w="5103" w:type="dxa"/>
            <w:noWrap w:val="0"/>
            <w:vAlign w:val="top"/>
          </w:tcPr>
          <w:p w14:paraId="56663053">
            <w:pPr>
              <w:widowControl/>
              <w:adjustRightInd w:val="0"/>
              <w:snapToGrid w:val="0"/>
              <w:spacing w:line="560" w:lineRule="exact"/>
              <w:rPr>
                <w:rFonts w:hint="eastAsia" w:ascii="宋体" w:hAnsi="宋体" w:cs="宋体"/>
                <w:color w:val="auto"/>
                <w:szCs w:val="21"/>
              </w:rPr>
            </w:pPr>
            <w:r>
              <w:rPr>
                <w:rFonts w:hint="eastAsia" w:ascii="宋体" w:hAnsi="宋体" w:cs="宋体"/>
                <w:color w:val="auto"/>
                <w:szCs w:val="21"/>
              </w:rPr>
              <w:t>乙    方：</w:t>
            </w:r>
            <w:r>
              <w:rPr>
                <w:rFonts w:hint="eastAsia" w:ascii="宋体" w:hAnsi="宋体" w:cs="宋体"/>
                <w:color w:val="auto"/>
                <w:szCs w:val="21"/>
              </w:rPr>
              <w:fldChar w:fldCharType="begin"/>
            </w:r>
            <w:r>
              <w:rPr>
                <w:rFonts w:hint="eastAsia" w:ascii="宋体" w:hAnsi="宋体" w:cs="宋体"/>
                <w:color w:val="auto"/>
                <w:szCs w:val="21"/>
              </w:rPr>
              <w:instrText xml:space="preserve">&lt;MK&gt;supplier.organname&lt;/MK&gt;</w:instrText>
            </w:r>
            <w:r>
              <w:rPr>
                <w:rFonts w:hint="eastAsia" w:ascii="宋体" w:hAnsi="宋体" w:cs="宋体"/>
                <w:color w:val="auto"/>
                <w:szCs w:val="21"/>
              </w:rPr>
              <w:fldChar w:fldCharType="end"/>
            </w:r>
          </w:p>
        </w:tc>
      </w:tr>
      <w:tr w14:paraId="57099C23">
        <w:tblPrEx>
          <w:tblCellMar>
            <w:top w:w="0" w:type="dxa"/>
            <w:left w:w="10" w:type="dxa"/>
            <w:bottom w:w="0" w:type="dxa"/>
            <w:right w:w="10" w:type="dxa"/>
          </w:tblCellMar>
        </w:tblPrEx>
        <w:tc>
          <w:tcPr>
            <w:tcW w:w="4678" w:type="dxa"/>
            <w:noWrap w:val="0"/>
            <w:vAlign w:val="top"/>
          </w:tcPr>
          <w:p w14:paraId="1F74A3F6">
            <w:pPr>
              <w:widowControl/>
              <w:adjustRightInd w:val="0"/>
              <w:snapToGrid w:val="0"/>
              <w:spacing w:line="560" w:lineRule="exact"/>
              <w:rPr>
                <w:rFonts w:hint="eastAsia" w:ascii="宋体" w:hAnsi="宋体" w:cs="宋体"/>
                <w:color w:val="auto"/>
                <w:szCs w:val="21"/>
              </w:rPr>
            </w:pPr>
            <w:r>
              <w:rPr>
                <w:rFonts w:hint="eastAsia" w:ascii="宋体" w:hAnsi="宋体" w:cs="宋体"/>
                <w:color w:val="auto"/>
                <w:szCs w:val="21"/>
              </w:rPr>
              <w:t>单位盖章:</w:t>
            </w:r>
          </w:p>
          <w:p w14:paraId="7C5EA53F">
            <w:pPr>
              <w:widowControl/>
              <w:adjustRightInd w:val="0"/>
              <w:snapToGrid w:val="0"/>
              <w:spacing w:line="560" w:lineRule="exact"/>
              <w:rPr>
                <w:rFonts w:hint="eastAsia" w:ascii="宋体" w:hAnsi="宋体" w:cs="宋体"/>
                <w:color w:val="auto"/>
                <w:szCs w:val="21"/>
              </w:rPr>
            </w:pPr>
          </w:p>
          <w:p w14:paraId="2E289703">
            <w:pPr>
              <w:widowControl/>
              <w:adjustRightInd w:val="0"/>
              <w:snapToGrid w:val="0"/>
              <w:spacing w:line="560" w:lineRule="exact"/>
              <w:rPr>
                <w:rFonts w:hint="eastAsia" w:ascii="宋体" w:hAnsi="宋体" w:cs="宋体"/>
                <w:color w:val="auto"/>
                <w:szCs w:val="21"/>
              </w:rPr>
            </w:pPr>
          </w:p>
        </w:tc>
        <w:tc>
          <w:tcPr>
            <w:tcW w:w="5103" w:type="dxa"/>
            <w:noWrap w:val="0"/>
            <w:vAlign w:val="top"/>
          </w:tcPr>
          <w:p w14:paraId="7A287DB6">
            <w:pPr>
              <w:widowControl/>
              <w:adjustRightInd w:val="0"/>
              <w:snapToGrid w:val="0"/>
              <w:spacing w:line="560" w:lineRule="exact"/>
              <w:rPr>
                <w:rFonts w:hint="eastAsia" w:ascii="宋体" w:hAnsi="宋体" w:cs="宋体"/>
                <w:color w:val="auto"/>
                <w:szCs w:val="21"/>
              </w:rPr>
            </w:pPr>
            <w:r>
              <w:rPr>
                <w:rFonts w:hint="eastAsia" w:ascii="宋体" w:hAnsi="宋体" w:cs="宋体"/>
                <w:color w:val="auto"/>
                <w:szCs w:val="21"/>
              </w:rPr>
              <w:t>单位盖章:</w:t>
            </w:r>
          </w:p>
          <w:p w14:paraId="5C1A15BF">
            <w:pPr>
              <w:widowControl/>
              <w:adjustRightInd w:val="0"/>
              <w:snapToGrid w:val="0"/>
              <w:spacing w:line="560" w:lineRule="exact"/>
              <w:rPr>
                <w:rFonts w:hint="eastAsia" w:ascii="宋体" w:hAnsi="宋体" w:cs="宋体"/>
                <w:color w:val="auto"/>
                <w:szCs w:val="21"/>
              </w:rPr>
            </w:pPr>
          </w:p>
          <w:p w14:paraId="0DB47587">
            <w:pPr>
              <w:widowControl/>
              <w:adjustRightInd w:val="0"/>
              <w:snapToGrid w:val="0"/>
              <w:spacing w:line="560" w:lineRule="exact"/>
              <w:rPr>
                <w:rFonts w:hint="eastAsia" w:ascii="宋体" w:hAnsi="宋体" w:cs="宋体"/>
                <w:color w:val="auto"/>
                <w:szCs w:val="21"/>
              </w:rPr>
            </w:pPr>
          </w:p>
        </w:tc>
      </w:tr>
    </w:tbl>
    <w:p w14:paraId="2DE47429">
      <w:pPr>
        <w:widowControl/>
        <w:jc w:val="left"/>
        <w:rPr>
          <w:rFonts w:ascii="宋体" w:hAnsi="宋体"/>
          <w:color w:val="auto"/>
          <w:sz w:val="36"/>
          <w:szCs w:val="36"/>
        </w:rPr>
      </w:pPr>
    </w:p>
    <w:p w14:paraId="102FCDF1">
      <w:pPr>
        <w:spacing w:line="560" w:lineRule="exact"/>
        <w:jc w:val="left"/>
        <w:rPr>
          <w:rFonts w:hint="eastAsia" w:ascii="宋体" w:hAnsi="宋体" w:cs="宋体"/>
          <w:color w:val="auto"/>
          <w:szCs w:val="21"/>
        </w:rPr>
      </w:pPr>
    </w:p>
    <w:p w14:paraId="1907BB61">
      <w:pPr>
        <w:widowControl/>
        <w:spacing w:line="360" w:lineRule="auto"/>
        <w:jc w:val="left"/>
        <w:rPr>
          <w:rFonts w:ascii="宋体" w:hAnsi="宋体" w:cs="宋体"/>
          <w:color w:val="auto"/>
          <w:szCs w:val="21"/>
        </w:rPr>
      </w:pPr>
      <w:r>
        <w:rPr>
          <w:rFonts w:hint="eastAsia" w:ascii="宋体" w:hAnsi="宋体" w:cs="宋体"/>
          <w:color w:val="auto"/>
          <w:szCs w:val="21"/>
        </w:rPr>
        <w:br w:type="page" w:clear="all"/>
      </w:r>
      <w:r>
        <w:rPr>
          <w:rFonts w:hint="eastAsia" w:ascii="宋体" w:hAnsi="宋体" w:cs="宋体"/>
          <w:color w:val="auto"/>
          <w:szCs w:val="21"/>
        </w:rPr>
        <w:t>附件1</w:t>
      </w:r>
    </w:p>
    <w:p w14:paraId="029E8D6D">
      <w:pPr>
        <w:spacing w:line="560" w:lineRule="exact"/>
        <w:ind w:firstLine="3360" w:firstLineChars="1600"/>
        <w:jc w:val="left"/>
        <w:rPr>
          <w:rFonts w:hint="eastAsia" w:ascii="宋体" w:hAnsi="宋体" w:cs="宋体"/>
          <w:color w:val="auto"/>
          <w:szCs w:val="21"/>
        </w:rPr>
      </w:pPr>
      <w:bookmarkStart w:id="108" w:name="_Toc4294"/>
      <w:bookmarkStart w:id="109" w:name="_Toc29349"/>
      <w:bookmarkStart w:id="110" w:name="_Toc27839"/>
      <w:bookmarkStart w:id="111" w:name="_Toc483"/>
      <w:r>
        <w:rPr>
          <w:rFonts w:hint="eastAsia" w:ascii="宋体" w:hAnsi="宋体" w:cs="宋体"/>
          <w:color w:val="auto"/>
          <w:szCs w:val="21"/>
        </w:rPr>
        <w:t>采购合同文本（范本）</w:t>
      </w:r>
    </w:p>
    <w:p w14:paraId="78FC88A7">
      <w:pPr>
        <w:widowControl/>
        <w:kinsoku w:val="0"/>
        <w:autoSpaceDE w:val="0"/>
        <w:autoSpaceDN w:val="0"/>
        <w:adjustRightInd w:val="0"/>
        <w:snapToGrid w:val="0"/>
        <w:spacing w:line="361" w:lineRule="auto"/>
        <w:jc w:val="left"/>
        <w:textAlignment w:val="baseline"/>
        <w:rPr>
          <w:rFonts w:ascii="Arial" w:hAnsi="Arial" w:eastAsia="Arial" w:cs="Arial"/>
          <w:snapToGrid w:val="0"/>
          <w:color w:val="auto"/>
          <w:szCs w:val="21"/>
        </w:rPr>
      </w:pPr>
    </w:p>
    <w:p w14:paraId="5A683D54">
      <w:pPr>
        <w:pStyle w:val="21"/>
        <w:spacing w:line="360" w:lineRule="auto"/>
        <w:ind w:firstLine="211" w:firstLineChars="100"/>
        <w:rPr>
          <w:rFonts w:hint="eastAsia" w:hAnsi="宋体" w:cs="宋体"/>
          <w:color w:val="auto"/>
          <w:sz w:val="21"/>
          <w:szCs w:val="21"/>
          <w:u w:val="single"/>
        </w:rPr>
      </w:pPr>
      <w:r>
        <w:rPr>
          <w:rFonts w:hint="eastAsia" w:hAnsi="宋体" w:cs="宋体"/>
          <w:b/>
          <w:color w:val="auto"/>
          <w:sz w:val="21"/>
          <w:szCs w:val="21"/>
        </w:rPr>
        <w:t xml:space="preserve">甲方： </w:t>
      </w:r>
      <w:r>
        <w:rPr>
          <w:rFonts w:hint="eastAsia" w:hAnsi="宋体" w:cs="宋体"/>
          <w:b/>
          <w:color w:val="auto"/>
          <w:sz w:val="21"/>
          <w:szCs w:val="21"/>
          <w:u w:val="single"/>
        </w:rPr>
        <w:t xml:space="preserve">                 </w:t>
      </w:r>
      <w:r>
        <w:rPr>
          <w:rFonts w:hint="eastAsia" w:hAnsi="宋体" w:cs="宋体"/>
          <w:b/>
          <w:color w:val="auto"/>
          <w:sz w:val="21"/>
          <w:szCs w:val="21"/>
        </w:rPr>
        <w:t xml:space="preserve">                   签订地点：</w:t>
      </w:r>
      <w:r>
        <w:rPr>
          <w:rFonts w:hint="eastAsia" w:hAnsi="宋体" w:cs="宋体"/>
          <w:b/>
          <w:color w:val="auto"/>
          <w:sz w:val="21"/>
          <w:szCs w:val="21"/>
          <w:u w:val="single"/>
        </w:rPr>
        <w:t xml:space="preserve">         </w:t>
      </w:r>
      <w:r>
        <w:rPr>
          <w:rFonts w:hint="eastAsia" w:hAnsi="宋体" w:cs="宋体"/>
          <w:b/>
          <w:color w:val="auto"/>
          <w:sz w:val="21"/>
          <w:szCs w:val="21"/>
          <w:u w:val="single"/>
          <w:lang w:val="en-US" w:eastAsia="zh-CN"/>
        </w:rPr>
        <w:t xml:space="preserve">      </w:t>
      </w:r>
      <w:r>
        <w:rPr>
          <w:rFonts w:hint="eastAsia" w:hAnsi="宋体" w:cs="宋体"/>
          <w:b/>
          <w:color w:val="auto"/>
          <w:sz w:val="21"/>
          <w:szCs w:val="21"/>
          <w:u w:val="single"/>
        </w:rPr>
        <w:t xml:space="preserve">       </w:t>
      </w:r>
      <w:r>
        <w:rPr>
          <w:rFonts w:hint="eastAsia" w:hAnsi="宋体" w:cs="宋体"/>
          <w:color w:val="auto"/>
          <w:sz w:val="21"/>
          <w:szCs w:val="21"/>
        </w:rPr>
        <w:t xml:space="preserve">  </w:t>
      </w:r>
    </w:p>
    <w:p w14:paraId="6D58BFEB">
      <w:pPr>
        <w:pStyle w:val="21"/>
        <w:spacing w:line="360" w:lineRule="auto"/>
        <w:ind w:firstLine="211" w:firstLineChars="100"/>
        <w:rPr>
          <w:rFonts w:hint="eastAsia" w:hAnsi="宋体" w:cs="宋体"/>
          <w:color w:val="auto"/>
          <w:sz w:val="21"/>
          <w:szCs w:val="21"/>
          <w:u w:val="single"/>
        </w:rPr>
      </w:pPr>
      <w:r>
        <w:rPr>
          <w:rFonts w:hint="eastAsia" w:hAnsi="宋体" w:cs="宋体"/>
          <w:b/>
          <w:color w:val="auto"/>
          <w:sz w:val="21"/>
          <w:szCs w:val="21"/>
        </w:rPr>
        <w:t xml:space="preserve">乙方： </w:t>
      </w:r>
      <w:r>
        <w:rPr>
          <w:rFonts w:hint="eastAsia" w:hAnsi="宋体" w:cs="宋体"/>
          <w:bCs/>
          <w:color w:val="auto"/>
          <w:sz w:val="21"/>
          <w:szCs w:val="21"/>
          <w:u w:val="single"/>
        </w:rPr>
        <w:t xml:space="preserve">                 </w:t>
      </w:r>
      <w:r>
        <w:rPr>
          <w:rFonts w:hint="eastAsia" w:hAnsi="宋体" w:cs="宋体"/>
          <w:b/>
          <w:color w:val="auto"/>
          <w:sz w:val="21"/>
          <w:szCs w:val="21"/>
        </w:rPr>
        <w:t xml:space="preserve">                   合同时间：</w:t>
      </w:r>
      <w:r>
        <w:rPr>
          <w:rFonts w:hint="eastAsia" w:hAnsi="宋体" w:cs="宋体"/>
          <w:color w:val="auto"/>
          <w:sz w:val="21"/>
          <w:szCs w:val="21"/>
          <w:u w:val="single"/>
        </w:rPr>
        <w:t xml:space="preserve">  </w:t>
      </w:r>
      <w:r>
        <w:rPr>
          <w:rFonts w:hint="eastAsia" w:hAnsi="宋体" w:cs="宋体"/>
          <w:color w:val="auto"/>
          <w:sz w:val="21"/>
          <w:szCs w:val="21"/>
          <w:u w:val="single"/>
          <w:lang w:val="en-US" w:eastAsia="zh-CN"/>
        </w:rPr>
        <w:t xml:space="preserve">  </w:t>
      </w:r>
      <w:r>
        <w:rPr>
          <w:rFonts w:hint="eastAsia" w:hAnsi="宋体" w:cs="宋体"/>
          <w:color w:val="auto"/>
          <w:sz w:val="21"/>
          <w:szCs w:val="21"/>
          <w:u w:val="single"/>
        </w:rPr>
        <w:t xml:space="preserve">  </w:t>
      </w:r>
      <w:r>
        <w:rPr>
          <w:rFonts w:hint="eastAsia" w:hAnsi="宋体" w:cs="宋体"/>
          <w:color w:val="auto"/>
          <w:sz w:val="21"/>
          <w:szCs w:val="21"/>
          <w:u w:val="none"/>
        </w:rPr>
        <w:t>年</w:t>
      </w:r>
      <w:r>
        <w:rPr>
          <w:rFonts w:hint="eastAsia" w:hAnsi="宋体" w:cs="宋体"/>
          <w:color w:val="auto"/>
          <w:sz w:val="21"/>
          <w:szCs w:val="21"/>
          <w:u w:val="single"/>
        </w:rPr>
        <w:t xml:space="preserve">  </w:t>
      </w:r>
      <w:r>
        <w:rPr>
          <w:rFonts w:hint="eastAsia" w:hAnsi="宋体" w:cs="宋体"/>
          <w:color w:val="auto"/>
          <w:sz w:val="21"/>
          <w:szCs w:val="21"/>
          <w:u w:val="single"/>
          <w:lang w:val="en-US" w:eastAsia="zh-CN"/>
        </w:rPr>
        <w:t xml:space="preserve">  </w:t>
      </w:r>
      <w:r>
        <w:rPr>
          <w:rFonts w:hint="eastAsia" w:hAnsi="宋体" w:cs="宋体"/>
          <w:color w:val="auto"/>
          <w:sz w:val="21"/>
          <w:szCs w:val="21"/>
          <w:u w:val="single"/>
        </w:rPr>
        <w:t xml:space="preserve"> </w:t>
      </w:r>
      <w:r>
        <w:rPr>
          <w:rFonts w:hint="eastAsia" w:hAnsi="宋体" w:cs="宋体"/>
          <w:color w:val="auto"/>
          <w:sz w:val="21"/>
          <w:szCs w:val="21"/>
          <w:u w:val="none"/>
        </w:rPr>
        <w:t>月</w:t>
      </w:r>
      <w:r>
        <w:rPr>
          <w:rFonts w:hint="eastAsia" w:hAnsi="宋体" w:cs="宋体"/>
          <w:color w:val="auto"/>
          <w:sz w:val="21"/>
          <w:szCs w:val="21"/>
          <w:u w:val="single"/>
        </w:rPr>
        <w:t xml:space="preserve"> </w:t>
      </w:r>
      <w:r>
        <w:rPr>
          <w:rFonts w:hint="eastAsia" w:hAnsi="宋体" w:cs="宋体"/>
          <w:color w:val="auto"/>
          <w:sz w:val="21"/>
          <w:szCs w:val="21"/>
          <w:u w:val="single"/>
          <w:lang w:val="en-US" w:eastAsia="zh-CN"/>
        </w:rPr>
        <w:t xml:space="preserve">  </w:t>
      </w:r>
      <w:r>
        <w:rPr>
          <w:rFonts w:hint="eastAsia" w:hAnsi="宋体" w:cs="宋体"/>
          <w:color w:val="auto"/>
          <w:sz w:val="21"/>
          <w:szCs w:val="21"/>
          <w:u w:val="single"/>
        </w:rPr>
        <w:t xml:space="preserve">  </w:t>
      </w:r>
      <w:r>
        <w:rPr>
          <w:rFonts w:hint="eastAsia" w:hAnsi="宋体" w:cs="宋体"/>
          <w:color w:val="auto"/>
          <w:sz w:val="21"/>
          <w:szCs w:val="21"/>
          <w:u w:val="none"/>
        </w:rPr>
        <w:t>日</w:t>
      </w:r>
    </w:p>
    <w:p w14:paraId="0515D19F">
      <w:pPr>
        <w:widowControl/>
        <w:shd w:val="clear" w:color="auto" w:fill="FFFFFF"/>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根据《中华人民共和国政府采购法》、《中华人民共和国民法典》等法律法规的规定签订本协议。</w:t>
      </w:r>
    </w:p>
    <w:p w14:paraId="6B50C1CB">
      <w:pPr>
        <w:widowControl/>
        <w:shd w:val="clear" w:color="auto" w:fill="FFFFFF"/>
        <w:spacing w:line="360" w:lineRule="auto"/>
        <w:ind w:firstLine="422"/>
        <w:rPr>
          <w:rFonts w:hint="eastAsia" w:ascii="宋体" w:hAnsi="宋体" w:cs="宋体"/>
          <w:color w:val="auto"/>
          <w:kern w:val="0"/>
          <w:szCs w:val="21"/>
        </w:rPr>
      </w:pPr>
      <w:bookmarkStart w:id="112" w:name="_Toc475692078"/>
      <w:r>
        <w:rPr>
          <w:rFonts w:hint="eastAsia" w:ascii="宋体" w:hAnsi="宋体" w:cs="宋体"/>
          <w:b/>
          <w:bCs/>
          <w:color w:val="auto"/>
          <w:kern w:val="0"/>
          <w:szCs w:val="21"/>
        </w:rPr>
        <w:t>第一条 合同标的</w:t>
      </w:r>
      <w:bookmarkEnd w:id="112"/>
      <w:r>
        <w:rPr>
          <w:rFonts w:hint="eastAsia" w:ascii="宋体" w:hAnsi="宋体" w:cs="宋体"/>
          <w:color w:val="auto"/>
          <w:kern w:val="0"/>
          <w:szCs w:val="21"/>
        </w:rPr>
        <w:t> </w:t>
      </w:r>
    </w:p>
    <w:p w14:paraId="1DA8F63E">
      <w:pPr>
        <w:widowControl/>
        <w:shd w:val="clear" w:color="auto" w:fill="FFFFFF"/>
        <w:spacing w:line="360" w:lineRule="auto"/>
        <w:ind w:firstLine="422"/>
        <w:rPr>
          <w:rFonts w:hint="eastAsia" w:ascii="宋体" w:hAnsi="宋体" w:cs="宋体"/>
          <w:color w:val="auto"/>
          <w:kern w:val="0"/>
          <w:szCs w:val="21"/>
          <w:u w:val="single"/>
        </w:rPr>
      </w:pPr>
      <w:r>
        <w:rPr>
          <w:rFonts w:hint="eastAsia" w:ascii="宋体" w:hAnsi="宋体" w:cs="宋体"/>
          <w:color w:val="auto"/>
          <w:kern w:val="0"/>
          <w:szCs w:val="21"/>
        </w:rPr>
        <w:t>乙方根据甲方要求提供下列服务：</w:t>
      </w:r>
    </w:p>
    <w:p w14:paraId="075126B9">
      <w:pPr>
        <w:widowControl/>
        <w:shd w:val="clear" w:color="auto" w:fill="FFFFFF"/>
        <w:spacing w:line="360" w:lineRule="auto"/>
        <w:ind w:firstLine="422"/>
        <w:rPr>
          <w:rFonts w:hint="eastAsia" w:ascii="宋体" w:hAnsi="宋体" w:cs="宋体"/>
          <w:color w:val="auto"/>
          <w:kern w:val="0"/>
          <w:szCs w:val="21"/>
        </w:rPr>
      </w:pPr>
      <w:r>
        <w:rPr>
          <w:rFonts w:hint="eastAsia" w:ascii="宋体" w:hAnsi="宋体" w:cs="宋体"/>
          <w:color w:val="auto"/>
          <w:kern w:val="0"/>
          <w:szCs w:val="21"/>
        </w:rPr>
        <w:t>服务内容详见乙方投标文件及费用清单等。</w:t>
      </w:r>
    </w:p>
    <w:p w14:paraId="5294D3D7">
      <w:pPr>
        <w:widowControl/>
        <w:shd w:val="clear" w:color="auto" w:fill="FFFFFF"/>
        <w:spacing w:line="360" w:lineRule="auto"/>
        <w:ind w:firstLine="420"/>
        <w:jc w:val="left"/>
        <w:rPr>
          <w:rFonts w:hint="eastAsia" w:ascii="宋体" w:hAnsi="宋体" w:cs="宋体"/>
          <w:color w:val="auto"/>
          <w:kern w:val="0"/>
          <w:szCs w:val="21"/>
        </w:rPr>
      </w:pPr>
      <w:bookmarkStart w:id="113" w:name="_Toc475692079"/>
      <w:r>
        <w:rPr>
          <w:rFonts w:hint="eastAsia" w:ascii="宋体" w:hAnsi="宋体" w:cs="宋体"/>
          <w:b/>
          <w:bCs/>
          <w:color w:val="auto"/>
          <w:kern w:val="0"/>
          <w:szCs w:val="21"/>
        </w:rPr>
        <w:t>第二条 合同总价款</w:t>
      </w:r>
      <w:bookmarkEnd w:id="113"/>
      <w:r>
        <w:rPr>
          <w:rFonts w:hint="eastAsia" w:ascii="宋体" w:hAnsi="宋体" w:cs="宋体"/>
          <w:color w:val="auto"/>
          <w:kern w:val="0"/>
          <w:szCs w:val="21"/>
        </w:rPr>
        <w:t> </w:t>
      </w:r>
    </w:p>
    <w:p w14:paraId="6A355FB4">
      <w:pPr>
        <w:widowControl/>
        <w:shd w:val="clear" w:color="auto" w:fill="FFFFFF"/>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本合同</w:t>
      </w:r>
      <w:r>
        <w:rPr>
          <w:rFonts w:hint="eastAsia" w:ascii="宋体" w:hAnsi="宋体" w:cs="宋体"/>
          <w:color w:val="auto"/>
          <w:kern w:val="0"/>
          <w:szCs w:val="21"/>
          <w:lang w:val="en-US" w:eastAsia="zh-CN"/>
        </w:rPr>
        <w:t>中标下浮率为</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w:t>
      </w:r>
    </w:p>
    <w:p w14:paraId="48B8F060">
      <w:pPr>
        <w:widowControl/>
        <w:shd w:val="clear" w:color="auto" w:fill="FFFFFF"/>
        <w:spacing w:line="360" w:lineRule="auto"/>
        <w:ind w:firstLine="413" w:firstLineChars="196"/>
        <w:rPr>
          <w:rFonts w:hint="eastAsia" w:ascii="宋体" w:hAnsi="宋体" w:cs="宋体"/>
          <w:color w:val="auto"/>
          <w:kern w:val="0"/>
          <w:szCs w:val="21"/>
        </w:rPr>
      </w:pPr>
      <w:bookmarkStart w:id="114" w:name="_Toc475692080"/>
      <w:r>
        <w:rPr>
          <w:rFonts w:hint="eastAsia" w:ascii="宋体" w:hAnsi="宋体" w:cs="宋体"/>
          <w:b/>
          <w:bCs/>
          <w:color w:val="auto"/>
          <w:kern w:val="0"/>
          <w:szCs w:val="21"/>
        </w:rPr>
        <w:t>第三条 组成本合同的有关文件</w:t>
      </w:r>
      <w:bookmarkEnd w:id="114"/>
      <w:r>
        <w:rPr>
          <w:rFonts w:hint="eastAsia" w:ascii="宋体" w:hAnsi="宋体" w:cs="宋体"/>
          <w:color w:val="auto"/>
          <w:kern w:val="0"/>
          <w:szCs w:val="21"/>
        </w:rPr>
        <w:t>  </w:t>
      </w:r>
    </w:p>
    <w:p w14:paraId="5A22A8BF">
      <w:pPr>
        <w:widowControl/>
        <w:shd w:val="clear" w:color="auto" w:fill="FFFFFF"/>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征集公告是本合同不可分割的组成部分，与本合同具有同等法律效力。</w:t>
      </w:r>
    </w:p>
    <w:p w14:paraId="1D946363">
      <w:pPr>
        <w:adjustRightInd w:val="0"/>
        <w:snapToGrid w:val="0"/>
        <w:spacing w:line="360" w:lineRule="auto"/>
        <w:ind w:firstLine="422" w:firstLineChars="200"/>
        <w:rPr>
          <w:rFonts w:hint="eastAsia" w:ascii="宋体" w:hAnsi="宋体" w:cs="宋体"/>
          <w:b/>
          <w:color w:val="auto"/>
          <w:szCs w:val="21"/>
        </w:rPr>
      </w:pPr>
      <w:bookmarkStart w:id="115" w:name="_Toc475692081"/>
      <w:r>
        <w:rPr>
          <w:rFonts w:hint="eastAsia" w:ascii="宋体" w:hAnsi="宋体" w:cs="宋体"/>
          <w:b/>
          <w:bCs/>
          <w:color w:val="auto"/>
          <w:kern w:val="0"/>
          <w:szCs w:val="21"/>
        </w:rPr>
        <w:t>第</w:t>
      </w:r>
      <w:bookmarkEnd w:id="115"/>
      <w:r>
        <w:rPr>
          <w:rFonts w:hint="eastAsia" w:ascii="宋体" w:hAnsi="宋体" w:cs="宋体"/>
          <w:b/>
          <w:color w:val="auto"/>
          <w:szCs w:val="21"/>
        </w:rPr>
        <w:t>四条 合同款结算及支付</w:t>
      </w:r>
    </w:p>
    <w:p w14:paraId="3000DFF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1.本合同项下所有款项均以人民币支付。</w:t>
      </w:r>
    </w:p>
    <w:p w14:paraId="38236AF5">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2.本合同项下的采购资金由甲方自行支付，乙方向甲方开具发票。</w:t>
      </w:r>
    </w:p>
    <w:p w14:paraId="78E1ED74">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3.结算原则：</w:t>
      </w:r>
    </w:p>
    <w:p w14:paraId="416AB9C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4.付款方式：</w:t>
      </w:r>
    </w:p>
    <w:p w14:paraId="5B20586E">
      <w:pPr>
        <w:adjustRightInd w:val="0"/>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第五条 违约责任</w:t>
      </w:r>
    </w:p>
    <w:p w14:paraId="063CC1D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1.如乙方不能按约定进行服务的，甲方有权解除合同，同时有权要求乙方按照合同总价5%的标准支付违约金，解除合同的通知自发出之日生效。</w:t>
      </w:r>
    </w:p>
    <w:p w14:paraId="03E9BF7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2.甲方未按合同规定的期限向乙方支付款项的，每逾期1天甲方向乙方偿付欠款总额的5‰滞纳金，但累计滞纳金总额不超过欠款总额的5% 。</w:t>
      </w:r>
    </w:p>
    <w:p w14:paraId="1ED3124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3.乙方未按本合同的规定和“服务承诺”提供伴随服务的，甲方有权提前解除本合同，同时乙方应按合同总价款的5 %向甲方承担违约责任。</w:t>
      </w:r>
    </w:p>
    <w:p w14:paraId="60B56E4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4.乙方在承担上述一项或多项违约责任后，仍应继续履行合同规定的义务（甲方解除合同的除外）。甲方未能及时追究乙方的任何一项违约责任并不表明甲方放弃追究乙方该项或其他违约责任。</w:t>
      </w:r>
    </w:p>
    <w:p w14:paraId="56EF2B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5.乙方投标属虚假承诺，或是由于乙方的过错造成合同无法继续履行的，应向甲方支付不少于合同总价30%违约金，若该违约金不足以弥补甲方损失，则应当赔偿甲方所有损失。</w:t>
      </w:r>
    </w:p>
    <w:p w14:paraId="0D753D1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6.其他未尽事宜，以《民法典》等有关法律法规规定为准，无相关规定的，双方协商解决。</w:t>
      </w:r>
    </w:p>
    <w:p w14:paraId="108283BC">
      <w:pPr>
        <w:adjustRightInd w:val="0"/>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第六条 合同的变更和终止</w:t>
      </w:r>
    </w:p>
    <w:p w14:paraId="35A3382F">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1.本合同一经签订，甲乙双方不得擅自变更、中止或终止合同。</w:t>
      </w:r>
    </w:p>
    <w:p w14:paraId="7321718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2.除发生法律规定的不能预见、不能避免并不能克服的客观情况外，甲乙双方不得放弃或拒绝履行合同。乙方放弃或拒绝履行合同，保证金不予退还。</w:t>
      </w:r>
    </w:p>
    <w:p w14:paraId="2876AA34">
      <w:pPr>
        <w:adjustRightInd w:val="0"/>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第七条 合同的转让</w:t>
      </w:r>
    </w:p>
    <w:p w14:paraId="7629C3A6">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乙方不得擅自部分或全部转让其应履行的合同义务。</w:t>
      </w:r>
    </w:p>
    <w:p w14:paraId="52FE0C11">
      <w:pPr>
        <w:adjustRightInd w:val="0"/>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第八条 不可抗力</w:t>
      </w:r>
    </w:p>
    <w:p w14:paraId="3B76DC10">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甲、乙方中任何一方，因不可抗力不能按时或完全履行合同的，应及时通知对方，并在</w:t>
      </w:r>
      <w:r>
        <w:rPr>
          <w:rFonts w:hint="eastAsia" w:ascii="宋体" w:hAnsi="宋体" w:cs="宋体"/>
          <w:color w:val="auto"/>
          <w:szCs w:val="21"/>
          <w:u w:val="single"/>
        </w:rPr>
        <w:t xml:space="preserve">   个</w:t>
      </w:r>
      <w:r>
        <w:rPr>
          <w:rFonts w:hint="eastAsia" w:ascii="宋体" w:hAnsi="宋体" w:cs="宋体"/>
          <w:color w:val="auto"/>
          <w:szCs w:val="21"/>
        </w:rPr>
        <w:t>工作日内提供相应证明。未履行完合同部分是否继续履行、如何履行等问题，可由双方初步协商，并向主管部门报告。确定为不可抗力原因造成的损失，免予承担责任。</w:t>
      </w:r>
    </w:p>
    <w:p w14:paraId="06241282">
      <w:pPr>
        <w:adjustRightInd w:val="0"/>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第九条 争议的解决</w:t>
      </w:r>
    </w:p>
    <w:p w14:paraId="16D9E36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1.因履行本合同引起的或与本合同有关的争议，甲、乙双方应首先通过友好协商解决，如果协商不能解决争议，则采取以下第（ ）种方式解决争议：</w:t>
      </w:r>
    </w:p>
    <w:p w14:paraId="44CE4280">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（1）向甲方所在地人民法院提起诉讼；</w:t>
      </w:r>
    </w:p>
    <w:p w14:paraId="2D0D9855">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（2）向甲方所在地仲裁委员会按其仲裁规则申请仲裁。</w:t>
      </w:r>
    </w:p>
    <w:p w14:paraId="4BE07AB0">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如没有约定，默认采取第2种方式解决争议。</w:t>
      </w:r>
    </w:p>
    <w:p w14:paraId="5AC567A7">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2.在法院审理和仲裁期间，除有争议部分外，本合同其他部分应继续履行。</w:t>
      </w:r>
    </w:p>
    <w:p w14:paraId="5BA2BEDF">
      <w:pPr>
        <w:adjustRightInd w:val="0"/>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 xml:space="preserve">第十条 诚实信用 </w:t>
      </w:r>
    </w:p>
    <w:p w14:paraId="03A149FF">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乙方应诚实信用，严格按照招标文件要求和投标承诺履行合同，不向甲方进行商业贿赂或者提供不正当利益。</w:t>
      </w:r>
    </w:p>
    <w:p w14:paraId="79C03F66">
      <w:pPr>
        <w:widowControl/>
        <w:shd w:val="clear" w:color="auto" w:fill="FFFFFF"/>
        <w:spacing w:line="360" w:lineRule="auto"/>
        <w:ind w:firstLine="420"/>
        <w:jc w:val="left"/>
        <w:rPr>
          <w:rFonts w:hint="eastAsia" w:ascii="宋体" w:hAnsi="宋体" w:cs="宋体"/>
          <w:color w:val="auto"/>
          <w:kern w:val="0"/>
          <w:szCs w:val="21"/>
        </w:rPr>
      </w:pPr>
    </w:p>
    <w:p w14:paraId="0552FC9C">
      <w:pPr>
        <w:pStyle w:val="21"/>
        <w:spacing w:line="360" w:lineRule="auto"/>
        <w:rPr>
          <w:rFonts w:hint="eastAsia" w:hAnsi="宋体" w:cs="宋体"/>
          <w:b/>
          <w:color w:val="auto"/>
          <w:sz w:val="21"/>
          <w:szCs w:val="21"/>
        </w:rPr>
      </w:pPr>
      <w:r>
        <w:rPr>
          <w:rFonts w:hint="eastAsia" w:hAnsi="宋体" w:cs="宋体"/>
          <w:b/>
          <w:color w:val="auto"/>
          <w:sz w:val="21"/>
          <w:szCs w:val="21"/>
        </w:rPr>
        <w:t xml:space="preserve">  </w:t>
      </w:r>
      <w:r>
        <w:rPr>
          <w:rFonts w:hint="eastAsia" w:hAnsi="宋体" w:cs="宋体"/>
          <w:b/>
          <w:bCs/>
          <w:color w:val="auto"/>
          <w:sz w:val="21"/>
          <w:szCs w:val="21"/>
        </w:rPr>
        <w:t>第十一条、生效和其他</w:t>
      </w:r>
    </w:p>
    <w:p w14:paraId="2DB2214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1.本合同经双方签署生效。</w:t>
      </w:r>
    </w:p>
    <w:p w14:paraId="676D64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2.双方应各指定一名授权代表，负责直接处理与本合同履行有关的技术和商务事宜。双方授权代表的名称和通讯地址在本合同签署的同时书面通知对方。</w:t>
      </w:r>
    </w:p>
    <w:p w14:paraId="68CB6D5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3.本合同履行期间双方间的通讯往来应采用书面方式。涉及重要事项的传真应随后立即以挂号信件或特快专递确认。</w:t>
      </w:r>
    </w:p>
    <w:p w14:paraId="421E969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 本协议一式六份，甲方持有贰份，乙方持有贰份，代理机构持有贰份。</w:t>
      </w:r>
    </w:p>
    <w:p w14:paraId="6D99B8D4">
      <w:pPr>
        <w:spacing w:line="360" w:lineRule="auto"/>
        <w:jc w:val="left"/>
        <w:rPr>
          <w:rFonts w:hint="eastAsia" w:ascii="宋体" w:hAnsi="宋体" w:cs="宋体"/>
          <w:b/>
          <w:bCs/>
          <w:color w:val="auto"/>
          <w:szCs w:val="21"/>
        </w:rPr>
      </w:pPr>
    </w:p>
    <w:p w14:paraId="4F4593B6">
      <w:pPr>
        <w:spacing w:line="360" w:lineRule="auto"/>
        <w:ind w:firstLine="310" w:firstLineChars="147"/>
        <w:jc w:val="left"/>
        <w:rPr>
          <w:rFonts w:hint="eastAsia" w:ascii="宋体" w:hAnsi="宋体" w:cs="宋体"/>
          <w:b/>
          <w:bCs/>
          <w:color w:val="auto"/>
          <w:szCs w:val="21"/>
        </w:rPr>
      </w:pPr>
      <w:r>
        <w:rPr>
          <w:rFonts w:hint="eastAsia" w:ascii="宋体" w:hAnsi="宋体" w:cs="宋体"/>
          <w:b/>
          <w:bCs/>
          <w:color w:val="auto"/>
          <w:szCs w:val="21"/>
        </w:rPr>
        <w:t>注：最终以甲乙双方签订为准，一切解释权归甲方所有。</w:t>
      </w:r>
    </w:p>
    <w:p w14:paraId="553F0337">
      <w:pPr>
        <w:spacing w:line="360" w:lineRule="auto"/>
        <w:jc w:val="left"/>
        <w:rPr>
          <w:rFonts w:hint="eastAsia" w:ascii="宋体" w:hAnsi="宋体" w:cs="宋体"/>
          <w:b/>
          <w:bCs/>
          <w:color w:val="auto"/>
          <w:szCs w:val="21"/>
        </w:rPr>
      </w:pPr>
    </w:p>
    <w:p w14:paraId="75D608B1">
      <w:pPr>
        <w:spacing w:line="360" w:lineRule="auto"/>
        <w:jc w:val="left"/>
        <w:rPr>
          <w:rFonts w:hint="eastAsia" w:ascii="宋体" w:hAnsi="宋体" w:cs="宋体"/>
          <w:b/>
          <w:bCs/>
          <w:color w:val="auto"/>
          <w:szCs w:val="21"/>
        </w:rPr>
      </w:pPr>
    </w:p>
    <w:p w14:paraId="02AB62A8">
      <w:pPr>
        <w:spacing w:line="360" w:lineRule="auto"/>
        <w:jc w:val="left"/>
        <w:rPr>
          <w:rFonts w:hint="eastAsia" w:ascii="宋体" w:hAnsi="宋体" w:cs="宋体"/>
          <w:color w:val="auto"/>
          <w:szCs w:val="21"/>
        </w:rPr>
      </w:pPr>
      <w:r>
        <w:rPr>
          <w:rFonts w:hint="eastAsia" w:ascii="宋体" w:hAnsi="宋体" w:cs="宋体"/>
          <w:b/>
          <w:bCs/>
          <w:color w:val="auto"/>
          <w:szCs w:val="21"/>
        </w:rPr>
        <w:t>甲    方</w:t>
      </w:r>
      <w:r>
        <w:rPr>
          <w:rFonts w:hint="eastAsia" w:ascii="宋体" w:hAnsi="宋体" w:cs="宋体"/>
          <w:color w:val="auto"/>
          <w:szCs w:val="21"/>
        </w:rPr>
        <w:t xml:space="preserve">：                               </w:t>
      </w:r>
      <w:r>
        <w:rPr>
          <w:rFonts w:hint="eastAsia" w:ascii="宋体" w:hAnsi="宋体" w:cs="宋体"/>
          <w:b/>
          <w:bCs/>
          <w:color w:val="auto"/>
          <w:szCs w:val="21"/>
        </w:rPr>
        <w:t>乙    方</w:t>
      </w:r>
      <w:r>
        <w:rPr>
          <w:rFonts w:hint="eastAsia" w:ascii="宋体" w:hAnsi="宋体" w:cs="宋体"/>
          <w:color w:val="auto"/>
          <w:szCs w:val="21"/>
        </w:rPr>
        <w:t>：</w:t>
      </w:r>
    </w:p>
    <w:p w14:paraId="34D83475">
      <w:pPr>
        <w:spacing w:line="360" w:lineRule="auto"/>
        <w:rPr>
          <w:rFonts w:hint="eastAsia" w:ascii="宋体" w:hAnsi="宋体" w:cs="宋体"/>
          <w:color w:val="auto"/>
          <w:szCs w:val="21"/>
          <w:u w:val="single"/>
        </w:rPr>
      </w:pPr>
      <w:r>
        <w:rPr>
          <w:rFonts w:hint="eastAsia" w:ascii="宋体" w:hAnsi="宋体" w:cs="宋体"/>
          <w:color w:val="auto"/>
          <w:szCs w:val="21"/>
        </w:rPr>
        <w:t>单位名称（章）：</w:t>
      </w:r>
      <w:r>
        <w:rPr>
          <w:rFonts w:hint="eastAsia" w:ascii="宋体" w:hAnsi="宋体" w:cs="宋体"/>
          <w:color w:val="auto"/>
          <w:szCs w:val="21"/>
          <w:u w:val="single"/>
        </w:rPr>
        <w:t xml:space="preserve">                 </w:t>
      </w:r>
      <w:r>
        <w:rPr>
          <w:rFonts w:hint="eastAsia" w:ascii="宋体" w:hAnsi="宋体" w:cs="宋体"/>
          <w:color w:val="auto"/>
          <w:szCs w:val="21"/>
        </w:rPr>
        <w:t xml:space="preserve">         单位名称（章）：</w:t>
      </w:r>
      <w:r>
        <w:rPr>
          <w:rFonts w:hint="eastAsia" w:ascii="宋体" w:hAnsi="宋体" w:cs="宋体"/>
          <w:color w:val="auto"/>
          <w:szCs w:val="21"/>
          <w:u w:val="single"/>
        </w:rPr>
        <w:t xml:space="preserve">              </w:t>
      </w:r>
    </w:p>
    <w:p w14:paraId="6F4CC95C">
      <w:pPr>
        <w:spacing w:line="360" w:lineRule="auto"/>
        <w:rPr>
          <w:rFonts w:hint="eastAsia" w:ascii="宋体" w:hAnsi="宋体" w:cs="宋体"/>
          <w:color w:val="auto"/>
          <w:szCs w:val="21"/>
          <w:u w:val="single"/>
        </w:rPr>
      </w:pPr>
      <w:r>
        <w:rPr>
          <w:rFonts w:hint="eastAsia" w:ascii="宋体" w:hAnsi="宋体" w:cs="宋体"/>
          <w:color w:val="auto"/>
          <w:szCs w:val="21"/>
        </w:rPr>
        <w:t>单位地址：</w:t>
      </w:r>
      <w:r>
        <w:rPr>
          <w:rFonts w:hint="eastAsia" w:ascii="宋体" w:hAnsi="宋体" w:cs="宋体"/>
          <w:color w:val="auto"/>
          <w:szCs w:val="21"/>
          <w:u w:val="single"/>
        </w:rPr>
        <w:t xml:space="preserve">                      </w:t>
      </w:r>
      <w:r>
        <w:rPr>
          <w:rFonts w:hint="eastAsia" w:ascii="宋体" w:hAnsi="宋体" w:cs="宋体"/>
          <w:color w:val="auto"/>
          <w:szCs w:val="21"/>
        </w:rPr>
        <w:t xml:space="preserve">         单位地址：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2218F46">
      <w:pPr>
        <w:spacing w:line="360" w:lineRule="auto"/>
        <w:rPr>
          <w:rFonts w:hint="eastAsia" w:ascii="宋体" w:hAnsi="宋体" w:cs="宋体"/>
          <w:color w:val="auto"/>
          <w:szCs w:val="21"/>
        </w:rPr>
      </w:pPr>
      <w:r>
        <w:rPr>
          <w:rFonts w:hint="eastAsia" w:ascii="宋体" w:hAnsi="宋体" w:cs="宋体"/>
          <w:color w:val="auto"/>
          <w:szCs w:val="21"/>
        </w:rPr>
        <w:t xml:space="preserve">法定代表人：       委托代理人：          法定代表人：      委托代理人：                            </w:t>
      </w:r>
    </w:p>
    <w:p w14:paraId="3C4AD526">
      <w:pPr>
        <w:spacing w:line="360" w:lineRule="auto"/>
        <w:rPr>
          <w:rFonts w:hint="eastAsia" w:ascii="宋体" w:hAnsi="宋体" w:cs="宋体"/>
          <w:color w:val="auto"/>
          <w:szCs w:val="21"/>
        </w:rPr>
      </w:pPr>
      <w:r>
        <w:rPr>
          <w:rFonts w:hint="eastAsia" w:ascii="宋体" w:hAnsi="宋体" w:cs="宋体"/>
          <w:color w:val="auto"/>
          <w:szCs w:val="21"/>
        </w:rPr>
        <w:t>电话：                                   电话：            传真：</w:t>
      </w:r>
    </w:p>
    <w:p w14:paraId="6568D732">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 xml:space="preserve">传真：                                   </w:t>
      </w:r>
      <w:r>
        <w:rPr>
          <w:rFonts w:hint="eastAsia" w:ascii="宋体" w:hAnsi="宋体" w:cs="宋体"/>
          <w:color w:val="auto"/>
          <w:szCs w:val="21"/>
        </w:rPr>
        <w:t>开户银行：        帐号：</w:t>
      </w:r>
    </w:p>
    <w:p w14:paraId="085DCF16">
      <w:pPr>
        <w:pStyle w:val="3"/>
        <w:spacing w:before="240" w:after="120" w:line="400" w:lineRule="exact"/>
        <w:rPr>
          <w:rFonts w:cs="宋体"/>
          <w:color w:val="auto"/>
          <w:szCs w:val="36"/>
        </w:rPr>
      </w:pPr>
      <w:r>
        <w:rPr>
          <w:rFonts w:hint="eastAsia" w:cs="宋体"/>
          <w:color w:val="auto"/>
          <w:sz w:val="28"/>
          <w:szCs w:val="28"/>
        </w:rPr>
        <w:t xml:space="preserve">第七部分 </w:t>
      </w:r>
      <w:bookmarkEnd w:id="107"/>
      <w:r>
        <w:rPr>
          <w:rFonts w:hint="eastAsia" w:cs="宋体"/>
          <w:color w:val="auto"/>
          <w:sz w:val="28"/>
          <w:szCs w:val="28"/>
        </w:rPr>
        <w:t>投标文件组成</w:t>
      </w:r>
      <w:bookmarkEnd w:id="108"/>
      <w:bookmarkEnd w:id="109"/>
      <w:bookmarkEnd w:id="110"/>
      <w:bookmarkEnd w:id="111"/>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5"/>
        <w:gridCol w:w="3135"/>
        <w:gridCol w:w="5392"/>
      </w:tblGrid>
      <w:tr w14:paraId="412D4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5" w:type="dxa"/>
            <w:tcBorders>
              <w:top w:val="single" w:color="000000" w:sz="4" w:space="0"/>
              <w:left w:val="single" w:color="000000" w:sz="4" w:space="0"/>
              <w:bottom w:val="single" w:color="000000" w:sz="4" w:space="0"/>
              <w:right w:val="single" w:color="000000" w:sz="4" w:space="0"/>
            </w:tcBorders>
            <w:noWrap w:val="0"/>
          </w:tcPr>
          <w:p w14:paraId="1807E396">
            <w:pPr>
              <w:jc w:val="center"/>
              <w:rPr>
                <w:rFonts w:ascii="宋体" w:hAnsi="宋体" w:cs="宋体"/>
                <w:b/>
                <w:color w:val="auto"/>
                <w:szCs w:val="21"/>
              </w:rPr>
            </w:pPr>
            <w:bookmarkStart w:id="116" w:name="_Toc86202633"/>
            <w:r>
              <w:rPr>
                <w:rFonts w:hint="eastAsia" w:ascii="宋体" w:hAnsi="宋体" w:cs="宋体"/>
                <w:b/>
                <w:color w:val="auto"/>
                <w:szCs w:val="21"/>
                <w:lang w:bidi="ar"/>
              </w:rPr>
              <w:t>名称</w:t>
            </w:r>
            <w:bookmarkEnd w:id="116"/>
          </w:p>
        </w:tc>
        <w:tc>
          <w:tcPr>
            <w:tcW w:w="3135" w:type="dxa"/>
            <w:tcBorders>
              <w:top w:val="single" w:color="000000" w:sz="4" w:space="0"/>
              <w:left w:val="nil"/>
              <w:bottom w:val="single" w:color="000000" w:sz="4" w:space="0"/>
              <w:right w:val="single" w:color="000000" w:sz="4" w:space="0"/>
            </w:tcBorders>
            <w:noWrap w:val="0"/>
          </w:tcPr>
          <w:p w14:paraId="025751C2">
            <w:pPr>
              <w:jc w:val="center"/>
              <w:rPr>
                <w:rFonts w:ascii="宋体" w:hAnsi="宋体" w:cs="宋体"/>
                <w:b/>
                <w:color w:val="auto"/>
                <w:szCs w:val="21"/>
              </w:rPr>
            </w:pPr>
            <w:r>
              <w:rPr>
                <w:rFonts w:hint="eastAsia" w:ascii="宋体" w:hAnsi="宋体" w:cs="宋体"/>
                <w:b/>
                <w:color w:val="auto"/>
                <w:szCs w:val="21"/>
                <w:lang w:bidi="ar"/>
              </w:rPr>
              <w:t>文档</w:t>
            </w:r>
          </w:p>
        </w:tc>
        <w:tc>
          <w:tcPr>
            <w:tcW w:w="5392" w:type="dxa"/>
            <w:tcBorders>
              <w:top w:val="single" w:color="000000" w:sz="4" w:space="0"/>
              <w:left w:val="nil"/>
              <w:bottom w:val="single" w:color="000000" w:sz="4" w:space="0"/>
              <w:right w:val="single" w:color="000000" w:sz="4" w:space="0"/>
            </w:tcBorders>
            <w:noWrap w:val="0"/>
          </w:tcPr>
          <w:p w14:paraId="4991D530">
            <w:pPr>
              <w:jc w:val="center"/>
              <w:rPr>
                <w:rFonts w:ascii="宋体" w:hAnsi="宋体" w:cs="宋体"/>
                <w:b/>
                <w:color w:val="auto"/>
                <w:szCs w:val="21"/>
              </w:rPr>
            </w:pPr>
            <w:r>
              <w:rPr>
                <w:rFonts w:hint="eastAsia" w:ascii="宋体" w:hAnsi="宋体" w:cs="宋体"/>
                <w:b/>
                <w:color w:val="auto"/>
                <w:szCs w:val="21"/>
                <w:lang w:bidi="ar"/>
              </w:rPr>
              <w:t>章节</w:t>
            </w:r>
          </w:p>
        </w:tc>
      </w:tr>
      <w:tr w14:paraId="72E82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restart"/>
            <w:tcBorders>
              <w:top w:val="nil"/>
              <w:left w:val="single" w:color="000000" w:sz="4" w:space="0"/>
              <w:right w:val="single" w:color="000000" w:sz="4" w:space="0"/>
            </w:tcBorders>
            <w:noWrap w:val="0"/>
            <w:vAlign w:val="center"/>
          </w:tcPr>
          <w:p w14:paraId="65ADA2A5">
            <w:pPr>
              <w:rPr>
                <w:rFonts w:ascii="宋体" w:hAnsi="宋体" w:cs="宋体"/>
                <w:color w:val="auto"/>
                <w:szCs w:val="21"/>
              </w:rPr>
            </w:pPr>
            <w:r>
              <w:rPr>
                <w:rFonts w:hint="eastAsia" w:ascii="宋体" w:hAnsi="宋体" w:cs="宋体"/>
                <w:b/>
                <w:color w:val="auto"/>
                <w:szCs w:val="21"/>
                <w:lang w:bidi="ar"/>
              </w:rPr>
              <w:t>投标文件组成</w:t>
            </w:r>
          </w:p>
        </w:tc>
        <w:tc>
          <w:tcPr>
            <w:tcW w:w="3135" w:type="dxa"/>
            <w:vMerge w:val="restart"/>
            <w:tcBorders>
              <w:top w:val="single" w:color="000000" w:sz="4" w:space="0"/>
              <w:left w:val="nil"/>
              <w:right w:val="single" w:color="000000" w:sz="4" w:space="0"/>
            </w:tcBorders>
            <w:noWrap w:val="0"/>
            <w:vAlign w:val="center"/>
          </w:tcPr>
          <w:p w14:paraId="69444F39">
            <w:pPr>
              <w:jc w:val="center"/>
              <w:rPr>
                <w:rFonts w:ascii="宋体" w:hAnsi="宋体" w:cs="宋体"/>
                <w:color w:val="auto"/>
                <w:szCs w:val="21"/>
              </w:rPr>
            </w:pPr>
            <w:r>
              <w:rPr>
                <w:rFonts w:hint="eastAsia" w:ascii="宋体" w:hAnsi="宋体" w:cs="宋体"/>
                <w:b/>
                <w:bCs/>
                <w:color w:val="auto"/>
                <w:szCs w:val="21"/>
              </w:rPr>
              <w:t>投标文件格式材料</w:t>
            </w:r>
          </w:p>
        </w:tc>
        <w:tc>
          <w:tcPr>
            <w:tcW w:w="5392" w:type="dxa"/>
            <w:tcBorders>
              <w:top w:val="single" w:color="000000" w:sz="4" w:space="0"/>
              <w:left w:val="nil"/>
              <w:bottom w:val="single" w:color="000000" w:sz="4" w:space="0"/>
              <w:right w:val="single" w:color="000000" w:sz="4" w:space="0"/>
            </w:tcBorders>
            <w:noWrap w:val="0"/>
          </w:tcPr>
          <w:p w14:paraId="4233633B">
            <w:pPr>
              <w:rPr>
                <w:rFonts w:ascii="宋体" w:hAnsi="宋体" w:cs="宋体"/>
                <w:color w:val="auto"/>
                <w:szCs w:val="21"/>
              </w:rPr>
            </w:pPr>
            <w:r>
              <w:rPr>
                <w:rFonts w:hint="eastAsia" w:ascii="宋体" w:hAnsi="宋体" w:cs="宋体"/>
                <w:color w:val="auto"/>
                <w:szCs w:val="21"/>
                <w:lang w:bidi="ar"/>
              </w:rPr>
              <w:t>封面</w:t>
            </w:r>
          </w:p>
        </w:tc>
      </w:tr>
      <w:tr w14:paraId="644E5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30127893">
            <w:pPr>
              <w:rPr>
                <w:rFonts w:ascii="宋体" w:hAnsi="宋体" w:cs="宋体"/>
                <w:color w:val="auto"/>
                <w:szCs w:val="21"/>
              </w:rPr>
            </w:pPr>
          </w:p>
        </w:tc>
        <w:tc>
          <w:tcPr>
            <w:tcW w:w="3135" w:type="dxa"/>
            <w:vMerge w:val="continue"/>
            <w:tcBorders>
              <w:left w:val="nil"/>
              <w:right w:val="single" w:color="000000" w:sz="4" w:space="0"/>
            </w:tcBorders>
            <w:noWrap w:val="0"/>
            <w:vAlign w:val="center"/>
          </w:tcPr>
          <w:p w14:paraId="1FE674DF">
            <w:pPr>
              <w:jc w:val="center"/>
              <w:rPr>
                <w:rFonts w:ascii="宋体" w:hAnsi="宋体" w:cs="宋体"/>
                <w:color w:val="auto"/>
                <w:szCs w:val="21"/>
              </w:rPr>
            </w:pPr>
          </w:p>
        </w:tc>
        <w:tc>
          <w:tcPr>
            <w:tcW w:w="5392" w:type="dxa"/>
            <w:tcBorders>
              <w:top w:val="single" w:color="000000" w:sz="4" w:space="0"/>
              <w:left w:val="nil"/>
              <w:bottom w:val="single" w:color="000000" w:sz="4" w:space="0"/>
              <w:right w:val="single" w:color="000000" w:sz="4" w:space="0"/>
            </w:tcBorders>
            <w:noWrap w:val="0"/>
          </w:tcPr>
          <w:p w14:paraId="5887D295">
            <w:pPr>
              <w:rPr>
                <w:rFonts w:ascii="宋体" w:hAnsi="宋体" w:cs="宋体"/>
                <w:color w:val="auto"/>
                <w:szCs w:val="21"/>
              </w:rPr>
            </w:pPr>
            <w:r>
              <w:rPr>
                <w:rFonts w:hint="eastAsia" w:ascii="宋体" w:hAnsi="宋体" w:cs="宋体"/>
                <w:color w:val="auto"/>
                <w:szCs w:val="21"/>
                <w:lang w:bidi="ar"/>
              </w:rPr>
              <w:t>投标人情况说明</w:t>
            </w:r>
          </w:p>
        </w:tc>
      </w:tr>
      <w:tr w14:paraId="5B793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2EC8F377">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519DFF79">
            <w:pPr>
              <w:jc w:val="center"/>
              <w:rPr>
                <w:rFonts w:ascii="宋体" w:hAnsi="宋体" w:cs="宋体"/>
                <w:b/>
                <w:bCs/>
                <w:color w:val="auto"/>
                <w:szCs w:val="21"/>
              </w:rPr>
            </w:pPr>
          </w:p>
        </w:tc>
        <w:tc>
          <w:tcPr>
            <w:tcW w:w="5392" w:type="dxa"/>
            <w:tcBorders>
              <w:top w:val="single" w:color="000000" w:sz="4" w:space="0"/>
              <w:left w:val="nil"/>
              <w:bottom w:val="single" w:color="000000" w:sz="4" w:space="0"/>
              <w:right w:val="single" w:color="000000" w:sz="4" w:space="0"/>
            </w:tcBorders>
            <w:noWrap w:val="0"/>
          </w:tcPr>
          <w:p w14:paraId="46961460">
            <w:pPr>
              <w:rPr>
                <w:rFonts w:ascii="宋体" w:hAnsi="宋体" w:cs="宋体"/>
                <w:color w:val="auto"/>
                <w:szCs w:val="21"/>
              </w:rPr>
            </w:pPr>
            <w:r>
              <w:rPr>
                <w:rFonts w:hint="eastAsia" w:ascii="宋体" w:hAnsi="宋体" w:cs="宋体"/>
                <w:b/>
                <w:bCs/>
                <w:color w:val="auto"/>
                <w:szCs w:val="21"/>
              </w:rPr>
              <w:t>*开标一览表</w:t>
            </w:r>
          </w:p>
        </w:tc>
      </w:tr>
      <w:tr w14:paraId="55149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53FECAF9">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16FCB84A">
            <w:pPr>
              <w:jc w:val="center"/>
              <w:rPr>
                <w:rFonts w:ascii="宋体" w:hAnsi="宋体" w:cs="宋体"/>
                <w:b/>
                <w:bCs/>
                <w:color w:val="auto"/>
                <w:szCs w:val="21"/>
              </w:rPr>
            </w:pPr>
          </w:p>
        </w:tc>
        <w:tc>
          <w:tcPr>
            <w:tcW w:w="5392" w:type="dxa"/>
            <w:tcBorders>
              <w:top w:val="single" w:color="000000" w:sz="4" w:space="0"/>
              <w:left w:val="nil"/>
              <w:bottom w:val="single" w:color="000000" w:sz="4" w:space="0"/>
              <w:right w:val="single" w:color="000000" w:sz="4" w:space="0"/>
            </w:tcBorders>
            <w:noWrap w:val="0"/>
          </w:tcPr>
          <w:p w14:paraId="68080303">
            <w:pPr>
              <w:rPr>
                <w:rFonts w:ascii="宋体" w:hAnsi="宋体" w:cs="宋体"/>
                <w:color w:val="auto"/>
                <w:szCs w:val="21"/>
              </w:rPr>
            </w:pPr>
            <w:r>
              <w:rPr>
                <w:rFonts w:hint="eastAsia" w:ascii="宋体" w:hAnsi="宋体" w:cs="宋体"/>
                <w:b/>
                <w:bCs/>
                <w:color w:val="auto"/>
                <w:szCs w:val="21"/>
              </w:rPr>
              <w:t>*投标函</w:t>
            </w:r>
          </w:p>
        </w:tc>
      </w:tr>
      <w:tr w14:paraId="35D4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044D03F4">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57989995">
            <w:pPr>
              <w:jc w:val="center"/>
              <w:rPr>
                <w:rFonts w:ascii="宋体" w:hAnsi="宋体" w:cs="宋体"/>
                <w:b/>
                <w:bCs/>
                <w:color w:val="auto"/>
                <w:szCs w:val="21"/>
              </w:rPr>
            </w:pPr>
          </w:p>
        </w:tc>
        <w:tc>
          <w:tcPr>
            <w:tcW w:w="5392" w:type="dxa"/>
            <w:tcBorders>
              <w:top w:val="single" w:color="000000" w:sz="4" w:space="0"/>
              <w:left w:val="nil"/>
              <w:bottom w:val="single" w:color="000000" w:sz="4" w:space="0"/>
              <w:right w:val="single" w:color="000000" w:sz="4" w:space="0"/>
            </w:tcBorders>
            <w:noWrap w:val="0"/>
          </w:tcPr>
          <w:p w14:paraId="2DB2BB4E">
            <w:pPr>
              <w:rPr>
                <w:rFonts w:ascii="宋体" w:hAnsi="宋体" w:cs="宋体"/>
                <w:color w:val="auto"/>
                <w:szCs w:val="21"/>
              </w:rPr>
            </w:pPr>
            <w:r>
              <w:rPr>
                <w:rFonts w:hint="eastAsia" w:ascii="宋体" w:hAnsi="宋体" w:cs="宋体"/>
                <w:b/>
                <w:bCs/>
                <w:color w:val="auto"/>
                <w:szCs w:val="21"/>
              </w:rPr>
              <w:t>* 法定代表人授权委托书</w:t>
            </w:r>
          </w:p>
        </w:tc>
      </w:tr>
      <w:tr w14:paraId="63086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185" w:type="dxa"/>
            <w:vMerge w:val="continue"/>
            <w:tcBorders>
              <w:left w:val="single" w:color="000000" w:sz="4" w:space="0"/>
              <w:right w:val="single" w:color="000000" w:sz="4" w:space="0"/>
            </w:tcBorders>
            <w:noWrap w:val="0"/>
            <w:vAlign w:val="center"/>
          </w:tcPr>
          <w:p w14:paraId="4B4642C3">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38E0E106">
            <w:pPr>
              <w:jc w:val="center"/>
              <w:rPr>
                <w:rFonts w:ascii="宋体" w:hAnsi="宋体" w:cs="宋体"/>
                <w:b/>
                <w:bCs/>
                <w:color w:val="auto"/>
                <w:szCs w:val="21"/>
              </w:rPr>
            </w:pPr>
          </w:p>
        </w:tc>
        <w:tc>
          <w:tcPr>
            <w:tcW w:w="5392" w:type="dxa"/>
            <w:tcBorders>
              <w:top w:val="single" w:color="000000" w:sz="4" w:space="0"/>
              <w:left w:val="nil"/>
              <w:bottom w:val="single" w:color="000000" w:sz="4" w:space="0"/>
              <w:right w:val="single" w:color="000000" w:sz="4" w:space="0"/>
            </w:tcBorders>
            <w:noWrap w:val="0"/>
          </w:tcPr>
          <w:p w14:paraId="326D3531">
            <w:pPr>
              <w:rPr>
                <w:rFonts w:ascii="宋体" w:hAnsi="宋体" w:cs="宋体"/>
                <w:color w:val="auto"/>
                <w:szCs w:val="21"/>
              </w:rPr>
            </w:pPr>
            <w:r>
              <w:rPr>
                <w:rFonts w:hint="eastAsia" w:ascii="宋体" w:hAnsi="宋体" w:cs="宋体"/>
                <w:b/>
                <w:bCs/>
                <w:color w:val="auto"/>
                <w:szCs w:val="21"/>
              </w:rPr>
              <w:t>*法人或者其他组织的需提供营业执照等证明文件</w:t>
            </w:r>
          </w:p>
        </w:tc>
      </w:tr>
      <w:tr w14:paraId="06D6B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4" w:hRule="atLeast"/>
        </w:trPr>
        <w:tc>
          <w:tcPr>
            <w:tcW w:w="1185" w:type="dxa"/>
            <w:vMerge w:val="continue"/>
            <w:tcBorders>
              <w:left w:val="single" w:color="000000" w:sz="4" w:space="0"/>
              <w:right w:val="single" w:color="000000" w:sz="4" w:space="0"/>
            </w:tcBorders>
            <w:noWrap w:val="0"/>
            <w:vAlign w:val="center"/>
          </w:tcPr>
          <w:p w14:paraId="220AEF36">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72492D79">
            <w:pPr>
              <w:jc w:val="center"/>
              <w:rPr>
                <w:rFonts w:ascii="宋体" w:hAnsi="宋体" w:cs="宋体"/>
                <w:b/>
                <w:bCs/>
                <w:color w:val="auto"/>
                <w:szCs w:val="21"/>
              </w:rPr>
            </w:pPr>
          </w:p>
        </w:tc>
        <w:tc>
          <w:tcPr>
            <w:tcW w:w="5392" w:type="dxa"/>
            <w:tcBorders>
              <w:top w:val="single" w:color="000000" w:sz="4" w:space="0"/>
              <w:left w:val="nil"/>
              <w:bottom w:val="single" w:color="000000" w:sz="4" w:space="0"/>
              <w:right w:val="single" w:color="000000" w:sz="4" w:space="0"/>
            </w:tcBorders>
            <w:noWrap w:val="0"/>
          </w:tcPr>
          <w:p w14:paraId="1AFEE108">
            <w:pPr>
              <w:rPr>
                <w:rFonts w:ascii="宋体" w:hAnsi="宋体" w:cs="宋体"/>
                <w:color w:val="auto"/>
                <w:szCs w:val="21"/>
              </w:rPr>
            </w:pPr>
            <w:r>
              <w:rPr>
                <w:rFonts w:hint="eastAsia" w:ascii="宋体" w:hAnsi="宋体" w:cs="宋体"/>
                <w:b/>
                <w:bCs/>
                <w:color w:val="auto"/>
                <w:szCs w:val="21"/>
              </w:rPr>
              <w:t>*主要投标标的情况表</w:t>
            </w:r>
          </w:p>
        </w:tc>
      </w:tr>
      <w:tr w14:paraId="45AA8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22AC0867">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538F4EC8">
            <w:pPr>
              <w:jc w:val="center"/>
              <w:rPr>
                <w:rFonts w:ascii="宋体" w:hAnsi="宋体" w:cs="宋体"/>
                <w:b/>
                <w:bCs/>
                <w:color w:val="auto"/>
                <w:szCs w:val="21"/>
              </w:rPr>
            </w:pPr>
          </w:p>
        </w:tc>
        <w:tc>
          <w:tcPr>
            <w:tcW w:w="5392" w:type="dxa"/>
            <w:tcBorders>
              <w:top w:val="single" w:color="000000" w:sz="4" w:space="0"/>
              <w:left w:val="nil"/>
              <w:bottom w:val="single" w:color="000000" w:sz="4" w:space="0"/>
              <w:right w:val="single" w:color="000000" w:sz="4" w:space="0"/>
            </w:tcBorders>
            <w:noWrap w:val="0"/>
          </w:tcPr>
          <w:p w14:paraId="06BBCD50">
            <w:pPr>
              <w:rPr>
                <w:rFonts w:ascii="宋体" w:hAnsi="宋体" w:cs="宋体"/>
                <w:color w:val="auto"/>
                <w:szCs w:val="21"/>
              </w:rPr>
            </w:pPr>
            <w:r>
              <w:rPr>
                <w:rFonts w:hint="eastAsia" w:ascii="宋体" w:hAnsi="宋体" w:cs="宋体"/>
                <w:color w:val="auto"/>
              </w:rPr>
              <w:t>中小企业声明函</w:t>
            </w:r>
          </w:p>
        </w:tc>
      </w:tr>
      <w:tr w14:paraId="042F1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4" w:hRule="atLeast"/>
        </w:trPr>
        <w:tc>
          <w:tcPr>
            <w:tcW w:w="1185" w:type="dxa"/>
            <w:vMerge w:val="continue"/>
            <w:tcBorders>
              <w:left w:val="single" w:color="000000" w:sz="4" w:space="0"/>
              <w:right w:val="single" w:color="000000" w:sz="4" w:space="0"/>
            </w:tcBorders>
            <w:noWrap w:val="0"/>
            <w:vAlign w:val="center"/>
          </w:tcPr>
          <w:p w14:paraId="03A1CDC8">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3EE61C61">
            <w:pPr>
              <w:jc w:val="center"/>
              <w:rPr>
                <w:rFonts w:ascii="宋体" w:hAnsi="宋体" w:cs="宋体"/>
                <w:b/>
                <w:bCs/>
                <w:color w:val="auto"/>
                <w:szCs w:val="21"/>
              </w:rPr>
            </w:pPr>
          </w:p>
        </w:tc>
        <w:tc>
          <w:tcPr>
            <w:tcW w:w="5392" w:type="dxa"/>
            <w:tcBorders>
              <w:top w:val="single" w:color="000000" w:sz="4" w:space="0"/>
              <w:left w:val="nil"/>
              <w:bottom w:val="single" w:color="000000" w:sz="4" w:space="0"/>
              <w:right w:val="single" w:color="000000" w:sz="4" w:space="0"/>
            </w:tcBorders>
            <w:noWrap w:val="0"/>
          </w:tcPr>
          <w:p w14:paraId="17B06A21">
            <w:pPr>
              <w:rPr>
                <w:rFonts w:ascii="宋体" w:hAnsi="宋体" w:cs="宋体"/>
                <w:color w:val="auto"/>
                <w:szCs w:val="21"/>
              </w:rPr>
            </w:pPr>
            <w:r>
              <w:rPr>
                <w:rFonts w:hint="eastAsia" w:ascii="宋体" w:hAnsi="宋体" w:cs="宋体"/>
                <w:color w:val="auto"/>
              </w:rPr>
              <w:t>商务条款偏离表</w:t>
            </w:r>
          </w:p>
        </w:tc>
      </w:tr>
      <w:tr w14:paraId="01663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3CEB71DB">
            <w:pPr>
              <w:rPr>
                <w:rFonts w:ascii="宋体" w:hAnsi="宋体" w:cs="宋体"/>
                <w:color w:val="auto"/>
                <w:sz w:val="20"/>
                <w:szCs w:val="20"/>
              </w:rPr>
            </w:pPr>
          </w:p>
        </w:tc>
        <w:tc>
          <w:tcPr>
            <w:tcW w:w="3135" w:type="dxa"/>
            <w:vMerge w:val="restart"/>
            <w:tcBorders>
              <w:top w:val="single" w:color="000000" w:sz="4" w:space="0"/>
              <w:left w:val="nil"/>
              <w:right w:val="single" w:color="000000" w:sz="4" w:space="0"/>
            </w:tcBorders>
            <w:noWrap w:val="0"/>
            <w:vAlign w:val="center"/>
          </w:tcPr>
          <w:p w14:paraId="63C56B36">
            <w:pPr>
              <w:jc w:val="center"/>
              <w:rPr>
                <w:rFonts w:ascii="宋体" w:hAnsi="宋体" w:cs="宋体"/>
                <w:b/>
                <w:bCs/>
                <w:color w:val="auto"/>
                <w:szCs w:val="21"/>
              </w:rPr>
            </w:pPr>
            <w:r>
              <w:rPr>
                <w:rFonts w:hint="eastAsia" w:ascii="宋体" w:hAnsi="宋体" w:cs="宋体"/>
                <w:b/>
                <w:bCs/>
                <w:color w:val="auto"/>
                <w:szCs w:val="21"/>
              </w:rPr>
              <w:t>资性证明文件格式材料</w:t>
            </w:r>
          </w:p>
        </w:tc>
        <w:tc>
          <w:tcPr>
            <w:tcW w:w="5392" w:type="dxa"/>
            <w:tcBorders>
              <w:top w:val="single" w:color="000000" w:sz="4" w:space="0"/>
              <w:left w:val="nil"/>
              <w:bottom w:val="single" w:color="000000" w:sz="4" w:space="0"/>
              <w:right w:val="single" w:color="000000" w:sz="4" w:space="0"/>
            </w:tcBorders>
            <w:noWrap w:val="0"/>
          </w:tcPr>
          <w:p w14:paraId="1F0AD503">
            <w:pPr>
              <w:rPr>
                <w:rFonts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rPr>
              <w:fldChar w:fldCharType="begin"/>
            </w:r>
            <w:r>
              <w:rPr>
                <w:rFonts w:hint="eastAsia" w:ascii="宋体" w:hAnsi="宋体" w:cs="宋体"/>
                <w:b/>
                <w:bCs/>
                <w:color w:val="auto"/>
                <w:szCs w:val="21"/>
              </w:rPr>
              <w:instrText xml:space="preserve"> REF _Ref495562303 \h </w:instrText>
            </w:r>
            <w:r>
              <w:rPr>
                <w:rFonts w:ascii="宋体" w:hAnsi="宋体" w:cs="宋体"/>
                <w:b/>
                <w:bCs/>
                <w:color w:val="auto"/>
                <w:szCs w:val="21"/>
              </w:rPr>
              <w:instrText xml:space="preserve"> \* MERGEFORMAT </w:instrText>
            </w:r>
            <w:r>
              <w:rPr>
                <w:rFonts w:hint="eastAsia" w:ascii="宋体" w:hAnsi="宋体" w:cs="宋体"/>
                <w:b/>
                <w:bCs/>
                <w:color w:val="auto"/>
                <w:szCs w:val="21"/>
              </w:rPr>
              <w:fldChar w:fldCharType="separate"/>
            </w:r>
            <w:r>
              <w:rPr>
                <w:rFonts w:hint="eastAsia" w:ascii="宋体" w:hAnsi="宋体" w:cs="宋体"/>
                <w:b/>
                <w:bCs/>
                <w:color w:val="auto"/>
                <w:szCs w:val="21"/>
              </w:rPr>
              <w:t>资格审查材料格式</w:t>
            </w:r>
            <w:r>
              <w:rPr>
                <w:rFonts w:hint="eastAsia" w:ascii="宋体" w:hAnsi="宋体" w:cs="宋体"/>
                <w:b/>
                <w:bCs/>
                <w:color w:val="auto"/>
                <w:szCs w:val="21"/>
              </w:rPr>
              <w:fldChar w:fldCharType="end"/>
            </w:r>
          </w:p>
        </w:tc>
      </w:tr>
      <w:tr w14:paraId="6A2E5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52E20B74">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504AFCE3">
            <w:pPr>
              <w:jc w:val="center"/>
              <w:rPr>
                <w:rFonts w:ascii="宋体" w:hAnsi="宋体" w:cs="宋体"/>
                <w:b/>
                <w:bCs/>
                <w:color w:val="auto"/>
                <w:szCs w:val="21"/>
                <w:lang w:bidi="ar"/>
              </w:rPr>
            </w:pPr>
          </w:p>
        </w:tc>
        <w:tc>
          <w:tcPr>
            <w:tcW w:w="5392" w:type="dxa"/>
            <w:tcBorders>
              <w:top w:val="single" w:color="000000" w:sz="4" w:space="0"/>
              <w:left w:val="nil"/>
              <w:bottom w:val="single" w:color="000000" w:sz="4" w:space="0"/>
              <w:right w:val="single" w:color="000000" w:sz="4" w:space="0"/>
            </w:tcBorders>
            <w:noWrap w:val="0"/>
          </w:tcPr>
          <w:p w14:paraId="746E2CBA">
            <w:pPr>
              <w:rPr>
                <w:rFonts w:ascii="宋体" w:hAnsi="宋体" w:cs="宋体"/>
                <w:color w:val="auto"/>
                <w:szCs w:val="21"/>
              </w:rPr>
            </w:pPr>
            <w:r>
              <w:rPr>
                <w:rFonts w:hint="eastAsia" w:ascii="宋体" w:hAnsi="宋体" w:cs="宋体"/>
                <w:b/>
                <w:bCs/>
                <w:color w:val="auto"/>
                <w:szCs w:val="21"/>
              </w:rPr>
              <w:t>*具备履行合同所必需的书面声明</w:t>
            </w:r>
          </w:p>
        </w:tc>
      </w:tr>
      <w:tr w14:paraId="297A8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5BD2E928">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1E1C3BCF">
            <w:pPr>
              <w:jc w:val="center"/>
              <w:rPr>
                <w:rFonts w:ascii="宋体" w:hAnsi="宋体" w:cs="宋体"/>
                <w:b/>
                <w:bCs/>
                <w:color w:val="auto"/>
                <w:szCs w:val="21"/>
                <w:lang w:bidi="ar"/>
              </w:rPr>
            </w:pPr>
          </w:p>
        </w:tc>
        <w:tc>
          <w:tcPr>
            <w:tcW w:w="5392" w:type="dxa"/>
            <w:tcBorders>
              <w:top w:val="single" w:color="000000" w:sz="4" w:space="0"/>
              <w:left w:val="nil"/>
              <w:bottom w:val="single" w:color="000000" w:sz="4" w:space="0"/>
              <w:right w:val="single" w:color="000000" w:sz="4" w:space="0"/>
            </w:tcBorders>
            <w:noWrap w:val="0"/>
          </w:tcPr>
          <w:p w14:paraId="44D9B177">
            <w:pPr>
              <w:rPr>
                <w:rFonts w:ascii="宋体" w:hAnsi="宋体" w:cs="宋体"/>
                <w:color w:val="auto"/>
                <w:szCs w:val="21"/>
              </w:rPr>
            </w:pPr>
            <w:r>
              <w:rPr>
                <w:rFonts w:hint="eastAsia" w:ascii="宋体" w:hAnsi="宋体" w:cs="宋体"/>
                <w:b/>
                <w:bCs/>
                <w:color w:val="auto"/>
                <w:szCs w:val="21"/>
              </w:rPr>
              <w:t>*参加政府采购活动的书面声明</w:t>
            </w:r>
          </w:p>
        </w:tc>
      </w:tr>
      <w:tr w14:paraId="2B56F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4E6D3F21">
            <w:pPr>
              <w:rPr>
                <w:rFonts w:ascii="宋体" w:hAnsi="宋体" w:cs="宋体"/>
                <w:color w:val="auto"/>
                <w:sz w:val="20"/>
                <w:szCs w:val="20"/>
              </w:rPr>
            </w:pPr>
          </w:p>
        </w:tc>
        <w:tc>
          <w:tcPr>
            <w:tcW w:w="3135" w:type="dxa"/>
            <w:vMerge w:val="continue"/>
            <w:tcBorders>
              <w:left w:val="nil"/>
              <w:right w:val="single" w:color="000000" w:sz="4" w:space="0"/>
            </w:tcBorders>
            <w:noWrap w:val="0"/>
            <w:vAlign w:val="center"/>
          </w:tcPr>
          <w:p w14:paraId="346E84E9">
            <w:pPr>
              <w:jc w:val="center"/>
              <w:rPr>
                <w:rFonts w:ascii="宋体" w:hAnsi="宋体" w:cs="宋体"/>
                <w:b/>
                <w:bCs/>
                <w:color w:val="auto"/>
                <w:szCs w:val="21"/>
              </w:rPr>
            </w:pPr>
          </w:p>
        </w:tc>
        <w:tc>
          <w:tcPr>
            <w:tcW w:w="5392" w:type="dxa"/>
            <w:tcBorders>
              <w:top w:val="single" w:color="000000" w:sz="4" w:space="0"/>
              <w:left w:val="nil"/>
              <w:bottom w:val="single" w:color="000000" w:sz="4" w:space="0"/>
              <w:right w:val="single" w:color="000000" w:sz="4" w:space="0"/>
            </w:tcBorders>
            <w:noWrap w:val="0"/>
          </w:tcPr>
          <w:p w14:paraId="68B7E8A0">
            <w:pPr>
              <w:rPr>
                <w:rFonts w:ascii="宋体" w:hAnsi="宋体" w:cs="宋体"/>
                <w:color w:val="auto"/>
                <w:szCs w:val="21"/>
              </w:rPr>
            </w:pPr>
            <w:r>
              <w:rPr>
                <w:rFonts w:hint="eastAsia" w:ascii="宋体" w:hAnsi="宋体" w:cs="宋体"/>
                <w:b/>
                <w:bCs/>
                <w:color w:val="auto"/>
                <w:szCs w:val="21"/>
              </w:rPr>
              <w:t>*政府采购投标人信用承诺书</w:t>
            </w:r>
          </w:p>
        </w:tc>
      </w:tr>
      <w:tr w14:paraId="156EE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0B898B31">
            <w:pPr>
              <w:rPr>
                <w:rFonts w:ascii="宋体" w:hAnsi="宋体" w:cs="宋体"/>
                <w:color w:val="auto"/>
                <w:sz w:val="20"/>
                <w:szCs w:val="20"/>
              </w:rPr>
            </w:pPr>
          </w:p>
        </w:tc>
        <w:tc>
          <w:tcPr>
            <w:tcW w:w="3135" w:type="dxa"/>
            <w:vMerge w:val="continue"/>
            <w:tcBorders>
              <w:left w:val="nil"/>
              <w:bottom w:val="single" w:color="000000" w:sz="4" w:space="0"/>
              <w:right w:val="single" w:color="000000" w:sz="4" w:space="0"/>
            </w:tcBorders>
            <w:noWrap w:val="0"/>
            <w:vAlign w:val="center"/>
          </w:tcPr>
          <w:p w14:paraId="6BD3F347">
            <w:pPr>
              <w:jc w:val="center"/>
              <w:rPr>
                <w:rFonts w:ascii="宋体" w:hAnsi="宋体" w:cs="宋体"/>
                <w:b/>
                <w:bCs/>
                <w:color w:val="auto"/>
                <w:szCs w:val="21"/>
                <w:lang w:bidi="ar"/>
              </w:rPr>
            </w:pPr>
          </w:p>
        </w:tc>
        <w:tc>
          <w:tcPr>
            <w:tcW w:w="5392" w:type="dxa"/>
            <w:tcBorders>
              <w:top w:val="single" w:color="000000" w:sz="4" w:space="0"/>
              <w:left w:val="nil"/>
              <w:bottom w:val="single" w:color="000000" w:sz="4" w:space="0"/>
              <w:right w:val="single" w:color="000000" w:sz="4" w:space="0"/>
            </w:tcBorders>
            <w:noWrap w:val="0"/>
          </w:tcPr>
          <w:p w14:paraId="724AC4BC">
            <w:pPr>
              <w:rPr>
                <w:rFonts w:ascii="宋体" w:hAnsi="宋体" w:cs="宋体"/>
                <w:color w:val="auto"/>
                <w:szCs w:val="21"/>
              </w:rPr>
            </w:pPr>
            <w:r>
              <w:rPr>
                <w:rFonts w:hint="eastAsia"/>
                <w:color w:val="auto"/>
              </w:rPr>
              <w:t>与评审相关的其他材料</w:t>
            </w:r>
          </w:p>
        </w:tc>
      </w:tr>
      <w:tr w14:paraId="09DEB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0894B06B">
            <w:pPr>
              <w:rPr>
                <w:rFonts w:ascii="宋体" w:hAnsi="宋体" w:cs="宋体"/>
                <w:color w:val="auto"/>
                <w:sz w:val="20"/>
                <w:szCs w:val="20"/>
              </w:rPr>
            </w:pPr>
          </w:p>
        </w:tc>
        <w:tc>
          <w:tcPr>
            <w:tcW w:w="3135" w:type="dxa"/>
            <w:tcBorders>
              <w:top w:val="single" w:color="000000" w:sz="4" w:space="0"/>
              <w:left w:val="nil"/>
              <w:right w:val="single" w:color="000000" w:sz="4" w:space="0"/>
            </w:tcBorders>
            <w:noWrap w:val="0"/>
            <w:vAlign w:val="center"/>
          </w:tcPr>
          <w:p w14:paraId="43362C98">
            <w:pPr>
              <w:ind w:firstLine="422"/>
              <w:rPr>
                <w:rFonts w:ascii="宋体" w:hAnsi="宋体" w:cs="宋体"/>
                <w:b/>
                <w:bCs/>
                <w:color w:val="auto"/>
                <w:szCs w:val="21"/>
              </w:rPr>
            </w:pPr>
            <w:r>
              <w:rPr>
                <w:rFonts w:hint="eastAsia" w:ascii="宋体" w:hAnsi="宋体" w:cs="宋体"/>
                <w:b/>
                <w:bCs/>
                <w:color w:val="auto"/>
                <w:szCs w:val="21"/>
              </w:rPr>
              <w:t>符合证明文件格式材料</w:t>
            </w:r>
          </w:p>
        </w:tc>
        <w:tc>
          <w:tcPr>
            <w:tcW w:w="5392" w:type="dxa"/>
            <w:tcBorders>
              <w:top w:val="single" w:color="000000" w:sz="4" w:space="0"/>
              <w:left w:val="nil"/>
              <w:right w:val="single" w:color="000000" w:sz="4" w:space="0"/>
            </w:tcBorders>
            <w:noWrap w:val="0"/>
          </w:tcPr>
          <w:p w14:paraId="094C9C09">
            <w:pPr>
              <w:rPr>
                <w:rFonts w:ascii="宋体" w:hAnsi="宋体" w:cs="宋体"/>
                <w:color w:val="auto"/>
                <w:szCs w:val="21"/>
              </w:rPr>
            </w:pPr>
            <w:r>
              <w:rPr>
                <w:rFonts w:hint="eastAsia" w:ascii="宋体" w:hAnsi="宋体" w:cs="宋体"/>
                <w:color w:val="auto"/>
                <w:szCs w:val="21"/>
              </w:rPr>
              <w:t>与评审相关的其他符合证明文件格式材料</w:t>
            </w:r>
          </w:p>
        </w:tc>
      </w:tr>
      <w:tr w14:paraId="2841C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rPr>
        <w:tc>
          <w:tcPr>
            <w:tcW w:w="1185" w:type="dxa"/>
            <w:vMerge w:val="continue"/>
            <w:tcBorders>
              <w:left w:val="single" w:color="000000" w:sz="4" w:space="0"/>
              <w:right w:val="single" w:color="000000" w:sz="4" w:space="0"/>
            </w:tcBorders>
            <w:noWrap w:val="0"/>
            <w:vAlign w:val="center"/>
          </w:tcPr>
          <w:p w14:paraId="1CF66429">
            <w:pPr>
              <w:rPr>
                <w:rFonts w:ascii="宋体" w:hAnsi="宋体" w:cs="宋体"/>
                <w:color w:val="auto"/>
                <w:sz w:val="20"/>
                <w:szCs w:val="20"/>
              </w:rPr>
            </w:pPr>
          </w:p>
        </w:tc>
        <w:tc>
          <w:tcPr>
            <w:tcW w:w="3135" w:type="dxa"/>
            <w:tcBorders>
              <w:top w:val="single" w:color="000000" w:sz="4" w:space="0"/>
              <w:left w:val="nil"/>
              <w:right w:val="single" w:color="000000" w:sz="4" w:space="0"/>
            </w:tcBorders>
            <w:noWrap w:val="0"/>
            <w:vAlign w:val="center"/>
          </w:tcPr>
          <w:p w14:paraId="43205B8C">
            <w:pPr>
              <w:ind w:firstLine="422"/>
              <w:rPr>
                <w:rFonts w:ascii="宋体" w:hAnsi="宋体" w:cs="宋体"/>
                <w:color w:val="auto"/>
                <w:szCs w:val="21"/>
              </w:rPr>
            </w:pPr>
            <w:r>
              <w:rPr>
                <w:rFonts w:hint="eastAsia" w:ascii="宋体" w:hAnsi="宋体" w:cs="宋体"/>
                <w:b/>
                <w:bCs/>
                <w:color w:val="auto"/>
                <w:szCs w:val="21"/>
              </w:rPr>
              <w:t>综合评审文件格式材料</w:t>
            </w:r>
          </w:p>
        </w:tc>
        <w:tc>
          <w:tcPr>
            <w:tcW w:w="5392" w:type="dxa"/>
            <w:tcBorders>
              <w:top w:val="single" w:color="000000" w:sz="4" w:space="0"/>
              <w:left w:val="nil"/>
              <w:right w:val="single" w:color="000000" w:sz="4" w:space="0"/>
            </w:tcBorders>
            <w:noWrap w:val="0"/>
          </w:tcPr>
          <w:p w14:paraId="3B54D97D">
            <w:pPr>
              <w:ind w:firstLine="630"/>
              <w:rPr>
                <w:rFonts w:ascii="宋体" w:hAnsi="宋体" w:cs="宋体"/>
                <w:color w:val="auto"/>
                <w:szCs w:val="21"/>
              </w:rPr>
            </w:pPr>
            <w:r>
              <w:rPr>
                <w:rFonts w:hint="eastAsia" w:ascii="宋体" w:hAnsi="宋体" w:cs="宋体"/>
                <w:color w:val="auto"/>
                <w:szCs w:val="21"/>
              </w:rPr>
              <w:t>无</w:t>
            </w:r>
          </w:p>
        </w:tc>
      </w:tr>
      <w:tr w14:paraId="6C46E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8B8467F">
            <w:pPr>
              <w:rPr>
                <w:rFonts w:ascii="宋体" w:hAnsi="宋体" w:cs="宋体"/>
                <w:b/>
                <w:color w:val="auto"/>
                <w:szCs w:val="21"/>
              </w:rPr>
            </w:pPr>
            <w:r>
              <w:rPr>
                <w:rFonts w:hint="eastAsia" w:ascii="宋体" w:hAnsi="宋体" w:cs="宋体"/>
                <w:b/>
                <w:color w:val="auto"/>
                <w:szCs w:val="21"/>
                <w:lang w:bidi="ar"/>
              </w:rPr>
              <w:t>投标人提交文件须知</w:t>
            </w:r>
          </w:p>
          <w:p w14:paraId="0994D422">
            <w:pPr>
              <w:rPr>
                <w:rFonts w:ascii="宋体" w:hAnsi="宋体" w:cs="宋体"/>
                <w:color w:val="auto"/>
                <w:szCs w:val="21"/>
              </w:rPr>
            </w:pPr>
          </w:p>
        </w:tc>
        <w:tc>
          <w:tcPr>
            <w:tcW w:w="8527" w:type="dxa"/>
            <w:gridSpan w:val="2"/>
            <w:tcBorders>
              <w:top w:val="single" w:color="000000" w:sz="4" w:space="0"/>
              <w:left w:val="nil"/>
              <w:bottom w:val="single" w:color="000000" w:sz="4" w:space="0"/>
              <w:right w:val="single" w:color="000000" w:sz="4" w:space="0"/>
            </w:tcBorders>
            <w:noWrap w:val="0"/>
          </w:tcPr>
          <w:p w14:paraId="4A85E970">
            <w:pPr>
              <w:keepNext/>
              <w:spacing w:line="360" w:lineRule="auto"/>
              <w:outlineLvl w:val="0"/>
              <w:rPr>
                <w:rFonts w:ascii="宋体" w:hAnsi="宋体" w:cs="宋体"/>
                <w:color w:val="auto"/>
                <w:szCs w:val="21"/>
              </w:rPr>
            </w:pPr>
            <w:r>
              <w:rPr>
                <w:rFonts w:hint="eastAsia" w:ascii="宋体" w:hAnsi="宋体" w:cs="宋体"/>
                <w:b/>
                <w:bCs/>
                <w:color w:val="auto"/>
                <w:szCs w:val="21"/>
                <w:lang w:bidi="ar"/>
              </w:rPr>
              <w:t>1.本部分内容仅提供格式要求，并不代表所有列出格式的文件本项目全部必须提交，具体内容详见投标客户端制作工具，但加“*”项章节材料必须提交，否则作无效投标文件处理。</w:t>
            </w:r>
            <w:r>
              <w:rPr>
                <w:rFonts w:hint="eastAsia" w:ascii="宋体" w:hAnsi="宋体" w:cs="宋体"/>
                <w:color w:val="auto"/>
                <w:szCs w:val="21"/>
                <w:lang w:bidi="ar"/>
              </w:rPr>
              <w:t>本项目需提交的投标文件格式材料、资性证明文件格式材料、符合证明文件格式材料、综合评审文件格式材料应以投标人须知为准。</w:t>
            </w:r>
          </w:p>
          <w:p w14:paraId="67810647">
            <w:pPr>
              <w:pStyle w:val="4"/>
              <w:widowControl/>
              <w:spacing w:line="360" w:lineRule="auto"/>
              <w:jc w:val="both"/>
              <w:rPr>
                <w:rFonts w:ascii="宋体" w:hAnsi="宋体" w:eastAsia="宋体" w:cs="宋体"/>
                <w:b w:val="0"/>
                <w:bCs w:val="0"/>
                <w:color w:val="auto"/>
                <w:sz w:val="21"/>
                <w:szCs w:val="21"/>
                <w:lang w:bidi="ar"/>
              </w:rPr>
            </w:pPr>
            <w:r>
              <w:rPr>
                <w:rFonts w:hint="eastAsia" w:ascii="宋体" w:hAnsi="宋体" w:eastAsia="宋体" w:cs="宋体"/>
                <w:b w:val="0"/>
                <w:bCs w:val="0"/>
                <w:color w:val="auto"/>
                <w:sz w:val="21"/>
                <w:szCs w:val="21"/>
                <w:lang w:bidi="ar"/>
              </w:rPr>
              <w:t>2.投标人应严格按照以下顺序填写和编写下述规定的全部格式文件以及其他有关资料，混乱的编排导致投标文件被误读或查找不到，后果由投标人承担。</w:t>
            </w:r>
          </w:p>
          <w:p w14:paraId="4F4BA689">
            <w:pPr>
              <w:pStyle w:val="4"/>
              <w:widowControl/>
              <w:spacing w:line="360" w:lineRule="auto"/>
              <w:jc w:val="both"/>
              <w:rPr>
                <w:rFonts w:ascii="宋体" w:hAnsi="宋体" w:eastAsia="宋体" w:cs="宋体"/>
                <w:b w:val="0"/>
                <w:bCs w:val="0"/>
                <w:color w:val="auto"/>
                <w:sz w:val="21"/>
                <w:szCs w:val="21"/>
                <w:lang w:bidi="ar"/>
              </w:rPr>
            </w:pPr>
            <w:r>
              <w:rPr>
                <w:rFonts w:hint="eastAsia" w:ascii="宋体" w:hAnsi="宋体" w:eastAsia="宋体" w:cs="宋体"/>
                <w:b w:val="0"/>
                <w:bCs w:val="0"/>
                <w:color w:val="auto"/>
                <w:sz w:val="21"/>
                <w:szCs w:val="21"/>
                <w:lang w:bidi="ar"/>
              </w:rPr>
              <w:t>3.投标文件应按照征集文件要求的格式逐项填写，无相应内容可填的项应填写“无”等明确的回答文字。</w:t>
            </w:r>
          </w:p>
          <w:p w14:paraId="49E7AC18">
            <w:pPr>
              <w:pStyle w:val="4"/>
              <w:widowControl/>
              <w:spacing w:line="360" w:lineRule="auto"/>
              <w:jc w:val="both"/>
              <w:rPr>
                <w:rFonts w:ascii="宋体" w:hAnsi="宋体" w:eastAsia="宋体" w:cs="宋体"/>
                <w:b w:val="0"/>
                <w:bCs w:val="0"/>
                <w:color w:val="auto"/>
                <w:sz w:val="21"/>
                <w:szCs w:val="21"/>
                <w:lang w:bidi="ar"/>
              </w:rPr>
            </w:pPr>
            <w:r>
              <w:rPr>
                <w:rFonts w:hint="eastAsia" w:ascii="宋体" w:hAnsi="宋体" w:eastAsia="宋体" w:cs="宋体"/>
                <w:b w:val="0"/>
                <w:bCs w:val="0"/>
                <w:color w:val="auto"/>
                <w:sz w:val="21"/>
                <w:szCs w:val="21"/>
                <w:lang w:bidi="ar"/>
              </w:rPr>
              <w:t>4.所附表格中要求回答的全部问题和信息都必须正面回答，并保证所有回答是真实和准确的。</w:t>
            </w:r>
          </w:p>
          <w:p w14:paraId="32A91D7F">
            <w:pPr>
              <w:pStyle w:val="4"/>
              <w:widowControl/>
              <w:spacing w:line="360" w:lineRule="auto"/>
              <w:jc w:val="both"/>
              <w:rPr>
                <w:rFonts w:ascii="宋体" w:hAnsi="宋体" w:eastAsia="宋体" w:cs="宋体"/>
                <w:color w:val="auto"/>
                <w:sz w:val="21"/>
                <w:szCs w:val="21"/>
                <w:lang w:bidi="ar"/>
              </w:rPr>
            </w:pPr>
            <w:r>
              <w:rPr>
                <w:rFonts w:hint="eastAsia" w:ascii="宋体" w:hAnsi="宋体" w:eastAsia="宋体" w:cs="宋体"/>
                <w:b w:val="0"/>
                <w:bCs w:val="0"/>
                <w:color w:val="auto"/>
                <w:sz w:val="21"/>
                <w:szCs w:val="21"/>
                <w:lang w:bidi="ar"/>
              </w:rPr>
              <w:t>5.</w:t>
            </w:r>
            <w:r>
              <w:rPr>
                <w:rFonts w:hint="eastAsia" w:ascii="宋体" w:hAnsi="宋体" w:eastAsia="宋体" w:cs="宋体"/>
                <w:color w:val="auto"/>
                <w:sz w:val="21"/>
                <w:szCs w:val="21"/>
                <w:lang w:bidi="ar"/>
              </w:rPr>
              <w:t>对涉及加“*”的章节材料格式文件，除可填报项目外，任何实质性修改将被视为非实质性响应投标，从而导致该投标被拒绝，作无效投标文件处理。</w:t>
            </w:r>
          </w:p>
          <w:p w14:paraId="62865B0B">
            <w:pPr>
              <w:pStyle w:val="4"/>
              <w:widowControl/>
              <w:spacing w:line="360" w:lineRule="auto"/>
              <w:jc w:val="both"/>
              <w:rPr>
                <w:rFonts w:ascii="宋体" w:hAnsi="宋体" w:eastAsia="宋体" w:cs="宋体"/>
                <w:b w:val="0"/>
                <w:bCs w:val="0"/>
                <w:color w:val="auto"/>
                <w:sz w:val="21"/>
                <w:szCs w:val="21"/>
                <w:lang w:bidi="ar"/>
              </w:rPr>
            </w:pPr>
            <w:r>
              <w:rPr>
                <w:rFonts w:hint="eastAsia" w:ascii="宋体" w:hAnsi="宋体" w:eastAsia="宋体" w:cs="宋体"/>
                <w:b w:val="0"/>
                <w:bCs w:val="0"/>
                <w:color w:val="auto"/>
                <w:sz w:val="21"/>
                <w:szCs w:val="21"/>
                <w:lang w:bidi="ar"/>
              </w:rPr>
              <w:t>6.评标委员会将应用投标人提交的资料并根据自己的判断，决定投标人履行合同的合格性及能力。</w:t>
            </w:r>
          </w:p>
          <w:p w14:paraId="4C0EF9E0">
            <w:pPr>
              <w:pStyle w:val="4"/>
              <w:widowControl/>
              <w:spacing w:line="360" w:lineRule="auto"/>
              <w:jc w:val="both"/>
              <w:rPr>
                <w:rFonts w:ascii="宋体" w:hAnsi="宋体" w:eastAsia="宋体" w:cs="宋体"/>
                <w:b w:val="0"/>
                <w:bCs w:val="0"/>
                <w:color w:val="auto"/>
                <w:sz w:val="21"/>
                <w:szCs w:val="21"/>
                <w:lang w:bidi="ar"/>
              </w:rPr>
            </w:pPr>
            <w:r>
              <w:rPr>
                <w:rFonts w:hint="eastAsia" w:ascii="宋体" w:hAnsi="宋体" w:eastAsia="宋体" w:cs="宋体"/>
                <w:b w:val="0"/>
                <w:bCs w:val="0"/>
                <w:color w:val="auto"/>
                <w:sz w:val="21"/>
                <w:szCs w:val="21"/>
                <w:lang w:bidi="ar"/>
              </w:rPr>
              <w:t>7.投标人提交的材料将被妥善保存，但不退还。</w:t>
            </w:r>
          </w:p>
          <w:p w14:paraId="27204457">
            <w:pPr>
              <w:keepNext/>
              <w:spacing w:line="360" w:lineRule="auto"/>
              <w:outlineLvl w:val="0"/>
              <w:rPr>
                <w:rFonts w:ascii="宋体" w:hAnsi="宋体" w:cs="宋体"/>
                <w:b/>
                <w:color w:val="auto"/>
                <w:sz w:val="28"/>
                <w:szCs w:val="28"/>
              </w:rPr>
            </w:pPr>
            <w:r>
              <w:rPr>
                <w:rFonts w:hint="eastAsia" w:ascii="宋体" w:hAnsi="宋体" w:cs="宋体"/>
                <w:color w:val="auto"/>
                <w:szCs w:val="21"/>
                <w:lang w:bidi="ar"/>
              </w:rPr>
              <w:t>8.全部文件应按投标人须知中规定的语言和方式提交。</w:t>
            </w:r>
          </w:p>
        </w:tc>
      </w:tr>
    </w:tbl>
    <w:p w14:paraId="737ADB1C">
      <w:pPr>
        <w:spacing w:line="560" w:lineRule="exact"/>
        <w:ind w:firstLine="3614"/>
        <w:rPr>
          <w:rFonts w:ascii="宋体" w:hAnsi="宋体" w:cs="宋体"/>
          <w:b/>
          <w:color w:val="auto"/>
          <w:sz w:val="24"/>
        </w:rPr>
      </w:pPr>
      <w:bookmarkStart w:id="117" w:name="_Toc28025"/>
      <w:bookmarkStart w:id="118" w:name="_Toc21548"/>
      <w:bookmarkStart w:id="119" w:name="_Toc9364"/>
      <w:bookmarkStart w:id="120" w:name="_Toc17140"/>
      <w:r>
        <w:rPr>
          <w:rFonts w:hint="eastAsia" w:ascii="宋体" w:hAnsi="宋体" w:cs="宋体"/>
          <w:b/>
          <w:color w:val="auto"/>
          <w:sz w:val="24"/>
        </w:rPr>
        <w:br w:type="page" w:clear="all"/>
      </w:r>
      <w:r>
        <w:rPr>
          <w:rFonts w:hint="eastAsia" w:ascii="宋体" w:hAnsi="宋体" w:cs="宋体"/>
          <w:b/>
          <w:color w:val="auto"/>
          <w:sz w:val="24"/>
        </w:rPr>
        <w:t>关于征集文件的询问内容</w:t>
      </w:r>
      <w:bookmarkEnd w:id="117"/>
      <w:bookmarkEnd w:id="118"/>
      <w:bookmarkEnd w:id="119"/>
      <w:bookmarkEnd w:id="120"/>
    </w:p>
    <w:p w14:paraId="60CBF1D4">
      <w:pPr>
        <w:keepNext/>
        <w:keepLines/>
        <w:spacing w:before="100" w:beforeAutospacing="1" w:after="100" w:afterAutospacing="1" w:line="400" w:lineRule="exact"/>
        <w:jc w:val="left"/>
        <w:outlineLvl w:val="0"/>
        <w:rPr>
          <w:rFonts w:ascii="宋体" w:hAnsi="宋体" w:cs="宋体"/>
          <w:b/>
          <w:color w:val="auto"/>
          <w:sz w:val="24"/>
        </w:rPr>
      </w:pPr>
    </w:p>
    <w:p w14:paraId="773F7ABE">
      <w:pPr>
        <w:keepNext/>
        <w:keepLines/>
        <w:spacing w:before="100" w:beforeAutospacing="1" w:after="100" w:afterAutospacing="1" w:line="400" w:lineRule="exact"/>
        <w:jc w:val="left"/>
        <w:outlineLvl w:val="0"/>
        <w:rPr>
          <w:rFonts w:ascii="宋体" w:hAnsi="宋体" w:cs="宋体"/>
          <w:b/>
          <w:color w:val="auto"/>
          <w:szCs w:val="21"/>
        </w:rPr>
      </w:pPr>
      <w:r>
        <w:rPr>
          <w:rFonts w:hint="eastAsia" w:ascii="宋体" w:hAnsi="宋体" w:cs="宋体"/>
          <w:b/>
          <w:color w:val="auto"/>
          <w:szCs w:val="21"/>
        </w:rPr>
        <w:t xml:space="preserve">项目名称：                      </w:t>
      </w:r>
    </w:p>
    <w:p w14:paraId="5B230026">
      <w:pPr>
        <w:keepNext/>
        <w:keepLines/>
        <w:spacing w:before="100" w:beforeAutospacing="1" w:after="100" w:afterAutospacing="1" w:line="400" w:lineRule="exact"/>
        <w:jc w:val="left"/>
        <w:outlineLvl w:val="0"/>
        <w:rPr>
          <w:rFonts w:ascii="宋体" w:hAnsi="宋体" w:cs="宋体"/>
          <w:b/>
          <w:color w:val="auto"/>
          <w:szCs w:val="21"/>
        </w:rPr>
      </w:pPr>
      <w:r>
        <w:rPr>
          <w:rFonts w:hint="eastAsia" w:ascii="宋体" w:hAnsi="宋体" w:cs="宋体"/>
          <w:b/>
          <w:color w:val="auto"/>
          <w:szCs w:val="21"/>
        </w:rPr>
        <w:t xml:space="preserve">项目编号： </w:t>
      </w:r>
    </w:p>
    <w:p w14:paraId="6B8D3986">
      <w:pPr>
        <w:keepNext/>
        <w:keepLines/>
        <w:spacing w:before="100" w:beforeAutospacing="1" w:after="100" w:afterAutospacing="1" w:line="400" w:lineRule="exact"/>
        <w:jc w:val="left"/>
        <w:outlineLvl w:val="0"/>
        <w:rPr>
          <w:rFonts w:ascii="宋体" w:hAnsi="宋体" w:cs="宋体"/>
          <w:b/>
          <w:color w:val="auto"/>
          <w:szCs w:val="21"/>
          <w:u w:val="single"/>
        </w:rPr>
      </w:pPr>
    </w:p>
    <w:p w14:paraId="7B902B63">
      <w:pPr>
        <w:keepNext/>
        <w:keepLines/>
        <w:spacing w:before="100" w:beforeAutospacing="1" w:after="100" w:afterAutospacing="1" w:line="400" w:lineRule="exact"/>
        <w:jc w:val="left"/>
        <w:outlineLvl w:val="0"/>
        <w:rPr>
          <w:rFonts w:ascii="宋体" w:hAnsi="宋体" w:cs="宋体"/>
          <w:b/>
          <w:color w:val="auto"/>
          <w:szCs w:val="21"/>
        </w:rPr>
      </w:pPr>
      <w:r>
        <w:rPr>
          <w:rFonts w:hint="eastAsia" w:ascii="宋体" w:hAnsi="宋体" w:cs="宋体"/>
          <w:b/>
          <w:color w:val="auto"/>
          <w:szCs w:val="21"/>
        </w:rPr>
        <w:t>内容：</w:t>
      </w:r>
    </w:p>
    <w:p w14:paraId="58E53C61">
      <w:pPr>
        <w:widowControl/>
        <w:jc w:val="left"/>
        <w:rPr>
          <w:rFonts w:ascii="宋体" w:hAnsi="宋体" w:cs="宋体"/>
          <w:b/>
          <w:color w:val="auto"/>
          <w:szCs w:val="21"/>
          <w:u w:val="single"/>
        </w:rPr>
      </w:pPr>
    </w:p>
    <w:p w14:paraId="70949751">
      <w:pPr>
        <w:keepNext/>
        <w:keepLines/>
        <w:spacing w:before="100" w:beforeAutospacing="1" w:after="100" w:afterAutospacing="1" w:line="400" w:lineRule="exact"/>
        <w:jc w:val="left"/>
        <w:outlineLvl w:val="0"/>
        <w:rPr>
          <w:rFonts w:ascii="宋体" w:hAnsi="宋体" w:cs="宋体"/>
          <w:bCs/>
          <w:color w:val="auto"/>
          <w:szCs w:val="21"/>
        </w:rPr>
      </w:pPr>
    </w:p>
    <w:p w14:paraId="4D188B83">
      <w:pPr>
        <w:keepNext/>
        <w:keepLines/>
        <w:spacing w:before="100" w:beforeAutospacing="1" w:after="100" w:afterAutospacing="1" w:line="400" w:lineRule="exact"/>
        <w:jc w:val="left"/>
        <w:outlineLvl w:val="0"/>
        <w:rPr>
          <w:rFonts w:ascii="宋体" w:hAnsi="宋体" w:cs="宋体"/>
          <w:bCs/>
          <w:color w:val="auto"/>
          <w:szCs w:val="21"/>
        </w:rPr>
      </w:pPr>
    </w:p>
    <w:p w14:paraId="47B312E9">
      <w:pPr>
        <w:keepNext/>
        <w:keepLines/>
        <w:spacing w:before="100" w:beforeAutospacing="1" w:after="100" w:afterAutospacing="1" w:line="400" w:lineRule="exact"/>
        <w:jc w:val="left"/>
        <w:outlineLvl w:val="0"/>
        <w:rPr>
          <w:rFonts w:ascii="宋体" w:hAnsi="宋体" w:cs="宋体"/>
          <w:bCs/>
          <w:color w:val="auto"/>
          <w:szCs w:val="21"/>
        </w:rPr>
      </w:pPr>
    </w:p>
    <w:p w14:paraId="015753E7">
      <w:pPr>
        <w:keepNext/>
        <w:keepLines/>
        <w:spacing w:before="100" w:beforeAutospacing="1" w:after="100" w:afterAutospacing="1" w:line="400" w:lineRule="exact"/>
        <w:jc w:val="left"/>
        <w:outlineLvl w:val="0"/>
        <w:rPr>
          <w:rFonts w:ascii="宋体" w:hAnsi="宋体" w:cs="宋体"/>
          <w:bCs/>
          <w:color w:val="auto"/>
          <w:szCs w:val="21"/>
        </w:rPr>
      </w:pPr>
    </w:p>
    <w:p w14:paraId="24DC8A53">
      <w:pPr>
        <w:keepNext/>
        <w:keepLines/>
        <w:spacing w:before="100" w:beforeAutospacing="1" w:after="100" w:afterAutospacing="1" w:line="400" w:lineRule="exact"/>
        <w:jc w:val="left"/>
        <w:outlineLvl w:val="0"/>
        <w:rPr>
          <w:rFonts w:ascii="宋体" w:hAnsi="宋体" w:cs="宋体"/>
          <w:bCs/>
          <w:color w:val="auto"/>
          <w:szCs w:val="21"/>
        </w:rPr>
      </w:pPr>
    </w:p>
    <w:p w14:paraId="3A36EF04">
      <w:pPr>
        <w:keepNext/>
        <w:keepLines/>
        <w:spacing w:before="100" w:beforeAutospacing="1" w:after="100" w:afterAutospacing="1" w:line="400" w:lineRule="exact"/>
        <w:jc w:val="left"/>
        <w:outlineLvl w:val="0"/>
        <w:rPr>
          <w:rFonts w:ascii="宋体" w:hAnsi="宋体" w:cs="宋体"/>
          <w:bCs/>
          <w:color w:val="auto"/>
          <w:szCs w:val="21"/>
        </w:rPr>
      </w:pPr>
    </w:p>
    <w:p w14:paraId="5F1C5680">
      <w:pPr>
        <w:keepNext/>
        <w:keepLines/>
        <w:spacing w:before="100" w:beforeAutospacing="1" w:after="100" w:afterAutospacing="1" w:line="400" w:lineRule="exact"/>
        <w:jc w:val="left"/>
        <w:outlineLvl w:val="0"/>
        <w:rPr>
          <w:rFonts w:ascii="宋体" w:hAnsi="宋体" w:cs="宋体"/>
          <w:bCs/>
          <w:color w:val="auto"/>
          <w:szCs w:val="21"/>
        </w:rPr>
      </w:pPr>
      <w:r>
        <w:rPr>
          <w:rFonts w:hint="eastAsia" w:ascii="宋体" w:hAnsi="宋体" w:cs="宋体"/>
          <w:bCs/>
          <w:color w:val="auto"/>
          <w:szCs w:val="21"/>
        </w:rPr>
        <w:t>投标人名称（加盖公章）：</w:t>
      </w:r>
    </w:p>
    <w:p w14:paraId="69E201B6">
      <w:pPr>
        <w:keepNext/>
        <w:keepLines/>
        <w:spacing w:before="100" w:beforeAutospacing="1" w:after="100" w:afterAutospacing="1" w:line="400" w:lineRule="exact"/>
        <w:jc w:val="left"/>
        <w:outlineLvl w:val="0"/>
        <w:rPr>
          <w:rFonts w:ascii="宋体" w:hAnsi="宋体" w:cs="宋体"/>
          <w:bCs/>
          <w:color w:val="auto"/>
          <w:szCs w:val="21"/>
        </w:rPr>
      </w:pPr>
      <w:r>
        <w:rPr>
          <w:rFonts w:hint="eastAsia" w:ascii="宋体" w:hAnsi="宋体" w:cs="宋体"/>
          <w:bCs/>
          <w:color w:val="auto"/>
          <w:szCs w:val="21"/>
        </w:rPr>
        <w:t>法定代表人或授权代表（签名或盖章）：</w:t>
      </w:r>
    </w:p>
    <w:p w14:paraId="2A2EAB1E">
      <w:pPr>
        <w:spacing w:line="360" w:lineRule="auto"/>
        <w:rPr>
          <w:rFonts w:ascii="宋体" w:hAnsi="宋体" w:cs="宋体"/>
          <w:bCs/>
          <w:color w:val="auto"/>
          <w:szCs w:val="21"/>
        </w:rPr>
      </w:pPr>
      <w:r>
        <w:rPr>
          <w:rFonts w:hint="eastAsia" w:ascii="宋体" w:hAnsi="宋体" w:cs="宋体"/>
          <w:bCs/>
          <w:color w:val="auto"/>
          <w:szCs w:val="21"/>
        </w:rPr>
        <w:t>联系电话：</w:t>
      </w:r>
    </w:p>
    <w:p w14:paraId="3BBBA2FF">
      <w:pPr>
        <w:spacing w:line="360" w:lineRule="auto"/>
        <w:rPr>
          <w:rFonts w:ascii="宋体" w:hAnsi="宋体" w:cs="宋体"/>
          <w:bCs/>
          <w:color w:val="auto"/>
          <w:szCs w:val="21"/>
        </w:rPr>
      </w:pPr>
    </w:p>
    <w:p w14:paraId="55A4AB6D">
      <w:pPr>
        <w:spacing w:line="360" w:lineRule="auto"/>
        <w:rPr>
          <w:rFonts w:ascii="宋体" w:hAnsi="宋体" w:cs="宋体"/>
          <w:color w:val="auto"/>
          <w:szCs w:val="21"/>
          <w:lang w:bidi="ar"/>
        </w:rPr>
      </w:pPr>
      <w:r>
        <w:rPr>
          <w:rFonts w:hint="eastAsia" w:ascii="宋体" w:hAnsi="宋体" w:cs="宋体"/>
          <w:bCs/>
          <w:color w:val="auto"/>
          <w:szCs w:val="21"/>
        </w:rPr>
        <w:t>日      期</w:t>
      </w:r>
      <w:r>
        <w:rPr>
          <w:rFonts w:hint="eastAsia" w:ascii="宋体" w:hAnsi="宋体" w:cs="宋体"/>
          <w:color w:val="auto"/>
          <w:szCs w:val="21"/>
          <w:lang w:bidi="ar"/>
        </w:rPr>
        <w:t xml:space="preserve"> </w:t>
      </w:r>
    </w:p>
    <w:p w14:paraId="769150D8">
      <w:pPr>
        <w:pStyle w:val="2"/>
        <w:rPr>
          <w:rFonts w:ascii="宋体" w:hAnsi="宋体" w:cs="宋体"/>
          <w:color w:val="auto"/>
          <w:szCs w:val="21"/>
          <w:lang w:bidi="ar"/>
        </w:rPr>
      </w:pPr>
    </w:p>
    <w:p w14:paraId="3241607B">
      <w:pPr>
        <w:rPr>
          <w:rFonts w:ascii="宋体" w:hAnsi="宋体" w:cs="宋体"/>
          <w:color w:val="auto"/>
          <w:szCs w:val="21"/>
          <w:lang w:bidi="ar"/>
        </w:rPr>
      </w:pPr>
    </w:p>
    <w:p w14:paraId="7BA1F154">
      <w:pPr>
        <w:widowControl/>
        <w:jc w:val="left"/>
        <w:rPr>
          <w:color w:val="auto"/>
          <w:sz w:val="24"/>
        </w:rPr>
      </w:pPr>
    </w:p>
    <w:p w14:paraId="258A814D">
      <w:pPr>
        <w:keepNext/>
        <w:keepLines/>
        <w:spacing w:before="120" w:line="300" w:lineRule="auto"/>
        <w:jc w:val="left"/>
        <w:outlineLvl w:val="1"/>
        <w:rPr>
          <w:b/>
          <w:color w:val="auto"/>
          <w:sz w:val="30"/>
          <w:szCs w:val="20"/>
        </w:rPr>
      </w:pPr>
    </w:p>
    <w:p w14:paraId="68E4BE3F">
      <w:pPr>
        <w:rPr>
          <w:b/>
          <w:color w:val="auto"/>
          <w:spacing w:val="20"/>
          <w:szCs w:val="21"/>
        </w:rPr>
      </w:pPr>
    </w:p>
    <w:p w14:paraId="1511B0D3">
      <w:pPr>
        <w:rPr>
          <w:b/>
          <w:color w:val="auto"/>
          <w:sz w:val="24"/>
        </w:rPr>
      </w:pPr>
      <w:r>
        <w:rPr>
          <w:b/>
          <w:color w:val="auto"/>
          <w:spacing w:val="20"/>
          <w:sz w:val="24"/>
        </w:rPr>
        <w:t>投标文件</w:t>
      </w:r>
      <w:r>
        <w:rPr>
          <w:b/>
          <w:color w:val="auto"/>
          <w:sz w:val="24"/>
        </w:rPr>
        <w:t>封面（非实质性格式）</w:t>
      </w:r>
    </w:p>
    <w:p w14:paraId="3C4954EA">
      <w:pPr>
        <w:jc w:val="center"/>
        <w:rPr>
          <w:color w:val="auto"/>
          <w:szCs w:val="21"/>
        </w:rPr>
      </w:pPr>
    </w:p>
    <w:p w14:paraId="3FEAF2A8">
      <w:pPr>
        <w:jc w:val="center"/>
        <w:rPr>
          <w:b/>
          <w:color w:val="auto"/>
          <w:spacing w:val="60"/>
          <w:sz w:val="84"/>
          <w:szCs w:val="84"/>
        </w:rPr>
      </w:pPr>
      <w:r>
        <w:rPr>
          <w:b/>
          <w:color w:val="auto"/>
          <w:spacing w:val="60"/>
          <w:sz w:val="84"/>
          <w:szCs w:val="84"/>
        </w:rPr>
        <w:t>投 标 文 件</w:t>
      </w:r>
    </w:p>
    <w:p w14:paraId="22D2833B">
      <w:pPr>
        <w:ind w:firstLine="963"/>
        <w:rPr>
          <w:b/>
          <w:color w:val="auto"/>
          <w:spacing w:val="60"/>
          <w:sz w:val="52"/>
          <w:szCs w:val="52"/>
        </w:rPr>
      </w:pPr>
    </w:p>
    <w:p w14:paraId="1B672ADC">
      <w:pPr>
        <w:ind w:firstLine="963"/>
        <w:rPr>
          <w:b/>
          <w:color w:val="auto"/>
          <w:spacing w:val="60"/>
          <w:sz w:val="52"/>
          <w:szCs w:val="52"/>
        </w:rPr>
      </w:pPr>
    </w:p>
    <w:p w14:paraId="4EA16CB0">
      <w:pPr>
        <w:ind w:firstLine="542"/>
        <w:rPr>
          <w:b/>
          <w:color w:val="auto"/>
          <w:spacing w:val="20"/>
          <w:sz w:val="32"/>
          <w:szCs w:val="32"/>
        </w:rPr>
      </w:pPr>
    </w:p>
    <w:p w14:paraId="3B413868">
      <w:pPr>
        <w:ind w:firstLine="542"/>
        <w:rPr>
          <w:b/>
          <w:color w:val="auto"/>
          <w:spacing w:val="20"/>
          <w:sz w:val="32"/>
          <w:szCs w:val="32"/>
        </w:rPr>
      </w:pPr>
    </w:p>
    <w:p w14:paraId="38323108">
      <w:pPr>
        <w:ind w:firstLine="1084"/>
        <w:rPr>
          <w:rFonts w:ascii="宋体" w:hAnsi="宋体"/>
          <w:b/>
          <w:color w:val="auto"/>
          <w:sz w:val="36"/>
        </w:rPr>
      </w:pPr>
      <w:r>
        <w:rPr>
          <w:rFonts w:hint="eastAsia" w:ascii="宋体" w:hAnsi="宋体"/>
          <w:b/>
          <w:color w:val="auto"/>
          <w:sz w:val="36"/>
        </w:rPr>
        <w:t>项 目 名 称：</w:t>
      </w:r>
      <w:r>
        <w:rPr>
          <w:rFonts w:hint="eastAsia" w:ascii="宋体" w:hAnsi="宋体"/>
          <w:b/>
          <w:color w:val="auto"/>
          <w:sz w:val="36"/>
          <w:u w:val="single"/>
        </w:rPr>
        <w:t xml:space="preserve">               </w:t>
      </w:r>
    </w:p>
    <w:p w14:paraId="6CA0D105">
      <w:pPr>
        <w:ind w:firstLine="1084"/>
        <w:rPr>
          <w:rFonts w:ascii="宋体" w:hAnsi="宋体"/>
          <w:b/>
          <w:color w:val="auto"/>
          <w:sz w:val="36"/>
          <w:u w:val="single"/>
        </w:rPr>
      </w:pPr>
      <w:r>
        <w:rPr>
          <w:rFonts w:hint="eastAsia" w:ascii="宋体" w:hAnsi="宋体"/>
          <w:b/>
          <w:color w:val="auto"/>
          <w:sz w:val="36"/>
        </w:rPr>
        <w:t>项 目 编 号：</w:t>
      </w:r>
      <w:r>
        <w:rPr>
          <w:rFonts w:hint="eastAsia" w:ascii="宋体" w:hAnsi="宋体"/>
          <w:b/>
          <w:color w:val="auto"/>
          <w:sz w:val="36"/>
          <w:u w:val="single"/>
        </w:rPr>
        <w:t xml:space="preserve">               </w:t>
      </w:r>
    </w:p>
    <w:p w14:paraId="3823C347">
      <w:pPr>
        <w:rPr>
          <w:rFonts w:ascii="宋体" w:hAnsi="宋体"/>
          <w:b/>
          <w:color w:val="auto"/>
          <w:sz w:val="36"/>
          <w:u w:val="single"/>
        </w:rPr>
      </w:pPr>
      <w:r>
        <w:rPr>
          <w:rFonts w:hint="eastAsia" w:ascii="宋体" w:hAnsi="宋体"/>
          <w:b/>
          <w:color w:val="auto"/>
          <w:sz w:val="36"/>
        </w:rPr>
        <w:t xml:space="preserve">      投标人名称 ：</w:t>
      </w:r>
      <w:r>
        <w:rPr>
          <w:rFonts w:hint="eastAsia" w:ascii="宋体" w:hAnsi="宋体"/>
          <w:b/>
          <w:color w:val="auto"/>
          <w:sz w:val="36"/>
          <w:u w:val="single"/>
        </w:rPr>
        <w:t xml:space="preserve">               </w:t>
      </w:r>
    </w:p>
    <w:p w14:paraId="0361034A">
      <w:pPr>
        <w:rPr>
          <w:rFonts w:ascii="宋体" w:hAnsi="宋体"/>
          <w:b/>
          <w:color w:val="auto"/>
          <w:sz w:val="36"/>
        </w:rPr>
      </w:pPr>
      <w:r>
        <w:rPr>
          <w:rFonts w:hint="eastAsia" w:ascii="宋体" w:hAnsi="宋体"/>
          <w:b/>
          <w:color w:val="auto"/>
          <w:sz w:val="36"/>
        </w:rPr>
        <w:t xml:space="preserve">      日      期 ：</w:t>
      </w:r>
      <w:r>
        <w:rPr>
          <w:rFonts w:hint="eastAsia" w:ascii="宋体" w:hAnsi="宋体"/>
          <w:b/>
          <w:color w:val="auto"/>
          <w:sz w:val="36"/>
          <w:u w:val="single"/>
        </w:rPr>
        <w:t xml:space="preserve">               </w:t>
      </w:r>
    </w:p>
    <w:p w14:paraId="2BFB13F6">
      <w:pPr>
        <w:jc w:val="center"/>
        <w:rPr>
          <w:b/>
          <w:color w:val="auto"/>
          <w:sz w:val="32"/>
          <w:szCs w:val="32"/>
        </w:rPr>
      </w:pPr>
    </w:p>
    <w:p w14:paraId="6DAC9C4C">
      <w:pPr>
        <w:jc w:val="center"/>
        <w:rPr>
          <w:rFonts w:ascii="宋体" w:hAnsi="宋体"/>
          <w:b/>
          <w:color w:val="auto"/>
          <w:sz w:val="32"/>
          <w:szCs w:val="32"/>
        </w:rPr>
      </w:pPr>
      <w:r>
        <w:rPr>
          <w:b/>
          <w:color w:val="auto"/>
          <w:spacing w:val="20"/>
          <w:sz w:val="32"/>
          <w:szCs w:val="32"/>
        </w:rPr>
        <w:br w:type="page" w:clear="all"/>
      </w:r>
      <w:r>
        <w:rPr>
          <w:rFonts w:hint="eastAsia" w:ascii="宋体" w:hAnsi="宋体"/>
          <w:b/>
          <w:color w:val="auto"/>
          <w:sz w:val="32"/>
          <w:szCs w:val="32"/>
        </w:rPr>
        <w:t>一、资格证明文件</w:t>
      </w:r>
    </w:p>
    <w:p w14:paraId="4B2FAAEC">
      <w:pPr>
        <w:rPr>
          <w:b/>
          <w:color w:val="auto"/>
        </w:rPr>
      </w:pPr>
    </w:p>
    <w:p w14:paraId="49646F75">
      <w:pPr>
        <w:spacing w:line="360" w:lineRule="auto"/>
        <w:outlineLvl w:val="2"/>
        <w:rPr>
          <w:color w:val="auto"/>
          <w:sz w:val="24"/>
          <w:szCs w:val="20"/>
        </w:rPr>
      </w:pPr>
      <w:r>
        <w:rPr>
          <w:color w:val="auto"/>
          <w:sz w:val="24"/>
          <w:szCs w:val="20"/>
        </w:rPr>
        <w:t xml:space="preserve">1 </w:t>
      </w:r>
      <w:r>
        <w:rPr>
          <w:color w:val="auto"/>
          <w:sz w:val="24"/>
        </w:rPr>
        <w:t>满足《中华人民共和国政府采购法》第二十二条规定及法律法规的其他规定</w:t>
      </w:r>
    </w:p>
    <w:p w14:paraId="04587B9A">
      <w:pPr>
        <w:pStyle w:val="2"/>
        <w:rPr>
          <w:rFonts w:ascii="宋体" w:hAnsi="宋体" w:cs="宋体"/>
          <w:b w:val="0"/>
          <w:color w:val="auto"/>
          <w:sz w:val="24"/>
          <w:szCs w:val="24"/>
        </w:rPr>
      </w:pPr>
      <w:r>
        <w:rPr>
          <w:rFonts w:hint="eastAsia" w:ascii="宋体" w:hAnsi="宋体" w:cs="宋体"/>
          <w:b w:val="0"/>
          <w:color w:val="auto"/>
          <w:sz w:val="24"/>
          <w:szCs w:val="24"/>
        </w:rPr>
        <w:t>1-1 投标人资格声明函（实质性格式）</w:t>
      </w:r>
    </w:p>
    <w:p w14:paraId="406A30D3">
      <w:pPr>
        <w:widowControl/>
        <w:spacing w:before="120" w:line="360" w:lineRule="auto"/>
        <w:jc w:val="center"/>
        <w:rPr>
          <w:rFonts w:ascii="宋体" w:hAnsi="宋体" w:cs="宋体"/>
          <w:b/>
          <w:color w:val="auto"/>
          <w:sz w:val="28"/>
          <w:szCs w:val="28"/>
        </w:rPr>
      </w:pPr>
    </w:p>
    <w:p w14:paraId="517FA630">
      <w:pPr>
        <w:widowControl/>
        <w:spacing w:before="120" w:line="360" w:lineRule="auto"/>
        <w:jc w:val="center"/>
        <w:rPr>
          <w:rFonts w:ascii="宋体" w:hAnsi="宋体" w:cs="宋体"/>
          <w:color w:val="auto"/>
          <w:szCs w:val="21"/>
        </w:rPr>
      </w:pPr>
      <w:r>
        <w:rPr>
          <w:rFonts w:hint="eastAsia" w:ascii="宋体" w:hAnsi="宋体" w:cs="宋体"/>
          <w:b/>
          <w:color w:val="auto"/>
          <w:sz w:val="28"/>
          <w:szCs w:val="28"/>
        </w:rPr>
        <w:t>投标人资格声明函</w:t>
      </w:r>
    </w:p>
    <w:p w14:paraId="7B5FA6EF">
      <w:pPr>
        <w:pStyle w:val="5"/>
        <w:spacing w:line="460" w:lineRule="exact"/>
        <w:ind w:firstLine="480"/>
        <w:rPr>
          <w:color w:val="auto"/>
        </w:rPr>
      </w:pPr>
    </w:p>
    <w:p w14:paraId="144E80D9">
      <w:pPr>
        <w:pStyle w:val="5"/>
        <w:spacing w:line="460" w:lineRule="exact"/>
        <w:ind w:firstLine="480"/>
        <w:rPr>
          <w:color w:val="auto"/>
        </w:rPr>
      </w:pPr>
      <w:r>
        <w:rPr>
          <w:rFonts w:hint="eastAsia"/>
          <w:color w:val="auto"/>
        </w:rPr>
        <w:t>致：溧阳市政府采购中心</w:t>
      </w:r>
    </w:p>
    <w:p w14:paraId="6B82575D">
      <w:pPr>
        <w:pStyle w:val="5"/>
        <w:spacing w:line="460" w:lineRule="exact"/>
        <w:ind w:firstLine="960"/>
        <w:rPr>
          <w:color w:val="auto"/>
          <w:u w:val="single"/>
        </w:rPr>
      </w:pPr>
      <w:r>
        <w:rPr>
          <w:rFonts w:hint="eastAsia"/>
          <w:color w:val="auto"/>
          <w:u w:val="single"/>
        </w:rPr>
        <w:t>（采购人名称）</w:t>
      </w:r>
    </w:p>
    <w:p w14:paraId="3DBEC95E">
      <w:pPr>
        <w:pStyle w:val="5"/>
        <w:spacing w:line="460" w:lineRule="exact"/>
        <w:ind w:firstLine="480"/>
        <w:rPr>
          <w:color w:val="auto"/>
        </w:rPr>
      </w:pPr>
    </w:p>
    <w:p w14:paraId="0E595D76">
      <w:pPr>
        <w:pStyle w:val="5"/>
        <w:spacing w:line="460" w:lineRule="exact"/>
        <w:ind w:firstLine="480"/>
        <w:rPr>
          <w:color w:val="auto"/>
        </w:rPr>
      </w:pPr>
      <w:r>
        <w:rPr>
          <w:rFonts w:hint="eastAsia"/>
          <w:color w:val="auto"/>
        </w:rPr>
        <w:t>按照《中华人民共和国政府采购法》第二十二条和招标文件的规定，我单位郑重声明如下：</w:t>
      </w:r>
    </w:p>
    <w:p w14:paraId="0FC02F56">
      <w:pPr>
        <w:pStyle w:val="5"/>
        <w:spacing w:line="460" w:lineRule="exact"/>
        <w:ind w:firstLine="480"/>
        <w:rPr>
          <w:color w:val="auto"/>
        </w:rPr>
      </w:pPr>
      <w:r>
        <w:rPr>
          <w:rFonts w:hint="eastAsia"/>
          <w:color w:val="auto"/>
        </w:rPr>
        <w:t>一、我单位是按照中华人民共和国法律规定登记注册的，注册地点为</w:t>
      </w:r>
      <w:r>
        <w:rPr>
          <w:rFonts w:hint="eastAsia"/>
          <w:color w:val="auto"/>
          <w:u w:val="single"/>
        </w:rPr>
        <w:t xml:space="preserve">         </w:t>
      </w:r>
      <w:r>
        <w:rPr>
          <w:rFonts w:hint="eastAsia"/>
          <w:color w:val="auto"/>
        </w:rPr>
        <w:t>，全称为</w:t>
      </w:r>
      <w:r>
        <w:rPr>
          <w:rFonts w:hint="eastAsia"/>
          <w:color w:val="auto"/>
          <w:u w:val="single"/>
        </w:rPr>
        <w:t xml:space="preserve">        </w:t>
      </w:r>
      <w:r>
        <w:rPr>
          <w:rFonts w:hint="eastAsia"/>
          <w:color w:val="auto"/>
        </w:rPr>
        <w:t>，统一社会信用代码为</w:t>
      </w:r>
      <w:r>
        <w:rPr>
          <w:rFonts w:hint="eastAsia"/>
          <w:color w:val="auto"/>
          <w:u w:val="single"/>
        </w:rPr>
        <w:t xml:space="preserve">           </w:t>
      </w:r>
      <w:r>
        <w:rPr>
          <w:rFonts w:hint="eastAsia"/>
          <w:color w:val="auto"/>
        </w:rPr>
        <w:t xml:space="preserve"> ，法定代表人（单位负责人）为</w:t>
      </w:r>
      <w:r>
        <w:rPr>
          <w:rFonts w:hint="eastAsia"/>
          <w:color w:val="auto"/>
          <w:u w:val="single"/>
        </w:rPr>
        <w:t xml:space="preserve">         </w:t>
      </w:r>
      <w:r>
        <w:rPr>
          <w:rFonts w:hint="eastAsia"/>
          <w:color w:val="auto"/>
        </w:rPr>
        <w:t>，具有独立承担民事责任的能力</w:t>
      </w:r>
      <w:r>
        <w:rPr>
          <w:rFonts w:hint="eastAsia"/>
          <w:b/>
          <w:color w:val="auto"/>
        </w:rPr>
        <w:t>（如属于分公司经总公司授权参与项目，由总公司承担民事责任的，需提供总公司项目授权书）</w:t>
      </w:r>
      <w:r>
        <w:rPr>
          <w:rFonts w:hint="eastAsia"/>
          <w:color w:val="auto"/>
        </w:rPr>
        <w:t>。</w:t>
      </w:r>
    </w:p>
    <w:p w14:paraId="12E74EF7">
      <w:pPr>
        <w:pStyle w:val="5"/>
        <w:spacing w:line="460" w:lineRule="exact"/>
        <w:ind w:firstLine="480"/>
        <w:rPr>
          <w:color w:val="auto"/>
        </w:rPr>
      </w:pPr>
      <w:r>
        <w:rPr>
          <w:rFonts w:hint="eastAsia"/>
          <w:color w:val="auto"/>
        </w:rPr>
        <w:t>二、我单位具有良好的商业信誉（指投标人经营状况良好，无本资格声明第十条情形）和健全的财务会计制度。</w:t>
      </w:r>
    </w:p>
    <w:p w14:paraId="15E346DB">
      <w:pPr>
        <w:pStyle w:val="5"/>
        <w:spacing w:line="460" w:lineRule="exact"/>
        <w:ind w:firstLine="480"/>
        <w:rPr>
          <w:color w:val="auto"/>
        </w:rPr>
      </w:pPr>
      <w:r>
        <w:rPr>
          <w:rFonts w:hint="eastAsia"/>
          <w:color w:val="auto"/>
        </w:rPr>
        <w:t>三、我单位依法进行纳税和社会保险申报并实际履行了义务。</w:t>
      </w:r>
    </w:p>
    <w:p w14:paraId="0961AD53">
      <w:pPr>
        <w:pStyle w:val="5"/>
        <w:spacing w:line="460" w:lineRule="exact"/>
        <w:ind w:firstLine="480"/>
        <w:rPr>
          <w:color w:val="auto"/>
        </w:rPr>
      </w:pPr>
      <w:r>
        <w:rPr>
          <w:rFonts w:hint="eastAsia"/>
          <w:color w:val="auto"/>
        </w:rPr>
        <w:t>四、我单位具有履行本项目采购合同所必需的设备和专业技术能力，并具有履行合同的良好</w:t>
      </w:r>
      <w:r>
        <w:rPr>
          <w:color w:val="auto"/>
        </w:rPr>
        <w:t>记录</w:t>
      </w:r>
      <w:r>
        <w:rPr>
          <w:rFonts w:hint="eastAsia"/>
          <w:color w:val="auto"/>
        </w:rPr>
        <w:t>。为履行本项采购合同我单位具备如下主要设备和主要专业技术能力:</w:t>
      </w:r>
    </w:p>
    <w:p w14:paraId="339E392F">
      <w:pPr>
        <w:pStyle w:val="5"/>
        <w:spacing w:line="460" w:lineRule="exact"/>
        <w:ind w:firstLine="480"/>
        <w:rPr>
          <w:color w:val="auto"/>
        </w:rPr>
      </w:pPr>
      <w:r>
        <w:rPr>
          <w:rFonts w:hint="eastAsia"/>
          <w:color w:val="auto"/>
        </w:rPr>
        <w:t>主要设备有：</w:t>
      </w:r>
      <w:r>
        <w:rPr>
          <w:color w:val="auto"/>
          <w:u w:val="single"/>
        </w:rPr>
        <w:t xml:space="preserve">            </w:t>
      </w:r>
    </w:p>
    <w:p w14:paraId="141F6CCF">
      <w:pPr>
        <w:pStyle w:val="5"/>
        <w:spacing w:line="460" w:lineRule="exact"/>
        <w:ind w:firstLine="480"/>
        <w:rPr>
          <w:color w:val="auto"/>
        </w:rPr>
      </w:pPr>
      <w:r>
        <w:rPr>
          <w:rFonts w:hint="eastAsia"/>
          <w:color w:val="auto"/>
        </w:rPr>
        <w:t>主要专业技术能力有</w:t>
      </w:r>
      <w:r>
        <w:rPr>
          <w:rFonts w:hint="eastAsia"/>
          <w:color w:val="auto"/>
          <w:u w:val="single"/>
        </w:rPr>
        <w:t xml:space="preserve">                 </w:t>
      </w:r>
    </w:p>
    <w:p w14:paraId="76C7229C">
      <w:pPr>
        <w:pStyle w:val="5"/>
        <w:spacing w:line="460" w:lineRule="exact"/>
        <w:ind w:firstLine="480"/>
        <w:rPr>
          <w:color w:val="auto"/>
        </w:rPr>
      </w:pPr>
      <w:r>
        <w:rPr>
          <w:rFonts w:hint="eastAsia"/>
          <w:color w:val="auto"/>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19907AEC">
      <w:pPr>
        <w:pStyle w:val="5"/>
        <w:spacing w:line="460" w:lineRule="exact"/>
        <w:ind w:firstLine="480"/>
        <w:rPr>
          <w:color w:val="auto"/>
        </w:rPr>
      </w:pPr>
      <w:r>
        <w:rPr>
          <w:rFonts w:hint="eastAsia"/>
          <w:color w:val="auto"/>
        </w:rPr>
        <w:t>六、我单位具备法律、行政法规规定的其他条件。</w:t>
      </w:r>
    </w:p>
    <w:p w14:paraId="78DDCAD9">
      <w:pPr>
        <w:pStyle w:val="5"/>
        <w:spacing w:line="460" w:lineRule="exact"/>
        <w:ind w:firstLine="480"/>
        <w:rPr>
          <w:color w:val="auto"/>
        </w:rPr>
      </w:pPr>
      <w:r>
        <w:rPr>
          <w:rFonts w:hint="eastAsia"/>
          <w:color w:val="auto"/>
        </w:rPr>
        <w:t>七、与我单位存在“单位负责人为同一人或者存在直接控股、管理关系”的其他单位信息如下（如无此情形的，填写“无”）：</w:t>
      </w:r>
    </w:p>
    <w:p w14:paraId="2138CB88">
      <w:pPr>
        <w:pStyle w:val="5"/>
        <w:spacing w:line="460" w:lineRule="exact"/>
        <w:ind w:firstLine="480"/>
        <w:rPr>
          <w:color w:val="auto"/>
        </w:rPr>
      </w:pPr>
      <w:r>
        <w:rPr>
          <w:rFonts w:hint="eastAsia"/>
          <w:color w:val="auto"/>
        </w:rPr>
        <w:t>1、与我单位的法定代表人（单位负责人）为同一人的其他单位如下：</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p>
    <w:p w14:paraId="7FFEB43F">
      <w:pPr>
        <w:pStyle w:val="5"/>
        <w:spacing w:line="460" w:lineRule="exact"/>
        <w:ind w:firstLine="480"/>
        <w:rPr>
          <w:color w:val="auto"/>
        </w:rPr>
      </w:pPr>
      <w:r>
        <w:rPr>
          <w:rFonts w:hint="eastAsia"/>
          <w:color w:val="auto"/>
        </w:rPr>
        <w:t>2、我单位直接控股的其他单位如下：</w:t>
      </w:r>
      <w:r>
        <w:rPr>
          <w:rFonts w:hint="eastAsia"/>
          <w:color w:val="auto"/>
          <w:u w:val="single"/>
        </w:rPr>
        <w:t xml:space="preserve">                    </w:t>
      </w:r>
      <w:r>
        <w:rPr>
          <w:rFonts w:hint="eastAsia"/>
          <w:color w:val="auto"/>
        </w:rPr>
        <w:t xml:space="preserve"> </w:t>
      </w:r>
    </w:p>
    <w:p w14:paraId="7CB172A8">
      <w:pPr>
        <w:pStyle w:val="5"/>
        <w:spacing w:line="460" w:lineRule="exact"/>
        <w:ind w:firstLine="480"/>
        <w:rPr>
          <w:color w:val="auto"/>
        </w:rPr>
      </w:pPr>
      <w:r>
        <w:rPr>
          <w:rFonts w:hint="eastAsia"/>
          <w:color w:val="auto"/>
        </w:rPr>
        <w:t>3、与我单位存在管理关系的其他单位如下：</w:t>
      </w:r>
      <w:r>
        <w:rPr>
          <w:rFonts w:hint="eastAsia"/>
          <w:color w:val="auto"/>
          <w:u w:val="single"/>
        </w:rPr>
        <w:t xml:space="preserve">              </w:t>
      </w:r>
      <w:r>
        <w:rPr>
          <w:rFonts w:hint="eastAsia"/>
          <w:color w:val="auto"/>
        </w:rPr>
        <w:t xml:space="preserve"> </w:t>
      </w:r>
    </w:p>
    <w:p w14:paraId="23098126">
      <w:pPr>
        <w:pStyle w:val="5"/>
        <w:spacing w:line="460" w:lineRule="exact"/>
        <w:ind w:firstLine="480"/>
        <w:rPr>
          <w:color w:val="auto"/>
        </w:rPr>
      </w:pPr>
      <w:r>
        <w:rPr>
          <w:rFonts w:hint="eastAsia"/>
          <w:color w:val="auto"/>
        </w:rPr>
        <w:t>八、</w:t>
      </w:r>
      <w:r>
        <w:rPr>
          <w:color w:val="auto"/>
        </w:rPr>
        <w:t>我</w:t>
      </w:r>
      <w:r>
        <w:rPr>
          <w:rFonts w:hint="eastAsia"/>
          <w:color w:val="auto"/>
        </w:rPr>
        <w:t>单位</w:t>
      </w:r>
      <w:r>
        <w:rPr>
          <w:color w:val="auto"/>
        </w:rPr>
        <w:t>不属于为本项目提供整体设计、规范编制或者项目管理、监理、检测等服务的投标人。</w:t>
      </w:r>
    </w:p>
    <w:p w14:paraId="1BF77A07">
      <w:pPr>
        <w:pStyle w:val="5"/>
        <w:spacing w:line="460" w:lineRule="exact"/>
        <w:ind w:firstLine="480"/>
        <w:rPr>
          <w:color w:val="auto"/>
        </w:rPr>
      </w:pPr>
      <w:r>
        <w:rPr>
          <w:rFonts w:hint="eastAsia"/>
          <w:color w:val="auto"/>
        </w:rPr>
        <w:t>九、</w:t>
      </w:r>
      <w:r>
        <w:rPr>
          <w:color w:val="auto"/>
        </w:rPr>
        <w:t>我单位无以下不良信用记录情形：</w:t>
      </w:r>
    </w:p>
    <w:p w14:paraId="26192DF2">
      <w:pPr>
        <w:pStyle w:val="5"/>
        <w:spacing w:line="460" w:lineRule="exact"/>
        <w:ind w:firstLine="480"/>
        <w:rPr>
          <w:color w:val="auto"/>
        </w:rPr>
      </w:pPr>
      <w:r>
        <w:rPr>
          <w:color w:val="auto"/>
        </w:rPr>
        <w:t>1</w:t>
      </w:r>
      <w:r>
        <w:rPr>
          <w:rFonts w:hint="eastAsia"/>
          <w:color w:val="auto"/>
        </w:rPr>
        <w:t>、在“信用中国”网站被列入失信被执行人和重大税收违法案件当事人名单；</w:t>
      </w:r>
    </w:p>
    <w:p w14:paraId="666CCE27">
      <w:pPr>
        <w:pStyle w:val="5"/>
        <w:spacing w:line="460" w:lineRule="exact"/>
        <w:ind w:firstLine="480"/>
        <w:rPr>
          <w:color w:val="auto"/>
        </w:rPr>
      </w:pPr>
      <w:r>
        <w:rPr>
          <w:color w:val="auto"/>
        </w:rPr>
        <w:t>2</w:t>
      </w:r>
      <w:r>
        <w:rPr>
          <w:rFonts w:hint="eastAsia"/>
          <w:color w:val="auto"/>
        </w:rPr>
        <w:t>、在“中国政府采购网”网站被列入政府采购严重违法失信行为记录名单；</w:t>
      </w:r>
    </w:p>
    <w:p w14:paraId="1E1887D6">
      <w:pPr>
        <w:pStyle w:val="5"/>
        <w:spacing w:line="460" w:lineRule="exact"/>
        <w:ind w:firstLine="480"/>
        <w:rPr>
          <w:color w:val="auto"/>
        </w:rPr>
      </w:pPr>
      <w:r>
        <w:rPr>
          <w:color w:val="auto"/>
        </w:rPr>
        <w:t>3</w:t>
      </w:r>
      <w:r>
        <w:rPr>
          <w:rFonts w:hint="eastAsia"/>
          <w:color w:val="auto"/>
        </w:rPr>
        <w:t>、</w:t>
      </w:r>
      <w:r>
        <w:rPr>
          <w:color w:val="auto"/>
        </w:rPr>
        <w:t>不符合《政府采购法》第二十二条规定的条件。</w:t>
      </w:r>
    </w:p>
    <w:p w14:paraId="65308261">
      <w:pPr>
        <w:pStyle w:val="5"/>
        <w:spacing w:line="460" w:lineRule="exact"/>
        <w:ind w:firstLine="480"/>
        <w:rPr>
          <w:color w:val="auto"/>
        </w:rPr>
      </w:pPr>
    </w:p>
    <w:p w14:paraId="3E214F46">
      <w:pPr>
        <w:pStyle w:val="5"/>
        <w:spacing w:line="460" w:lineRule="exact"/>
        <w:ind w:firstLine="480"/>
        <w:rPr>
          <w:color w:val="auto"/>
        </w:rPr>
      </w:pPr>
      <w:r>
        <w:rPr>
          <w:rFonts w:hint="eastAsia"/>
          <w:color w:val="auto"/>
        </w:rPr>
        <w:t>我单位保证上述声明的事项都是真实的，如有虚假，我单位愿意承担相应的法律责任，并承担因此所造成的一切损失。</w:t>
      </w:r>
    </w:p>
    <w:p w14:paraId="49E91381">
      <w:pPr>
        <w:pStyle w:val="5"/>
        <w:spacing w:line="460" w:lineRule="exact"/>
        <w:ind w:firstLine="480"/>
        <w:rPr>
          <w:color w:val="auto"/>
        </w:rPr>
      </w:pPr>
    </w:p>
    <w:p w14:paraId="40F06CF0">
      <w:pPr>
        <w:pStyle w:val="5"/>
        <w:spacing w:line="460" w:lineRule="exact"/>
        <w:ind w:firstLine="480"/>
        <w:rPr>
          <w:color w:val="auto"/>
        </w:rPr>
      </w:pPr>
    </w:p>
    <w:p w14:paraId="06B37EEA">
      <w:pPr>
        <w:pStyle w:val="5"/>
        <w:spacing w:line="460" w:lineRule="exact"/>
        <w:ind w:firstLine="480"/>
        <w:rPr>
          <w:color w:val="auto"/>
        </w:rPr>
      </w:pPr>
      <w:r>
        <w:rPr>
          <w:rFonts w:hint="eastAsia"/>
          <w:color w:val="auto"/>
        </w:rPr>
        <w:t>                                            投标人：（加盖公章）</w:t>
      </w:r>
    </w:p>
    <w:p w14:paraId="6DBBB068">
      <w:pPr>
        <w:pStyle w:val="5"/>
        <w:spacing w:line="460" w:lineRule="exact"/>
        <w:ind w:firstLine="480"/>
        <w:rPr>
          <w:color w:val="auto"/>
        </w:rPr>
      </w:pPr>
      <w:r>
        <w:rPr>
          <w:rFonts w:hint="eastAsia"/>
          <w:color w:val="auto"/>
        </w:rPr>
        <w:t>                                           法定代表人（或单位负责人）签字或盖章：</w:t>
      </w:r>
    </w:p>
    <w:p w14:paraId="017B5416">
      <w:pPr>
        <w:pStyle w:val="5"/>
        <w:spacing w:line="460" w:lineRule="exact"/>
        <w:ind w:firstLine="4920"/>
        <w:rPr>
          <w:color w:val="auto"/>
        </w:rPr>
      </w:pPr>
      <w:r>
        <w:rPr>
          <w:rFonts w:hint="eastAsia"/>
          <w:color w:val="auto"/>
        </w:rPr>
        <w:t>日期：    年    月    日</w:t>
      </w:r>
    </w:p>
    <w:p w14:paraId="38A0717D">
      <w:pPr>
        <w:spacing w:line="360" w:lineRule="auto"/>
        <w:rPr>
          <w:color w:val="auto"/>
          <w:sz w:val="24"/>
        </w:rPr>
      </w:pPr>
    </w:p>
    <w:p w14:paraId="4BB6DFF7">
      <w:pPr>
        <w:spacing w:line="360" w:lineRule="auto"/>
        <w:rPr>
          <w:color w:val="auto"/>
          <w:sz w:val="24"/>
        </w:rPr>
      </w:pPr>
    </w:p>
    <w:p w14:paraId="19DBF497">
      <w:pPr>
        <w:spacing w:line="360" w:lineRule="auto"/>
        <w:rPr>
          <w:color w:val="auto"/>
          <w:sz w:val="24"/>
        </w:rPr>
      </w:pPr>
    </w:p>
    <w:p w14:paraId="05CFFC19">
      <w:pPr>
        <w:spacing w:line="360" w:lineRule="auto"/>
        <w:rPr>
          <w:color w:val="auto"/>
          <w:sz w:val="24"/>
        </w:rPr>
      </w:pPr>
      <w:r>
        <w:rPr>
          <w:color w:val="auto"/>
          <w:sz w:val="24"/>
        </w:rPr>
        <w:t>说明：</w:t>
      </w:r>
      <w:r>
        <w:rPr>
          <w:rFonts w:hint="eastAsia"/>
          <w:color w:val="auto"/>
          <w:sz w:val="24"/>
        </w:rPr>
        <w:t>供应商承诺不实的，依据《政府采购法》第七十七条“提供虚假材料谋取中标、成交的”有关规定予以处理</w:t>
      </w:r>
      <w:r>
        <w:rPr>
          <w:color w:val="auto"/>
          <w:sz w:val="24"/>
        </w:rPr>
        <w:t>。</w:t>
      </w:r>
    </w:p>
    <w:p w14:paraId="183A2FFE">
      <w:pPr>
        <w:tabs>
          <w:tab w:val="left" w:pos="5580"/>
        </w:tabs>
        <w:spacing w:line="360" w:lineRule="auto"/>
        <w:rPr>
          <w:color w:val="auto"/>
          <w:sz w:val="24"/>
        </w:rPr>
        <w:sectPr>
          <w:headerReference r:id="rId9" w:type="default"/>
          <w:footerReference r:id="rId10" w:type="default"/>
          <w:pgSz w:w="11907" w:h="16840"/>
          <w:pgMar w:top="1418" w:right="1134" w:bottom="1134" w:left="1134" w:header="680" w:footer="851" w:gutter="0"/>
          <w:cols w:space="720" w:num="1"/>
          <w:docGrid w:linePitch="360" w:charSpace="0"/>
        </w:sectPr>
      </w:pPr>
    </w:p>
    <w:p w14:paraId="1A0964C1">
      <w:pPr>
        <w:spacing w:line="360" w:lineRule="auto"/>
        <w:outlineLvl w:val="2"/>
        <w:rPr>
          <w:color w:val="auto"/>
          <w:sz w:val="24"/>
          <w:szCs w:val="20"/>
        </w:rPr>
      </w:pPr>
      <w:r>
        <w:rPr>
          <w:color w:val="auto"/>
          <w:sz w:val="24"/>
          <w:szCs w:val="20"/>
        </w:rPr>
        <w:t>2 落实政府采购政策需满足的资格要求（如有）</w:t>
      </w:r>
    </w:p>
    <w:p w14:paraId="3ED4E8AF">
      <w:pPr>
        <w:spacing w:line="360" w:lineRule="auto"/>
        <w:outlineLvl w:val="2"/>
        <w:rPr>
          <w:color w:val="auto"/>
          <w:sz w:val="24"/>
          <w:szCs w:val="20"/>
        </w:rPr>
      </w:pPr>
      <w:r>
        <w:rPr>
          <w:color w:val="auto"/>
          <w:sz w:val="24"/>
          <w:szCs w:val="20"/>
        </w:rPr>
        <w:t>2-1中小企业声明函</w:t>
      </w:r>
    </w:p>
    <w:p w14:paraId="12F7F23B">
      <w:pPr>
        <w:tabs>
          <w:tab w:val="left" w:pos="5580"/>
        </w:tabs>
        <w:spacing w:line="360" w:lineRule="auto"/>
        <w:rPr>
          <w:color w:val="auto"/>
          <w:sz w:val="24"/>
        </w:rPr>
      </w:pPr>
    </w:p>
    <w:p w14:paraId="3F7AB8A4">
      <w:pPr>
        <w:tabs>
          <w:tab w:val="left" w:pos="5580"/>
        </w:tabs>
        <w:spacing w:line="360" w:lineRule="auto"/>
        <w:rPr>
          <w:color w:val="auto"/>
          <w:sz w:val="24"/>
        </w:rPr>
      </w:pPr>
      <w:r>
        <w:rPr>
          <w:color w:val="auto"/>
          <w:sz w:val="24"/>
        </w:rPr>
        <w:t>说明：</w:t>
      </w:r>
    </w:p>
    <w:p w14:paraId="7C39B9C3">
      <w:pPr>
        <w:tabs>
          <w:tab w:val="left" w:pos="5580"/>
        </w:tabs>
        <w:spacing w:line="360" w:lineRule="auto"/>
        <w:rPr>
          <w:color w:val="auto"/>
          <w:sz w:val="24"/>
        </w:rPr>
      </w:pPr>
      <w:r>
        <w:rPr>
          <w:color w:val="auto"/>
          <w:sz w:val="24"/>
        </w:rPr>
        <w:t>（1）如本项目（包）不专门面向中小企业预留采购份额，</w:t>
      </w:r>
      <w:r>
        <w:rPr>
          <w:rFonts w:hint="eastAsia"/>
          <w:color w:val="auto"/>
          <w:sz w:val="24"/>
        </w:rPr>
        <w:t>资格证明文件部分</w:t>
      </w:r>
      <w:r>
        <w:rPr>
          <w:color w:val="auto"/>
          <w:sz w:val="24"/>
        </w:rPr>
        <w:t>无需提供《中小企业声明函》。</w:t>
      </w:r>
    </w:p>
    <w:p w14:paraId="2B927BE9">
      <w:pPr>
        <w:tabs>
          <w:tab w:val="left" w:pos="5580"/>
        </w:tabs>
        <w:spacing w:line="360" w:lineRule="auto"/>
        <w:rPr>
          <w:color w:val="auto"/>
          <w:sz w:val="24"/>
        </w:rPr>
      </w:pPr>
      <w:r>
        <w:rPr>
          <w:color w:val="auto"/>
          <w:sz w:val="24"/>
        </w:rPr>
        <w:t>（2）如本项目（包）专门面向中小/小微企业采购，须提供《中小企业声明函》</w:t>
      </w:r>
      <w:r>
        <w:rPr>
          <w:color w:val="auto"/>
          <w:sz w:val="24"/>
          <w:szCs w:val="20"/>
        </w:rPr>
        <w:t>（实质性格式）</w:t>
      </w:r>
      <w:r>
        <w:rPr>
          <w:color w:val="auto"/>
          <w:sz w:val="24"/>
        </w:rPr>
        <w:t>。</w:t>
      </w:r>
    </w:p>
    <w:p w14:paraId="0A0CBCF4">
      <w:pPr>
        <w:tabs>
          <w:tab w:val="left" w:pos="5580"/>
        </w:tabs>
        <w:spacing w:line="360" w:lineRule="auto"/>
        <w:rPr>
          <w:color w:val="auto"/>
          <w:sz w:val="24"/>
        </w:rPr>
      </w:pPr>
      <w:r>
        <w:rPr>
          <w:color w:val="auto"/>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B7E0DE1">
      <w:pPr>
        <w:tabs>
          <w:tab w:val="left" w:pos="5580"/>
        </w:tabs>
        <w:spacing w:line="360" w:lineRule="auto"/>
        <w:rPr>
          <w:color w:val="auto"/>
          <w:sz w:val="24"/>
        </w:rPr>
      </w:pPr>
      <w:r>
        <w:rPr>
          <w:rFonts w:hint="eastAsia"/>
          <w:color w:val="auto"/>
          <w:sz w:val="24"/>
        </w:rPr>
        <w:t>（4）其他</w:t>
      </w:r>
    </w:p>
    <w:p w14:paraId="79695B74">
      <w:pPr>
        <w:tabs>
          <w:tab w:val="left" w:pos="5580"/>
        </w:tabs>
        <w:spacing w:line="360" w:lineRule="auto"/>
        <w:rPr>
          <w:color w:val="auto"/>
          <w:sz w:val="24"/>
        </w:rPr>
      </w:pPr>
      <w:r>
        <w:rPr>
          <w:rFonts w:hint="eastAsia"/>
          <w:color w:val="auto"/>
          <w:sz w:val="24"/>
        </w:rPr>
        <w:t>1）中小企业参加政府采购活动，应当出具此格式文件。《中小企业声明函》由参加政府采购活动的投标人出具。联合体投标的，《中小企业声明函》由牵头人出具。</w:t>
      </w:r>
    </w:p>
    <w:p w14:paraId="0671CFF9">
      <w:pPr>
        <w:tabs>
          <w:tab w:val="left" w:pos="5580"/>
        </w:tabs>
        <w:spacing w:line="360" w:lineRule="auto"/>
        <w:rPr>
          <w:color w:val="auto"/>
          <w:sz w:val="24"/>
        </w:rPr>
      </w:pPr>
      <w:r>
        <w:rPr>
          <w:rFonts w:hint="eastAsia"/>
          <w:color w:val="auto"/>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597F369">
      <w:pPr>
        <w:tabs>
          <w:tab w:val="left" w:pos="5580"/>
        </w:tabs>
        <w:spacing w:line="360" w:lineRule="auto"/>
        <w:rPr>
          <w:color w:val="auto"/>
          <w:sz w:val="24"/>
        </w:rPr>
      </w:pPr>
      <w:r>
        <w:rPr>
          <w:rFonts w:hint="eastAsia"/>
          <w:color w:val="auto"/>
          <w:sz w:val="24"/>
        </w:rPr>
        <w:t>3）对于多标的的采购项目，投标人应充分、准确地了解所投产品制造企业信息。对相关情况了解不清楚的，不建议填报本声明函。</w:t>
      </w:r>
    </w:p>
    <w:p w14:paraId="2D30EE7B">
      <w:pPr>
        <w:tabs>
          <w:tab w:val="left" w:pos="5580"/>
        </w:tabs>
        <w:spacing w:line="360" w:lineRule="auto"/>
        <w:rPr>
          <w:color w:val="auto"/>
          <w:sz w:val="24"/>
        </w:rPr>
      </w:pPr>
      <w:r>
        <w:rPr>
          <w:rFonts w:hint="eastAsia"/>
          <w:color w:val="auto"/>
          <w:sz w:val="24"/>
        </w:rPr>
        <w:t>（5）温馨提示：为方便广大中小企业识别企业规模类型，工业和信息化部组织开发了中小企业规模类型自测小程序，在国务院客户端和工业和信息化部网站上均有链接（http://202.106.120.146/baosong/appweb/orgScale.html），投标人填写所属的行业和指标数据可自动生成企业规模类型测试结果。</w:t>
      </w:r>
    </w:p>
    <w:p w14:paraId="6DE316B9">
      <w:pPr>
        <w:tabs>
          <w:tab w:val="left" w:pos="5580"/>
        </w:tabs>
        <w:spacing w:line="360" w:lineRule="auto"/>
        <w:rPr>
          <w:color w:val="auto"/>
          <w:sz w:val="24"/>
        </w:rPr>
      </w:pPr>
    </w:p>
    <w:p w14:paraId="6830E1C2">
      <w:pPr>
        <w:widowControl/>
        <w:jc w:val="left"/>
        <w:rPr>
          <w:color w:val="auto"/>
          <w:sz w:val="24"/>
        </w:rPr>
      </w:pPr>
      <w:r>
        <w:rPr>
          <w:color w:val="auto"/>
          <w:sz w:val="24"/>
        </w:rPr>
        <w:br w:type="page" w:clear="all"/>
      </w:r>
    </w:p>
    <w:p w14:paraId="55537BC9">
      <w:pPr>
        <w:spacing w:before="312" w:after="312" w:line="360" w:lineRule="auto"/>
        <w:jc w:val="center"/>
        <w:rPr>
          <w:b/>
          <w:bCs/>
          <w:color w:val="auto"/>
          <w:sz w:val="36"/>
          <w:szCs w:val="36"/>
        </w:rPr>
      </w:pPr>
      <w:r>
        <w:rPr>
          <w:rFonts w:hint="eastAsia"/>
          <w:b/>
          <w:bCs/>
          <w:color w:val="auto"/>
          <w:sz w:val="36"/>
          <w:szCs w:val="36"/>
        </w:rPr>
        <w:t>中小企业声明函（工程、服务）格式</w:t>
      </w:r>
    </w:p>
    <w:p w14:paraId="210FB51E">
      <w:pPr>
        <w:spacing w:line="360" w:lineRule="auto"/>
        <w:ind w:firstLine="504"/>
        <w:rPr>
          <w:color w:val="auto"/>
          <w:spacing w:val="6"/>
          <w:sz w:val="24"/>
        </w:rPr>
      </w:pPr>
      <w:r>
        <w:rPr>
          <w:color w:val="auto"/>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A3443EF">
      <w:pPr>
        <w:spacing w:line="360" w:lineRule="auto"/>
        <w:ind w:firstLine="504"/>
        <w:rPr>
          <w:color w:val="auto"/>
          <w:spacing w:val="6"/>
          <w:sz w:val="24"/>
        </w:rPr>
      </w:pPr>
      <w:r>
        <w:rPr>
          <w:color w:val="auto"/>
          <w:spacing w:val="6"/>
          <w:sz w:val="24"/>
        </w:rPr>
        <w:t>1.</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行业；承建（承接）企业为</w:t>
      </w:r>
      <w:r>
        <w:rPr>
          <w:color w:val="auto"/>
          <w:spacing w:val="6"/>
          <w:sz w:val="24"/>
          <w:u w:val="single"/>
        </w:rPr>
        <w:t>（企业名称）</w:t>
      </w:r>
      <w:r>
        <w:rPr>
          <w:color w:val="auto"/>
          <w:spacing w:val="6"/>
          <w:sz w:val="24"/>
        </w:rPr>
        <w:t>，从业人员______人，营业收入为______万元，资产总额为______万元</w:t>
      </w:r>
      <w:r>
        <w:rPr>
          <w:color w:val="auto"/>
          <w:spacing w:val="6"/>
          <w:sz w:val="24"/>
          <w:vertAlign w:val="superscript"/>
        </w:rPr>
        <w:t>1</w:t>
      </w:r>
      <w:r>
        <w:rPr>
          <w:color w:val="auto"/>
          <w:spacing w:val="6"/>
          <w:sz w:val="24"/>
        </w:rPr>
        <w:t>，属于（中型企业、小型企业、微型企业）；</w:t>
      </w:r>
    </w:p>
    <w:p w14:paraId="0769B113">
      <w:pPr>
        <w:spacing w:line="360" w:lineRule="auto"/>
        <w:ind w:firstLine="504"/>
        <w:rPr>
          <w:color w:val="auto"/>
          <w:spacing w:val="6"/>
          <w:sz w:val="24"/>
        </w:rPr>
      </w:pPr>
      <w:r>
        <w:rPr>
          <w:color w:val="auto"/>
          <w:spacing w:val="6"/>
          <w:sz w:val="24"/>
        </w:rPr>
        <w:t>2.</w:t>
      </w:r>
      <w:r>
        <w:rPr>
          <w:color w:val="auto"/>
          <w:spacing w:val="6"/>
          <w:sz w:val="24"/>
          <w:u w:val="single"/>
        </w:rPr>
        <w:t>（标的名称）</w:t>
      </w:r>
      <w:r>
        <w:rPr>
          <w:color w:val="auto"/>
          <w:spacing w:val="6"/>
          <w:sz w:val="24"/>
        </w:rPr>
        <w:t>，属于</w:t>
      </w:r>
      <w:r>
        <w:rPr>
          <w:color w:val="auto"/>
          <w:spacing w:val="6"/>
          <w:sz w:val="24"/>
          <w:u w:val="single"/>
        </w:rPr>
        <w:t>（采购文件中明确的所属行业）</w:t>
      </w:r>
      <w:r>
        <w:rPr>
          <w:color w:val="auto"/>
          <w:spacing w:val="6"/>
          <w:sz w:val="24"/>
        </w:rPr>
        <w:t>行业；承建（承接）企业为</w:t>
      </w:r>
      <w:r>
        <w:rPr>
          <w:color w:val="auto"/>
          <w:spacing w:val="6"/>
          <w:sz w:val="24"/>
          <w:u w:val="single"/>
        </w:rPr>
        <w:t>（企业名称）</w:t>
      </w:r>
      <w:r>
        <w:rPr>
          <w:color w:val="auto"/>
          <w:spacing w:val="6"/>
          <w:sz w:val="24"/>
        </w:rPr>
        <w:t>，从业人员______人，营业收入为______万元，资产总额为______万元，属于</w:t>
      </w:r>
      <w:r>
        <w:rPr>
          <w:color w:val="auto"/>
          <w:spacing w:val="6"/>
          <w:sz w:val="24"/>
          <w:u w:val="single"/>
        </w:rPr>
        <w:t>（中型企业、小型企业、微型企业）</w:t>
      </w:r>
      <w:r>
        <w:rPr>
          <w:color w:val="auto"/>
          <w:spacing w:val="6"/>
          <w:sz w:val="24"/>
        </w:rPr>
        <w:t>；</w:t>
      </w:r>
    </w:p>
    <w:p w14:paraId="32AB8E94">
      <w:pPr>
        <w:spacing w:line="360" w:lineRule="auto"/>
        <w:ind w:firstLine="504"/>
        <w:rPr>
          <w:color w:val="auto"/>
          <w:spacing w:val="6"/>
          <w:sz w:val="24"/>
        </w:rPr>
      </w:pPr>
    </w:p>
    <w:p w14:paraId="2F3FAE9D">
      <w:pPr>
        <w:spacing w:line="360" w:lineRule="auto"/>
        <w:ind w:firstLine="504"/>
        <w:rPr>
          <w:color w:val="auto"/>
          <w:spacing w:val="6"/>
          <w:sz w:val="24"/>
        </w:rPr>
      </w:pPr>
      <w:r>
        <w:rPr>
          <w:color w:val="auto"/>
          <w:spacing w:val="6"/>
          <w:sz w:val="24"/>
        </w:rPr>
        <w:t>……</w:t>
      </w:r>
    </w:p>
    <w:p w14:paraId="6018952E">
      <w:pPr>
        <w:spacing w:line="360" w:lineRule="auto"/>
        <w:ind w:firstLine="504"/>
        <w:rPr>
          <w:color w:val="auto"/>
          <w:spacing w:val="6"/>
          <w:sz w:val="24"/>
        </w:rPr>
      </w:pPr>
      <w:r>
        <w:rPr>
          <w:color w:val="auto"/>
          <w:spacing w:val="6"/>
          <w:sz w:val="24"/>
        </w:rPr>
        <w:t>以上企业，不属于大企业的分支机构，不存在控股股东为大企业的情形，也不存在与大企业的负责人为同一人的情形。</w:t>
      </w:r>
    </w:p>
    <w:p w14:paraId="0964EC30">
      <w:pPr>
        <w:spacing w:line="360" w:lineRule="auto"/>
        <w:ind w:firstLine="504"/>
        <w:rPr>
          <w:color w:val="auto"/>
          <w:spacing w:val="6"/>
          <w:sz w:val="24"/>
        </w:rPr>
      </w:pPr>
      <w:r>
        <w:rPr>
          <w:color w:val="auto"/>
          <w:spacing w:val="6"/>
          <w:sz w:val="24"/>
        </w:rPr>
        <w:t>本企业对上述声明内容的真实性负责。如有虚假，将依法承担相应责任。</w:t>
      </w:r>
    </w:p>
    <w:p w14:paraId="3C43DB50">
      <w:pPr>
        <w:spacing w:line="360" w:lineRule="auto"/>
        <w:ind w:right="360" w:firstLine="480"/>
        <w:jc w:val="right"/>
        <w:rPr>
          <w:color w:val="auto"/>
          <w:sz w:val="24"/>
        </w:rPr>
      </w:pPr>
    </w:p>
    <w:p w14:paraId="31B7BA66">
      <w:pPr>
        <w:spacing w:line="360" w:lineRule="auto"/>
        <w:ind w:right="360" w:firstLine="480"/>
        <w:jc w:val="right"/>
        <w:rPr>
          <w:color w:val="auto"/>
          <w:sz w:val="24"/>
        </w:rPr>
      </w:pPr>
      <w:r>
        <w:rPr>
          <w:color w:val="auto"/>
          <w:sz w:val="24"/>
        </w:rPr>
        <w:t>企业名称（加盖公章）：________</w:t>
      </w:r>
    </w:p>
    <w:p w14:paraId="0315F2B1">
      <w:pPr>
        <w:spacing w:line="360" w:lineRule="auto"/>
        <w:ind w:right="360" w:firstLine="480"/>
        <w:jc w:val="right"/>
        <w:rPr>
          <w:color w:val="auto"/>
          <w:sz w:val="24"/>
        </w:rPr>
      </w:pPr>
      <w:r>
        <w:rPr>
          <w:color w:val="auto"/>
          <w:sz w:val="24"/>
        </w:rPr>
        <w:t>日 期：________</w:t>
      </w:r>
    </w:p>
    <w:p w14:paraId="5D8A51FF">
      <w:pPr>
        <w:jc w:val="left"/>
        <w:rPr>
          <w:color w:val="auto"/>
          <w:sz w:val="24"/>
          <w:szCs w:val="21"/>
        </w:rPr>
      </w:pPr>
    </w:p>
    <w:p w14:paraId="5711473D">
      <w:pPr>
        <w:jc w:val="left"/>
        <w:rPr>
          <w:color w:val="auto"/>
          <w:sz w:val="24"/>
          <w:szCs w:val="21"/>
        </w:rPr>
      </w:pPr>
    </w:p>
    <w:tbl>
      <w:tblPr>
        <w:tblStyle w:val="40"/>
        <w:tblW w:w="0" w:type="auto"/>
        <w:tblInd w:w="0" w:type="dxa"/>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8946"/>
      </w:tblGrid>
      <w:tr w14:paraId="7AF3792F">
        <w:tblPrEx>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946" w:type="dxa"/>
            <w:noWrap w:val="0"/>
          </w:tcPr>
          <w:p w14:paraId="541524F3">
            <w:pPr>
              <w:jc w:val="left"/>
              <w:rPr>
                <w:color w:val="auto"/>
                <w:szCs w:val="21"/>
              </w:rPr>
            </w:pPr>
            <w:r>
              <w:rPr>
                <w:color w:val="auto"/>
                <w:szCs w:val="21"/>
                <w:vertAlign w:val="superscript"/>
              </w:rPr>
              <w:t>1</w:t>
            </w:r>
            <w:r>
              <w:rPr>
                <w:color w:val="auto"/>
                <w:szCs w:val="21"/>
              </w:rPr>
              <w:t>从业人员、营业收入、资产总额填报上一年度数据，无上一年度数据的新成立企业可不填报。</w:t>
            </w:r>
          </w:p>
        </w:tc>
      </w:tr>
    </w:tbl>
    <w:p w14:paraId="15CF84FE">
      <w:pPr>
        <w:jc w:val="left"/>
        <w:rPr>
          <w:color w:val="auto"/>
          <w:szCs w:val="21"/>
          <w:vertAlign w:val="superscript"/>
        </w:rPr>
      </w:pPr>
    </w:p>
    <w:p w14:paraId="6784DC9A">
      <w:pPr>
        <w:spacing w:line="360" w:lineRule="auto"/>
        <w:ind w:right="360" w:firstLine="480"/>
        <w:jc w:val="right"/>
        <w:rPr>
          <w:color w:val="auto"/>
          <w:sz w:val="24"/>
        </w:rPr>
      </w:pPr>
    </w:p>
    <w:p w14:paraId="1A84E6D9">
      <w:pPr>
        <w:spacing w:line="360" w:lineRule="auto"/>
        <w:ind w:right="360" w:firstLine="480"/>
        <w:jc w:val="right"/>
        <w:rPr>
          <w:color w:val="auto"/>
          <w:sz w:val="24"/>
        </w:rPr>
      </w:pPr>
    </w:p>
    <w:p w14:paraId="5D24308D">
      <w:pPr>
        <w:spacing w:line="360" w:lineRule="auto"/>
        <w:outlineLvl w:val="2"/>
        <w:rPr>
          <w:color w:val="auto"/>
          <w:sz w:val="24"/>
          <w:szCs w:val="20"/>
        </w:rPr>
      </w:pPr>
      <w:r>
        <w:rPr>
          <w:color w:val="auto"/>
          <w:sz w:val="24"/>
          <w:szCs w:val="20"/>
        </w:rPr>
        <w:br w:type="page" w:clear="all"/>
      </w:r>
    </w:p>
    <w:p w14:paraId="4D012F15">
      <w:pPr>
        <w:spacing w:before="312" w:after="312" w:line="360" w:lineRule="auto"/>
        <w:jc w:val="center"/>
        <w:rPr>
          <w:b/>
          <w:color w:val="auto"/>
          <w:sz w:val="36"/>
          <w:szCs w:val="36"/>
        </w:rPr>
      </w:pPr>
      <w:r>
        <w:rPr>
          <w:rFonts w:hint="eastAsia"/>
          <w:b/>
          <w:bCs/>
          <w:color w:val="auto"/>
          <w:sz w:val="36"/>
          <w:szCs w:val="36"/>
        </w:rPr>
        <w:t>残疾人福利性单位声明函格式</w:t>
      </w:r>
      <w:r>
        <w:rPr>
          <w:b/>
          <w:color w:val="auto"/>
          <w:sz w:val="36"/>
          <w:szCs w:val="36"/>
        </w:rPr>
        <w:t xml:space="preserve">       </w:t>
      </w:r>
    </w:p>
    <w:p w14:paraId="74F2C7FB">
      <w:pPr>
        <w:spacing w:line="588" w:lineRule="exact"/>
        <w:ind w:firstLine="504"/>
        <w:rPr>
          <w:color w:val="auto"/>
          <w:spacing w:val="6"/>
          <w:sz w:val="24"/>
        </w:rPr>
      </w:pPr>
      <w:r>
        <w:rPr>
          <w:color w:val="auto"/>
          <w:spacing w:val="6"/>
          <w:sz w:val="24"/>
        </w:rPr>
        <w:t>本单位郑重声明，根据《财政部 民政部 中国残疾人联合会关于促进残疾人就业政府采购政策的通知》（财库</w:t>
      </w:r>
      <w:r>
        <w:rPr>
          <w:color w:val="auto"/>
          <w:sz w:val="24"/>
        </w:rPr>
        <w:t>〔2017〕 141</w:t>
      </w:r>
      <w:r>
        <w:rPr>
          <w:color w:val="auto"/>
          <w:spacing w:val="6"/>
          <w:sz w:val="24"/>
        </w:rPr>
        <w:t>号）的规定，本单位</w:t>
      </w:r>
      <w:r>
        <w:rPr>
          <w:b/>
          <w:color w:val="auto"/>
          <w:sz w:val="24"/>
        </w:rPr>
        <w:t>（请进行勾选）</w:t>
      </w:r>
      <w:r>
        <w:rPr>
          <w:color w:val="auto"/>
          <w:spacing w:val="6"/>
          <w:sz w:val="24"/>
        </w:rPr>
        <w:t>：</w:t>
      </w:r>
    </w:p>
    <w:p w14:paraId="7E2ADFD9">
      <w:pPr>
        <w:spacing w:line="588" w:lineRule="exact"/>
        <w:ind w:firstLine="482"/>
        <w:rPr>
          <w:b/>
          <w:color w:val="auto"/>
          <w:spacing w:val="6"/>
          <w:sz w:val="24"/>
        </w:rPr>
      </w:pPr>
      <w:r>
        <w:rPr>
          <w:b/>
          <w:color w:val="auto"/>
          <w:sz w:val="24"/>
        </w:rPr>
        <w:t>□</w:t>
      </w:r>
      <w:r>
        <w:rPr>
          <w:b/>
          <w:color w:val="auto"/>
          <w:spacing w:val="6"/>
          <w:sz w:val="24"/>
        </w:rPr>
        <w:t>不属于符合条件的残疾人福利性单位。</w:t>
      </w:r>
    </w:p>
    <w:p w14:paraId="73515617">
      <w:pPr>
        <w:spacing w:line="588" w:lineRule="exact"/>
        <w:ind w:firstLine="482"/>
        <w:rPr>
          <w:color w:val="auto"/>
          <w:spacing w:val="6"/>
          <w:sz w:val="24"/>
        </w:rPr>
      </w:pPr>
      <w:r>
        <w:rPr>
          <w:b/>
          <w:color w:val="auto"/>
          <w:sz w:val="24"/>
        </w:rPr>
        <w:t>□</w:t>
      </w:r>
      <w:r>
        <w:rPr>
          <w:b/>
          <w:color w:val="auto"/>
          <w:spacing w:val="6"/>
          <w:sz w:val="24"/>
        </w:rPr>
        <w:t>属于符合条件的残疾人福利性单位，</w:t>
      </w:r>
      <w:r>
        <w:rPr>
          <w:color w:val="auto"/>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2BA65C2">
      <w:pPr>
        <w:spacing w:line="588" w:lineRule="exact"/>
        <w:ind w:firstLine="506"/>
        <w:rPr>
          <w:color w:val="auto"/>
          <w:spacing w:val="6"/>
          <w:sz w:val="24"/>
        </w:rPr>
      </w:pPr>
      <w:r>
        <w:rPr>
          <w:b/>
          <w:color w:val="auto"/>
          <w:spacing w:val="6"/>
          <w:sz w:val="24"/>
        </w:rPr>
        <w:t>本单位对上述声明的真实性负责。如有虚假，将依法承担相应责任。</w:t>
      </w:r>
    </w:p>
    <w:p w14:paraId="2FF947EB">
      <w:pPr>
        <w:spacing w:line="588" w:lineRule="exact"/>
        <w:ind w:firstLine="504"/>
        <w:rPr>
          <w:color w:val="auto"/>
          <w:spacing w:val="6"/>
          <w:sz w:val="24"/>
        </w:rPr>
      </w:pPr>
    </w:p>
    <w:p w14:paraId="0193A247">
      <w:pPr>
        <w:spacing w:line="588" w:lineRule="exact"/>
        <w:ind w:firstLine="504"/>
        <w:rPr>
          <w:color w:val="auto"/>
          <w:spacing w:val="6"/>
          <w:sz w:val="24"/>
        </w:rPr>
      </w:pPr>
    </w:p>
    <w:p w14:paraId="665C9813">
      <w:pPr>
        <w:tabs>
          <w:tab w:val="left" w:pos="4860"/>
        </w:tabs>
        <w:spacing w:line="588" w:lineRule="exact"/>
        <w:ind w:right="1560" w:firstLine="504"/>
        <w:jc w:val="center"/>
        <w:rPr>
          <w:color w:val="auto"/>
          <w:spacing w:val="6"/>
          <w:sz w:val="24"/>
        </w:rPr>
      </w:pPr>
      <w:r>
        <w:rPr>
          <w:color w:val="auto"/>
          <w:spacing w:val="6"/>
          <w:sz w:val="24"/>
        </w:rPr>
        <w:t xml:space="preserve">               单位名称（加盖公章）：</w:t>
      </w:r>
    </w:p>
    <w:p w14:paraId="0FFE9009">
      <w:pPr>
        <w:tabs>
          <w:tab w:val="left" w:pos="4860"/>
        </w:tabs>
        <w:spacing w:line="588" w:lineRule="exact"/>
        <w:ind w:right="1560" w:firstLine="504"/>
        <w:jc w:val="center"/>
        <w:rPr>
          <w:color w:val="auto"/>
          <w:spacing w:val="6"/>
          <w:sz w:val="24"/>
        </w:rPr>
      </w:pPr>
      <w:r>
        <w:rPr>
          <w:color w:val="auto"/>
          <w:spacing w:val="6"/>
          <w:sz w:val="24"/>
        </w:rPr>
        <w:t xml:space="preserve">       日  期：</w:t>
      </w:r>
    </w:p>
    <w:p w14:paraId="0C291FB2">
      <w:pPr>
        <w:tabs>
          <w:tab w:val="left" w:pos="4860"/>
        </w:tabs>
        <w:spacing w:line="588" w:lineRule="exact"/>
        <w:ind w:right="1560" w:firstLine="504"/>
        <w:jc w:val="center"/>
        <w:rPr>
          <w:color w:val="auto"/>
          <w:spacing w:val="6"/>
          <w:sz w:val="24"/>
        </w:rPr>
      </w:pPr>
    </w:p>
    <w:p w14:paraId="4EE94D4D">
      <w:pPr>
        <w:tabs>
          <w:tab w:val="left" w:pos="4860"/>
        </w:tabs>
        <w:spacing w:line="588" w:lineRule="exact"/>
        <w:ind w:right="1560" w:firstLine="504"/>
        <w:jc w:val="center"/>
        <w:rPr>
          <w:color w:val="auto"/>
          <w:spacing w:val="6"/>
          <w:sz w:val="24"/>
        </w:rPr>
      </w:pPr>
    </w:p>
    <w:p w14:paraId="3FD4582A">
      <w:pPr>
        <w:tabs>
          <w:tab w:val="left" w:pos="4860"/>
        </w:tabs>
        <w:spacing w:line="588" w:lineRule="exact"/>
        <w:ind w:right="1560" w:firstLine="504"/>
        <w:jc w:val="center"/>
        <w:rPr>
          <w:color w:val="auto"/>
          <w:spacing w:val="6"/>
          <w:sz w:val="24"/>
        </w:rPr>
      </w:pPr>
    </w:p>
    <w:p w14:paraId="67F98F3B">
      <w:pPr>
        <w:tabs>
          <w:tab w:val="left" w:pos="4860"/>
        </w:tabs>
        <w:spacing w:line="588" w:lineRule="exact"/>
        <w:ind w:right="1560" w:firstLine="504"/>
        <w:jc w:val="center"/>
        <w:rPr>
          <w:color w:val="auto"/>
          <w:spacing w:val="6"/>
          <w:sz w:val="24"/>
        </w:rPr>
      </w:pPr>
    </w:p>
    <w:p w14:paraId="22AA0936">
      <w:pPr>
        <w:widowControl/>
        <w:spacing w:line="360" w:lineRule="auto"/>
        <w:jc w:val="left"/>
        <w:rPr>
          <w:color w:val="auto"/>
          <w:sz w:val="24"/>
          <w:szCs w:val="20"/>
        </w:rPr>
      </w:pPr>
      <w:r>
        <w:rPr>
          <w:color w:val="auto"/>
          <w:sz w:val="24"/>
          <w:szCs w:val="20"/>
        </w:rPr>
        <w:br w:type="page" w:clear="all"/>
      </w:r>
      <w:r>
        <w:rPr>
          <w:color w:val="auto"/>
          <w:sz w:val="24"/>
          <w:szCs w:val="20"/>
        </w:rPr>
        <w:t>2-</w:t>
      </w:r>
      <w:r>
        <w:rPr>
          <w:rFonts w:hint="eastAsia"/>
          <w:color w:val="auto"/>
          <w:sz w:val="24"/>
          <w:szCs w:val="20"/>
        </w:rPr>
        <w:t>2</w:t>
      </w:r>
      <w:r>
        <w:rPr>
          <w:color w:val="auto"/>
          <w:sz w:val="24"/>
          <w:szCs w:val="20"/>
        </w:rPr>
        <w:t xml:space="preserve"> </w:t>
      </w:r>
      <w:r>
        <w:rPr>
          <w:color w:val="auto"/>
          <w:sz w:val="24"/>
        </w:rPr>
        <w:t>其它落实政府采购政策的资格要求</w:t>
      </w:r>
      <w:r>
        <w:rPr>
          <w:color w:val="auto"/>
          <w:sz w:val="24"/>
          <w:szCs w:val="20"/>
        </w:rPr>
        <w:t>（如有）</w:t>
      </w:r>
    </w:p>
    <w:p w14:paraId="6FF4AF5E">
      <w:pPr>
        <w:widowControl/>
        <w:spacing w:line="360" w:lineRule="auto"/>
        <w:jc w:val="left"/>
        <w:rPr>
          <w:color w:val="auto"/>
          <w:sz w:val="24"/>
        </w:rPr>
      </w:pPr>
      <w:r>
        <w:rPr>
          <w:color w:val="auto"/>
          <w:sz w:val="24"/>
          <w:szCs w:val="20"/>
        </w:rPr>
        <w:t xml:space="preserve">3 </w:t>
      </w:r>
      <w:r>
        <w:rPr>
          <w:color w:val="auto"/>
          <w:sz w:val="24"/>
        </w:rPr>
        <w:t>本项目的特定资格要求</w:t>
      </w:r>
      <w:r>
        <w:rPr>
          <w:color w:val="auto"/>
          <w:sz w:val="24"/>
          <w:szCs w:val="20"/>
        </w:rPr>
        <w:t>（如有）</w:t>
      </w:r>
    </w:p>
    <w:p w14:paraId="28B97CDE">
      <w:pPr>
        <w:spacing w:line="360" w:lineRule="auto"/>
        <w:outlineLvl w:val="2"/>
        <w:rPr>
          <w:color w:val="auto"/>
          <w:sz w:val="24"/>
          <w:szCs w:val="20"/>
        </w:rPr>
      </w:pPr>
      <w:r>
        <w:rPr>
          <w:color w:val="auto"/>
          <w:sz w:val="24"/>
          <w:szCs w:val="20"/>
        </w:rPr>
        <w:t>3-1其他特定资格要求</w:t>
      </w:r>
    </w:p>
    <w:p w14:paraId="5C1EEE82">
      <w:pPr>
        <w:spacing w:line="360" w:lineRule="auto"/>
        <w:ind w:left="719" w:hanging="240"/>
        <w:rPr>
          <w:color w:val="auto"/>
          <w:sz w:val="24"/>
          <w:szCs w:val="20"/>
        </w:rPr>
      </w:pPr>
    </w:p>
    <w:p w14:paraId="5BCE6024">
      <w:pPr>
        <w:spacing w:line="360" w:lineRule="auto"/>
        <w:ind w:left="719" w:hanging="240"/>
        <w:rPr>
          <w:color w:val="auto"/>
          <w:sz w:val="24"/>
          <w:szCs w:val="20"/>
        </w:rPr>
      </w:pPr>
    </w:p>
    <w:p w14:paraId="45A3AEA1">
      <w:pPr>
        <w:spacing w:line="360" w:lineRule="auto"/>
        <w:ind w:left="719" w:hanging="240"/>
        <w:rPr>
          <w:color w:val="auto"/>
          <w:sz w:val="24"/>
          <w:szCs w:val="20"/>
        </w:rPr>
      </w:pPr>
    </w:p>
    <w:p w14:paraId="33C11B0F">
      <w:pPr>
        <w:spacing w:line="360" w:lineRule="auto"/>
        <w:ind w:left="719" w:hanging="240"/>
        <w:rPr>
          <w:color w:val="auto"/>
          <w:sz w:val="24"/>
          <w:szCs w:val="20"/>
        </w:rPr>
      </w:pPr>
    </w:p>
    <w:p w14:paraId="437F7932">
      <w:pPr>
        <w:spacing w:line="360" w:lineRule="auto"/>
        <w:ind w:left="719" w:hanging="240"/>
        <w:rPr>
          <w:color w:val="auto"/>
          <w:sz w:val="24"/>
          <w:szCs w:val="20"/>
        </w:rPr>
      </w:pPr>
    </w:p>
    <w:p w14:paraId="579F253F">
      <w:pPr>
        <w:spacing w:line="360" w:lineRule="auto"/>
        <w:ind w:left="719" w:hanging="240"/>
        <w:rPr>
          <w:color w:val="auto"/>
          <w:sz w:val="24"/>
          <w:szCs w:val="20"/>
        </w:rPr>
      </w:pPr>
    </w:p>
    <w:p w14:paraId="561F76C3">
      <w:pPr>
        <w:spacing w:line="360" w:lineRule="auto"/>
        <w:ind w:left="719" w:hanging="240"/>
        <w:rPr>
          <w:color w:val="auto"/>
          <w:sz w:val="24"/>
          <w:szCs w:val="20"/>
        </w:rPr>
      </w:pPr>
    </w:p>
    <w:p w14:paraId="08DB2431">
      <w:pPr>
        <w:spacing w:line="360" w:lineRule="auto"/>
        <w:ind w:left="719" w:hanging="240"/>
        <w:rPr>
          <w:color w:val="auto"/>
          <w:sz w:val="24"/>
          <w:szCs w:val="20"/>
        </w:rPr>
      </w:pPr>
    </w:p>
    <w:p w14:paraId="412C1C32">
      <w:pPr>
        <w:spacing w:line="360" w:lineRule="auto"/>
        <w:ind w:left="719" w:hanging="240"/>
        <w:rPr>
          <w:color w:val="auto"/>
          <w:sz w:val="24"/>
          <w:szCs w:val="20"/>
        </w:rPr>
      </w:pPr>
    </w:p>
    <w:p w14:paraId="58E1B0B1">
      <w:pPr>
        <w:spacing w:line="360" w:lineRule="auto"/>
        <w:ind w:left="719" w:hanging="240"/>
        <w:rPr>
          <w:color w:val="auto"/>
          <w:sz w:val="24"/>
          <w:szCs w:val="20"/>
        </w:rPr>
      </w:pPr>
    </w:p>
    <w:p w14:paraId="0D6A910E">
      <w:pPr>
        <w:spacing w:line="360" w:lineRule="auto"/>
        <w:ind w:left="719" w:hanging="240"/>
        <w:rPr>
          <w:color w:val="auto"/>
          <w:sz w:val="24"/>
          <w:szCs w:val="20"/>
        </w:rPr>
      </w:pPr>
    </w:p>
    <w:p w14:paraId="2C3C25AA">
      <w:pPr>
        <w:spacing w:line="360" w:lineRule="auto"/>
        <w:ind w:left="719" w:hanging="240"/>
        <w:rPr>
          <w:color w:val="auto"/>
          <w:sz w:val="24"/>
          <w:szCs w:val="20"/>
        </w:rPr>
      </w:pPr>
    </w:p>
    <w:p w14:paraId="04B54DCD">
      <w:pPr>
        <w:spacing w:line="360" w:lineRule="auto"/>
        <w:ind w:left="719" w:hanging="240"/>
        <w:rPr>
          <w:color w:val="auto"/>
          <w:sz w:val="24"/>
          <w:szCs w:val="20"/>
        </w:rPr>
      </w:pPr>
    </w:p>
    <w:p w14:paraId="1017A344">
      <w:pPr>
        <w:spacing w:line="360" w:lineRule="auto"/>
        <w:ind w:left="719" w:hanging="240"/>
        <w:rPr>
          <w:color w:val="auto"/>
          <w:sz w:val="24"/>
          <w:szCs w:val="20"/>
        </w:rPr>
      </w:pPr>
    </w:p>
    <w:p w14:paraId="375790FB">
      <w:pPr>
        <w:spacing w:line="360" w:lineRule="auto"/>
        <w:ind w:left="719" w:hanging="240"/>
        <w:rPr>
          <w:color w:val="auto"/>
          <w:sz w:val="24"/>
          <w:szCs w:val="20"/>
        </w:rPr>
      </w:pPr>
    </w:p>
    <w:p w14:paraId="71656FA8">
      <w:pPr>
        <w:spacing w:line="360" w:lineRule="auto"/>
        <w:ind w:left="719" w:hanging="240"/>
        <w:rPr>
          <w:color w:val="auto"/>
          <w:sz w:val="24"/>
          <w:szCs w:val="20"/>
        </w:rPr>
      </w:pPr>
    </w:p>
    <w:p w14:paraId="75C62BCA">
      <w:pPr>
        <w:spacing w:line="360" w:lineRule="auto"/>
        <w:ind w:left="719" w:hanging="240"/>
        <w:rPr>
          <w:color w:val="auto"/>
          <w:sz w:val="24"/>
          <w:szCs w:val="20"/>
        </w:rPr>
      </w:pPr>
    </w:p>
    <w:p w14:paraId="7D83A66C">
      <w:pPr>
        <w:spacing w:line="360" w:lineRule="auto"/>
        <w:ind w:left="719" w:hanging="240"/>
        <w:rPr>
          <w:color w:val="auto"/>
          <w:sz w:val="24"/>
          <w:szCs w:val="20"/>
        </w:rPr>
      </w:pPr>
    </w:p>
    <w:p w14:paraId="104DCBC5">
      <w:pPr>
        <w:spacing w:line="360" w:lineRule="auto"/>
        <w:ind w:left="719" w:hanging="240"/>
        <w:rPr>
          <w:color w:val="auto"/>
          <w:sz w:val="24"/>
          <w:szCs w:val="20"/>
        </w:rPr>
      </w:pPr>
    </w:p>
    <w:p w14:paraId="3C14CBD3">
      <w:pPr>
        <w:spacing w:line="360" w:lineRule="auto"/>
        <w:ind w:left="719" w:hanging="240"/>
        <w:rPr>
          <w:color w:val="auto"/>
          <w:sz w:val="24"/>
          <w:szCs w:val="20"/>
        </w:rPr>
      </w:pPr>
    </w:p>
    <w:p w14:paraId="1F7A88BD">
      <w:pPr>
        <w:spacing w:line="360" w:lineRule="auto"/>
        <w:ind w:left="719" w:hanging="240"/>
        <w:rPr>
          <w:color w:val="auto"/>
          <w:sz w:val="24"/>
          <w:szCs w:val="20"/>
        </w:rPr>
      </w:pPr>
    </w:p>
    <w:p w14:paraId="01C9A5BE">
      <w:pPr>
        <w:spacing w:line="360" w:lineRule="auto"/>
        <w:ind w:left="719" w:hanging="240"/>
        <w:rPr>
          <w:color w:val="auto"/>
          <w:sz w:val="24"/>
          <w:szCs w:val="20"/>
        </w:rPr>
      </w:pPr>
    </w:p>
    <w:p w14:paraId="56161360">
      <w:pPr>
        <w:spacing w:line="360" w:lineRule="auto"/>
        <w:ind w:left="719" w:hanging="240"/>
        <w:rPr>
          <w:color w:val="auto"/>
          <w:sz w:val="24"/>
          <w:szCs w:val="20"/>
        </w:rPr>
      </w:pPr>
    </w:p>
    <w:p w14:paraId="330F2AA2">
      <w:pPr>
        <w:spacing w:line="360" w:lineRule="auto"/>
        <w:ind w:left="719" w:hanging="240"/>
        <w:rPr>
          <w:color w:val="auto"/>
          <w:sz w:val="24"/>
          <w:szCs w:val="20"/>
        </w:rPr>
      </w:pPr>
    </w:p>
    <w:p w14:paraId="5F3ACCA4">
      <w:pPr>
        <w:spacing w:line="360" w:lineRule="auto"/>
        <w:ind w:left="719" w:hanging="240"/>
        <w:rPr>
          <w:color w:val="auto"/>
          <w:sz w:val="24"/>
          <w:szCs w:val="20"/>
        </w:rPr>
      </w:pPr>
    </w:p>
    <w:p w14:paraId="60ADBF6D">
      <w:pPr>
        <w:spacing w:line="360" w:lineRule="auto"/>
        <w:ind w:left="719" w:hanging="240"/>
        <w:rPr>
          <w:color w:val="auto"/>
          <w:sz w:val="24"/>
          <w:szCs w:val="20"/>
        </w:rPr>
      </w:pPr>
    </w:p>
    <w:p w14:paraId="50190023">
      <w:pPr>
        <w:spacing w:line="360" w:lineRule="auto"/>
        <w:ind w:left="719" w:hanging="240"/>
        <w:rPr>
          <w:color w:val="auto"/>
          <w:sz w:val="24"/>
          <w:szCs w:val="20"/>
        </w:rPr>
      </w:pPr>
    </w:p>
    <w:p w14:paraId="462328C2">
      <w:pPr>
        <w:widowControl/>
        <w:jc w:val="center"/>
        <w:rPr>
          <w:rFonts w:ascii="宋体" w:hAnsi="宋体"/>
          <w:b/>
          <w:color w:val="auto"/>
          <w:sz w:val="32"/>
          <w:szCs w:val="32"/>
        </w:rPr>
      </w:pPr>
    </w:p>
    <w:p w14:paraId="08101EA3">
      <w:pPr>
        <w:widowControl/>
        <w:jc w:val="center"/>
        <w:rPr>
          <w:rFonts w:ascii="宋体" w:hAnsi="宋体"/>
          <w:b/>
          <w:color w:val="auto"/>
          <w:sz w:val="32"/>
          <w:szCs w:val="32"/>
        </w:rPr>
      </w:pPr>
    </w:p>
    <w:p w14:paraId="5AFC0020">
      <w:pPr>
        <w:widowControl/>
        <w:jc w:val="center"/>
        <w:rPr>
          <w:rFonts w:ascii="宋体" w:hAnsi="宋体" w:cs="宋体"/>
          <w:b/>
          <w:color w:val="auto"/>
          <w:sz w:val="32"/>
          <w:szCs w:val="32"/>
        </w:rPr>
      </w:pPr>
      <w:r>
        <w:rPr>
          <w:rFonts w:hint="eastAsia" w:ascii="宋体" w:hAnsi="宋体" w:cs="宋体"/>
          <w:b/>
          <w:color w:val="auto"/>
          <w:sz w:val="32"/>
          <w:szCs w:val="32"/>
        </w:rPr>
        <w:t>二、商务技术文件格式</w:t>
      </w:r>
      <w:bookmarkStart w:id="121" w:name="_Toc150774761"/>
      <w:bookmarkStart w:id="122" w:name="_Toc195842921"/>
      <w:bookmarkStart w:id="123" w:name="_Toc226309800"/>
      <w:bookmarkStart w:id="124" w:name="_Toc142311058"/>
      <w:bookmarkStart w:id="125" w:name="_Toc226337252"/>
      <w:bookmarkStart w:id="126" w:name="_Toc127151556"/>
      <w:bookmarkStart w:id="127" w:name="_Ref467988698"/>
      <w:bookmarkStart w:id="128" w:name="_Toc226965746"/>
      <w:bookmarkStart w:id="129" w:name="_Toc226965829"/>
      <w:bookmarkStart w:id="130" w:name="_Toc520356217"/>
      <w:bookmarkStart w:id="131" w:name="_Toc150480794"/>
      <w:bookmarkStart w:id="132" w:name="_Toc480942349"/>
    </w:p>
    <w:p w14:paraId="7A8A84E5">
      <w:pPr>
        <w:widowControl/>
        <w:jc w:val="center"/>
        <w:rPr>
          <w:rFonts w:ascii="宋体" w:hAnsi="宋体" w:cs="宋体"/>
          <w:b/>
          <w:color w:val="auto"/>
          <w:sz w:val="32"/>
          <w:szCs w:val="32"/>
        </w:rPr>
      </w:pPr>
    </w:p>
    <w:p w14:paraId="23A0A642">
      <w:pPr>
        <w:spacing w:line="360" w:lineRule="auto"/>
        <w:outlineLvl w:val="2"/>
        <w:rPr>
          <w:rFonts w:ascii="宋体" w:hAnsi="宋体" w:cs="宋体"/>
          <w:color w:val="auto"/>
          <w:sz w:val="24"/>
          <w:szCs w:val="20"/>
        </w:rPr>
      </w:pPr>
      <w:r>
        <w:rPr>
          <w:rFonts w:hint="eastAsia" w:ascii="宋体" w:hAnsi="宋体" w:cs="宋体"/>
          <w:color w:val="auto"/>
          <w:sz w:val="24"/>
        </w:rPr>
        <w:t>1</w:t>
      </w:r>
      <w:r>
        <w:rPr>
          <w:rFonts w:hint="eastAsia" w:ascii="宋体" w:hAnsi="宋体" w:cs="宋体"/>
          <w:color w:val="auto"/>
          <w:sz w:val="24"/>
          <w:szCs w:val="20"/>
        </w:rPr>
        <w:t xml:space="preserve">  </w:t>
      </w:r>
      <w:r>
        <w:rPr>
          <w:rFonts w:hint="eastAsia" w:ascii="宋体" w:hAnsi="宋体" w:cs="宋体"/>
          <w:color w:val="auto"/>
          <w:sz w:val="24"/>
        </w:rPr>
        <w:t>投标</w:t>
      </w:r>
      <w:bookmarkEnd w:id="121"/>
      <w:bookmarkEnd w:id="122"/>
      <w:bookmarkEnd w:id="123"/>
      <w:bookmarkEnd w:id="124"/>
      <w:bookmarkEnd w:id="125"/>
      <w:bookmarkEnd w:id="126"/>
      <w:bookmarkEnd w:id="127"/>
      <w:bookmarkEnd w:id="128"/>
      <w:bookmarkEnd w:id="129"/>
      <w:bookmarkEnd w:id="130"/>
      <w:bookmarkEnd w:id="131"/>
      <w:bookmarkEnd w:id="132"/>
      <w:r>
        <w:rPr>
          <w:rFonts w:hint="eastAsia" w:ascii="宋体" w:hAnsi="宋体" w:cs="宋体"/>
          <w:color w:val="auto"/>
          <w:sz w:val="24"/>
        </w:rPr>
        <w:t>函</w:t>
      </w:r>
      <w:r>
        <w:rPr>
          <w:rFonts w:hint="eastAsia" w:ascii="宋体" w:hAnsi="宋体" w:cs="宋体"/>
          <w:color w:val="auto"/>
          <w:sz w:val="24"/>
          <w:szCs w:val="20"/>
        </w:rPr>
        <w:t>（实质性格式）</w:t>
      </w:r>
    </w:p>
    <w:p w14:paraId="611F03BE">
      <w:pPr>
        <w:tabs>
          <w:tab w:val="left" w:pos="5580"/>
        </w:tabs>
        <w:spacing w:line="360" w:lineRule="auto"/>
        <w:rPr>
          <w:rFonts w:ascii="宋体" w:hAnsi="宋体" w:cs="宋体"/>
          <w:color w:val="auto"/>
          <w:sz w:val="24"/>
        </w:rPr>
      </w:pPr>
    </w:p>
    <w:p w14:paraId="0179C803">
      <w:pPr>
        <w:spacing w:line="360" w:lineRule="auto"/>
        <w:jc w:val="center"/>
        <w:rPr>
          <w:rFonts w:ascii="宋体" w:hAnsi="宋体" w:cs="宋体"/>
          <w:b/>
          <w:color w:val="auto"/>
          <w:sz w:val="36"/>
          <w:szCs w:val="36"/>
        </w:rPr>
      </w:pPr>
      <w:r>
        <w:rPr>
          <w:rFonts w:hint="eastAsia" w:ascii="宋体" w:hAnsi="宋体" w:cs="宋体"/>
          <w:b/>
          <w:color w:val="auto"/>
          <w:sz w:val="36"/>
          <w:szCs w:val="36"/>
        </w:rPr>
        <w:t>投标函</w:t>
      </w:r>
    </w:p>
    <w:p w14:paraId="495B034D">
      <w:pPr>
        <w:tabs>
          <w:tab w:val="left" w:pos="5580"/>
        </w:tabs>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（采购人或采购代理机构）</w:t>
      </w:r>
    </w:p>
    <w:p w14:paraId="0A00A1A3">
      <w:pPr>
        <w:tabs>
          <w:tab w:val="left" w:pos="5580"/>
        </w:tabs>
        <w:spacing w:line="360" w:lineRule="auto"/>
        <w:rPr>
          <w:rFonts w:ascii="宋体" w:hAnsi="宋体" w:cs="宋体"/>
          <w:color w:val="auto"/>
          <w:sz w:val="24"/>
          <w:szCs w:val="20"/>
        </w:rPr>
      </w:pPr>
    </w:p>
    <w:p w14:paraId="064A0BD8">
      <w:pPr>
        <w:tabs>
          <w:tab w:val="left" w:pos="5580"/>
        </w:tabs>
        <w:spacing w:line="360" w:lineRule="auto"/>
        <w:ind w:firstLine="408"/>
        <w:rPr>
          <w:rFonts w:ascii="宋体" w:hAnsi="宋体" w:cs="宋体"/>
          <w:color w:val="auto"/>
          <w:sz w:val="24"/>
          <w:szCs w:val="20"/>
        </w:rPr>
      </w:pPr>
      <w:r>
        <w:rPr>
          <w:rFonts w:hint="eastAsia" w:ascii="宋体" w:hAnsi="宋体" w:cs="宋体"/>
          <w:color w:val="auto"/>
          <w:sz w:val="24"/>
          <w:szCs w:val="20"/>
        </w:rPr>
        <w:t>我方参加你方就___________（项目名称，项目编号/包号）组织的招标活动，并对此项目进行投标。</w:t>
      </w:r>
    </w:p>
    <w:p w14:paraId="5196E17C">
      <w:pPr>
        <w:tabs>
          <w:tab w:val="left" w:pos="5580"/>
        </w:tabs>
        <w:spacing w:line="360" w:lineRule="auto"/>
        <w:ind w:firstLine="408"/>
        <w:rPr>
          <w:rFonts w:ascii="宋体" w:hAnsi="宋体" w:cs="宋体"/>
          <w:color w:val="auto"/>
          <w:sz w:val="24"/>
          <w:szCs w:val="20"/>
        </w:rPr>
      </w:pPr>
      <w:r>
        <w:rPr>
          <w:rFonts w:hint="eastAsia" w:ascii="宋体" w:hAnsi="宋体" w:cs="宋体"/>
          <w:color w:val="auto"/>
          <w:sz w:val="24"/>
          <w:szCs w:val="20"/>
        </w:rPr>
        <w:t>1. 我方</w:t>
      </w:r>
      <w:r>
        <w:rPr>
          <w:rFonts w:hint="eastAsia" w:ascii="宋体" w:hAnsi="宋体" w:cs="宋体"/>
          <w:color w:val="auto"/>
          <w:sz w:val="24"/>
        </w:rPr>
        <w:t>已详细审查全部招标文件</w:t>
      </w:r>
      <w:r>
        <w:rPr>
          <w:rFonts w:hint="eastAsia" w:ascii="宋体" w:hAnsi="宋体" w:cs="宋体"/>
          <w:color w:val="auto"/>
          <w:sz w:val="24"/>
          <w:szCs w:val="20"/>
        </w:rPr>
        <w:t>，自愿参与投标并承诺如下：</w:t>
      </w:r>
    </w:p>
    <w:p w14:paraId="5594D34C">
      <w:pPr>
        <w:tabs>
          <w:tab w:val="left" w:pos="720"/>
          <w:tab w:val="left" w:pos="900"/>
        </w:tabs>
        <w:spacing w:line="360" w:lineRule="auto"/>
        <w:ind w:left="360" w:firstLine="72"/>
        <w:rPr>
          <w:rFonts w:ascii="宋体" w:hAnsi="宋体" w:cs="宋体"/>
          <w:color w:val="auto"/>
          <w:sz w:val="24"/>
          <w:szCs w:val="20"/>
        </w:rPr>
      </w:pPr>
      <w:r>
        <w:rPr>
          <w:rFonts w:hint="eastAsia" w:ascii="宋体" w:hAnsi="宋体" w:cs="宋体"/>
          <w:color w:val="auto"/>
          <w:sz w:val="24"/>
          <w:szCs w:val="20"/>
        </w:rPr>
        <w:t>（1）本投标有效期为自提交投标文件的截止之日起</w:t>
      </w:r>
      <w:r>
        <w:rPr>
          <w:rFonts w:hint="eastAsia" w:ascii="宋体" w:hAnsi="宋体" w:cs="宋体"/>
          <w:color w:val="auto"/>
          <w:sz w:val="24"/>
        </w:rPr>
        <w:t>60</w:t>
      </w:r>
      <w:r>
        <w:rPr>
          <w:rFonts w:hint="eastAsia" w:ascii="宋体" w:hAnsi="宋体" w:cs="宋体"/>
          <w:color w:val="auto"/>
          <w:sz w:val="24"/>
          <w:szCs w:val="20"/>
        </w:rPr>
        <w:t>个日历日。</w:t>
      </w:r>
    </w:p>
    <w:p w14:paraId="64CE559E">
      <w:pPr>
        <w:tabs>
          <w:tab w:val="left" w:pos="720"/>
          <w:tab w:val="left" w:pos="900"/>
        </w:tabs>
        <w:spacing w:line="360" w:lineRule="auto"/>
        <w:ind w:left="360" w:firstLine="72"/>
        <w:rPr>
          <w:rFonts w:ascii="宋体" w:hAnsi="宋体" w:cs="宋体"/>
          <w:color w:val="auto"/>
          <w:sz w:val="24"/>
          <w:szCs w:val="20"/>
        </w:rPr>
      </w:pPr>
      <w:r>
        <w:rPr>
          <w:rFonts w:hint="eastAsia" w:ascii="宋体" w:hAnsi="宋体" w:cs="宋体"/>
          <w:color w:val="auto"/>
          <w:sz w:val="24"/>
          <w:szCs w:val="20"/>
        </w:rPr>
        <w:t>（2）除合同条款及采购需求偏离表列出的偏离外，我方响应招标文件的全部要求。</w:t>
      </w:r>
    </w:p>
    <w:p w14:paraId="42DE2941">
      <w:pPr>
        <w:tabs>
          <w:tab w:val="left" w:pos="5580"/>
        </w:tabs>
        <w:spacing w:line="360" w:lineRule="auto"/>
        <w:ind w:firstLine="420"/>
        <w:rPr>
          <w:rFonts w:ascii="宋体" w:hAnsi="宋体" w:cs="宋体"/>
          <w:color w:val="auto"/>
          <w:sz w:val="24"/>
          <w:szCs w:val="20"/>
        </w:rPr>
      </w:pPr>
      <w:r>
        <w:rPr>
          <w:rFonts w:hint="eastAsia" w:ascii="宋体" w:hAnsi="宋体" w:cs="宋体"/>
          <w:color w:val="auto"/>
          <w:sz w:val="24"/>
          <w:szCs w:val="20"/>
        </w:rPr>
        <w:t>（3）我方已提供的全部文件资料是真实、准确的，并对此承担一切法律后果。</w:t>
      </w:r>
    </w:p>
    <w:p w14:paraId="192CD263">
      <w:pPr>
        <w:tabs>
          <w:tab w:val="left" w:pos="5580"/>
        </w:tabs>
        <w:spacing w:line="360" w:lineRule="auto"/>
        <w:ind w:firstLine="420"/>
        <w:rPr>
          <w:rFonts w:ascii="宋体" w:hAnsi="宋体" w:cs="宋体"/>
          <w:color w:val="auto"/>
          <w:sz w:val="24"/>
        </w:rPr>
      </w:pPr>
      <w:r>
        <w:rPr>
          <w:rFonts w:hint="eastAsia" w:ascii="宋体" w:hAnsi="宋体" w:cs="宋体"/>
          <w:color w:val="auto"/>
          <w:sz w:val="24"/>
          <w:szCs w:val="20"/>
        </w:rPr>
        <w:t>（4）如我方中标，我方将在法律规定的期限内与你方签订合同，按照招标文件要求提交履约保证金，并在合同约定的期限内完成合同规定的全部义务。</w:t>
      </w:r>
    </w:p>
    <w:p w14:paraId="02181BEA">
      <w:pPr>
        <w:spacing w:line="360" w:lineRule="auto"/>
        <w:ind w:left="420"/>
        <w:rPr>
          <w:rFonts w:ascii="宋体" w:hAnsi="宋体" w:cs="宋体"/>
          <w:color w:val="auto"/>
          <w:sz w:val="24"/>
        </w:rPr>
      </w:pPr>
      <w:r>
        <w:rPr>
          <w:rFonts w:hint="eastAsia" w:ascii="宋体" w:hAnsi="宋体" w:cs="宋体"/>
          <w:color w:val="auto"/>
          <w:sz w:val="24"/>
        </w:rPr>
        <w:t>2. 其他补充条款（如有）：</w:t>
      </w:r>
      <w:r>
        <w:rPr>
          <w:rFonts w:hint="eastAsia" w:ascii="宋体" w:hAnsi="宋体" w:cs="宋体"/>
          <w:color w:val="auto"/>
          <w:sz w:val="24"/>
          <w:szCs w:val="20"/>
        </w:rPr>
        <w:t>___________</w:t>
      </w:r>
      <w:r>
        <w:rPr>
          <w:rFonts w:hint="eastAsia" w:ascii="宋体" w:hAnsi="宋体" w:cs="宋体"/>
          <w:color w:val="auto"/>
          <w:sz w:val="24"/>
        </w:rPr>
        <w:t>。</w:t>
      </w:r>
    </w:p>
    <w:p w14:paraId="5CE0EE56">
      <w:pPr>
        <w:spacing w:line="360" w:lineRule="auto"/>
        <w:ind w:firstLine="480"/>
        <w:rPr>
          <w:rFonts w:ascii="宋体" w:hAnsi="宋体" w:cs="宋体"/>
          <w:color w:val="auto"/>
          <w:sz w:val="24"/>
        </w:rPr>
      </w:pPr>
      <w:r>
        <w:rPr>
          <w:rFonts w:hint="eastAsia" w:ascii="宋体" w:hAnsi="宋体" w:cs="宋体"/>
          <w:color w:val="auto"/>
          <w:sz w:val="24"/>
        </w:rPr>
        <w:t>与本投标有关的一切正式往来信函请寄：</w:t>
      </w:r>
    </w:p>
    <w:p w14:paraId="35C3C8C9">
      <w:pPr>
        <w:tabs>
          <w:tab w:val="left" w:pos="5580"/>
        </w:tabs>
        <w:spacing w:line="360" w:lineRule="auto"/>
        <w:ind w:left="420"/>
        <w:rPr>
          <w:rFonts w:ascii="宋体" w:hAnsi="宋体" w:cs="宋体"/>
          <w:color w:val="auto"/>
          <w:sz w:val="24"/>
          <w:szCs w:val="20"/>
        </w:rPr>
      </w:pPr>
    </w:p>
    <w:p w14:paraId="4615D5DB">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地址_________________________     传真____________________________</w:t>
      </w:r>
    </w:p>
    <w:p w14:paraId="0BD31832">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电话_________________________     电子函件________________________</w:t>
      </w:r>
    </w:p>
    <w:p w14:paraId="52D9187D">
      <w:pPr>
        <w:tabs>
          <w:tab w:val="left" w:pos="5580"/>
        </w:tabs>
        <w:spacing w:line="360" w:lineRule="auto"/>
        <w:ind w:left="420"/>
        <w:rPr>
          <w:rFonts w:ascii="宋体" w:hAnsi="宋体" w:cs="宋体"/>
          <w:color w:val="auto"/>
          <w:sz w:val="24"/>
          <w:szCs w:val="20"/>
        </w:rPr>
      </w:pPr>
    </w:p>
    <w:p w14:paraId="5C917B59">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投标人名称（加盖公章） ___________</w:t>
      </w:r>
    </w:p>
    <w:p w14:paraId="28FC411A">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 xml:space="preserve">日期：_____年______月______日    </w:t>
      </w:r>
    </w:p>
    <w:p w14:paraId="35460564">
      <w:pPr>
        <w:tabs>
          <w:tab w:val="left" w:pos="5580"/>
        </w:tabs>
        <w:spacing w:line="360" w:lineRule="auto"/>
        <w:ind w:left="420"/>
        <w:rPr>
          <w:rFonts w:ascii="宋体" w:hAnsi="宋体" w:cs="宋体"/>
          <w:color w:val="auto"/>
          <w:sz w:val="24"/>
          <w:szCs w:val="20"/>
          <w:u w:val="single"/>
        </w:rPr>
      </w:pPr>
    </w:p>
    <w:p w14:paraId="67CBBB64">
      <w:pPr>
        <w:widowControl/>
        <w:jc w:val="left"/>
        <w:rPr>
          <w:rFonts w:ascii="宋体" w:hAnsi="宋体" w:cs="宋体"/>
          <w:color w:val="auto"/>
          <w:sz w:val="24"/>
        </w:rPr>
      </w:pPr>
      <w:bookmarkStart w:id="133" w:name="_Hlt520356243"/>
      <w:bookmarkEnd w:id="133"/>
      <w:bookmarkStart w:id="134" w:name="_Hlt520355938"/>
      <w:bookmarkEnd w:id="134"/>
      <w:r>
        <w:rPr>
          <w:rFonts w:hint="eastAsia" w:ascii="宋体" w:hAnsi="宋体" w:cs="宋体"/>
          <w:color w:val="auto"/>
          <w:sz w:val="24"/>
        </w:rPr>
        <w:br w:type="page" w:clear="all"/>
      </w:r>
    </w:p>
    <w:p w14:paraId="0399E693">
      <w:pPr>
        <w:widowControl/>
        <w:jc w:val="left"/>
        <w:rPr>
          <w:rFonts w:ascii="宋体" w:hAnsi="宋体" w:cs="宋体"/>
          <w:color w:val="auto"/>
          <w:sz w:val="24"/>
        </w:rPr>
      </w:pPr>
      <w:r>
        <w:rPr>
          <w:rFonts w:hint="eastAsia" w:ascii="宋体" w:hAnsi="宋体" w:cs="宋体"/>
          <w:color w:val="auto"/>
          <w:sz w:val="24"/>
        </w:rPr>
        <w:t>2  法定代表人资格证明书</w:t>
      </w:r>
      <w:r>
        <w:rPr>
          <w:rFonts w:hint="eastAsia" w:ascii="宋体" w:hAnsi="宋体" w:cs="宋体"/>
          <w:color w:val="auto"/>
          <w:sz w:val="24"/>
          <w:szCs w:val="20"/>
        </w:rPr>
        <w:t>（实质性格式）</w:t>
      </w:r>
    </w:p>
    <w:p w14:paraId="4C718431">
      <w:pPr>
        <w:spacing w:line="360" w:lineRule="auto"/>
        <w:jc w:val="center"/>
        <w:rPr>
          <w:rFonts w:ascii="宋体" w:hAnsi="宋体" w:cs="宋体"/>
          <w:b/>
          <w:color w:val="auto"/>
          <w:sz w:val="32"/>
          <w:szCs w:val="32"/>
        </w:rPr>
      </w:pPr>
    </w:p>
    <w:p w14:paraId="7628E444">
      <w:pPr>
        <w:spacing w:line="360" w:lineRule="auto"/>
        <w:jc w:val="center"/>
        <w:rPr>
          <w:rFonts w:ascii="宋体" w:hAnsi="宋体" w:cs="宋体"/>
          <w:b/>
          <w:color w:val="auto"/>
          <w:sz w:val="32"/>
          <w:szCs w:val="32"/>
        </w:rPr>
      </w:pPr>
      <w:r>
        <w:rPr>
          <w:rFonts w:hint="eastAsia" w:ascii="宋体" w:hAnsi="宋体" w:cs="宋体"/>
          <w:b/>
          <w:color w:val="auto"/>
          <w:sz w:val="32"/>
          <w:szCs w:val="32"/>
        </w:rPr>
        <w:t>法定代表人资格证明书</w:t>
      </w:r>
    </w:p>
    <w:p w14:paraId="487E1DF3">
      <w:pPr>
        <w:spacing w:line="560" w:lineRule="exact"/>
        <w:rPr>
          <w:rFonts w:ascii="宋体" w:hAnsi="宋体" w:cs="宋体"/>
          <w:color w:val="auto"/>
          <w:sz w:val="24"/>
        </w:rPr>
      </w:pPr>
      <w:r>
        <w:rPr>
          <w:rFonts w:hint="eastAsia" w:ascii="宋体" w:hAnsi="宋体" w:cs="宋体"/>
          <w:color w:val="auto"/>
          <w:sz w:val="24"/>
        </w:rPr>
        <w:t>单位名称:</w:t>
      </w:r>
    </w:p>
    <w:p w14:paraId="6A18F536">
      <w:pPr>
        <w:spacing w:line="560" w:lineRule="exact"/>
        <w:rPr>
          <w:rFonts w:ascii="宋体" w:hAnsi="宋体" w:cs="宋体"/>
          <w:color w:val="auto"/>
          <w:sz w:val="24"/>
        </w:rPr>
      </w:pPr>
      <w:r>
        <w:rPr>
          <w:rFonts w:hint="eastAsia" w:ascii="宋体" w:hAnsi="宋体" w:cs="宋体"/>
          <w:color w:val="auto"/>
          <w:sz w:val="24"/>
        </w:rPr>
        <w:t>地址:</w:t>
      </w:r>
    </w:p>
    <w:p w14:paraId="31510C45">
      <w:pPr>
        <w:spacing w:line="560" w:lineRule="exact"/>
        <w:rPr>
          <w:rFonts w:ascii="宋体" w:hAnsi="宋体" w:cs="宋体"/>
          <w:color w:val="auto"/>
          <w:sz w:val="24"/>
        </w:rPr>
      </w:pPr>
      <w:r>
        <w:rPr>
          <w:rFonts w:hint="eastAsia" w:ascii="宋体" w:hAnsi="宋体" w:cs="宋体"/>
          <w:color w:val="auto"/>
          <w:sz w:val="24"/>
        </w:rPr>
        <w:t>姓名:     性别:       年龄:      职务:</w:t>
      </w:r>
    </w:p>
    <w:p w14:paraId="3B43D3FC">
      <w:pPr>
        <w:spacing w:line="56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（投标单位名称）</w:t>
      </w:r>
      <w:r>
        <w:rPr>
          <w:rFonts w:hint="eastAsia" w:ascii="宋体" w:hAnsi="宋体" w:cs="宋体"/>
          <w:color w:val="auto"/>
          <w:sz w:val="24"/>
        </w:rPr>
        <w:t>的法定代表人。为参与</w:t>
      </w:r>
      <w:r>
        <w:rPr>
          <w:rFonts w:hint="eastAsia" w:ascii="宋体" w:hAnsi="宋体" w:cs="宋体"/>
          <w:color w:val="auto"/>
          <w:sz w:val="24"/>
          <w:u w:val="single"/>
        </w:rPr>
        <w:t>（项目名称）</w:t>
      </w:r>
      <w:r>
        <w:rPr>
          <w:rFonts w:hint="eastAsia" w:ascii="宋体" w:hAnsi="宋体" w:cs="宋体"/>
          <w:color w:val="auto"/>
          <w:sz w:val="24"/>
        </w:rPr>
        <w:t>的政府采购活动，</w:t>
      </w:r>
      <w:r>
        <w:rPr>
          <w:rFonts w:hint="eastAsia" w:ascii="宋体" w:hAnsi="宋体" w:cs="宋体"/>
          <w:color w:val="auto"/>
          <w:sz w:val="24"/>
          <w:szCs w:val="20"/>
        </w:rPr>
        <w:t>签署、澄清确认、递交、撤回、修改</w:t>
      </w:r>
      <w:r>
        <w:rPr>
          <w:rFonts w:hint="eastAsia" w:ascii="宋体" w:hAnsi="宋体" w:cs="宋体"/>
          <w:color w:val="auto"/>
          <w:sz w:val="24"/>
        </w:rPr>
        <w:t>上述项目的投标文件、进行合同谈判、签署合同和处理与之有关的一切事务。</w:t>
      </w:r>
    </w:p>
    <w:p w14:paraId="262F95CC">
      <w:pPr>
        <w:spacing w:line="560" w:lineRule="exact"/>
        <w:rPr>
          <w:rFonts w:ascii="宋体" w:hAnsi="宋体" w:cs="宋体"/>
          <w:color w:val="auto"/>
          <w:sz w:val="24"/>
        </w:rPr>
      </w:pPr>
      <w:r>
        <w:rPr>
          <w:rFonts w:hint="eastAsia" w:ascii="宋体" w:hAnsi="宋体" w:cs="宋体"/>
          <w:color w:val="auto"/>
          <w:sz w:val="24"/>
        </w:rPr>
        <w:t>特此证明。</w:t>
      </w:r>
    </w:p>
    <w:p w14:paraId="721C13DF">
      <w:pPr>
        <w:spacing w:line="560" w:lineRule="exact"/>
        <w:rPr>
          <w:rFonts w:ascii="宋体" w:hAnsi="宋体" w:cs="宋体"/>
          <w:color w:val="auto"/>
          <w:sz w:val="24"/>
        </w:rPr>
      </w:pPr>
    </w:p>
    <w:p w14:paraId="1544A740">
      <w:pPr>
        <w:pStyle w:val="16"/>
        <w:tabs>
          <w:tab w:val="left" w:pos="567"/>
        </w:tabs>
        <w:spacing w:line="583" w:lineRule="auto"/>
        <w:ind w:right="-46"/>
        <w:rPr>
          <w:rFonts w:ascii="宋体" w:hAnsi="宋体" w:eastAsia="宋体" w:cs="宋体"/>
          <w:color w:val="auto"/>
          <w:spacing w:val="-3"/>
        </w:rPr>
      </w:pPr>
      <w:r>
        <w:rPr>
          <w:rFonts w:hint="eastAsia" w:ascii="宋体" w:hAnsi="宋体" w:eastAsia="宋体" w:cs="宋体"/>
          <w:color w:val="auto"/>
        </w:rPr>
        <w:t>附：</w:t>
      </w:r>
      <w:r>
        <w:rPr>
          <w:rFonts w:hint="eastAsia" w:ascii="宋体" w:hAnsi="宋体" w:eastAsia="宋体" w:cs="宋体"/>
          <w:color w:val="auto"/>
          <w:spacing w:val="-3"/>
        </w:rPr>
        <w:t>法</w:t>
      </w:r>
      <w:r>
        <w:rPr>
          <w:rFonts w:hint="eastAsia" w:ascii="宋体" w:hAnsi="宋体" w:eastAsia="宋体" w:cs="宋体"/>
          <w:color w:val="auto"/>
        </w:rPr>
        <w:t>定</w:t>
      </w:r>
      <w:r>
        <w:rPr>
          <w:rFonts w:hint="eastAsia" w:ascii="宋体" w:hAnsi="宋体" w:eastAsia="宋体" w:cs="宋体"/>
          <w:color w:val="auto"/>
          <w:spacing w:val="-3"/>
        </w:rPr>
        <w:t>代</w:t>
      </w:r>
      <w:r>
        <w:rPr>
          <w:rFonts w:hint="eastAsia" w:ascii="宋体" w:hAnsi="宋体" w:eastAsia="宋体" w:cs="宋体"/>
          <w:color w:val="auto"/>
        </w:rPr>
        <w:t>表</w:t>
      </w:r>
      <w:r>
        <w:rPr>
          <w:rFonts w:hint="eastAsia" w:ascii="宋体" w:hAnsi="宋体" w:eastAsia="宋体" w:cs="宋体"/>
          <w:color w:val="auto"/>
          <w:spacing w:val="-3"/>
        </w:rPr>
        <w:t>人</w:t>
      </w:r>
      <w:r>
        <w:rPr>
          <w:rFonts w:hint="eastAsia" w:ascii="宋体" w:hAnsi="宋体" w:eastAsia="宋体" w:cs="宋体"/>
          <w:color w:val="auto"/>
        </w:rPr>
        <w:t>（</w:t>
      </w:r>
      <w:r>
        <w:rPr>
          <w:rFonts w:hint="eastAsia" w:ascii="宋体" w:hAnsi="宋体" w:eastAsia="宋体" w:cs="宋体"/>
          <w:color w:val="auto"/>
          <w:spacing w:val="-3"/>
        </w:rPr>
        <w:t>单</w:t>
      </w:r>
      <w:r>
        <w:rPr>
          <w:rFonts w:hint="eastAsia" w:ascii="宋体" w:hAnsi="宋体" w:eastAsia="宋体" w:cs="宋体"/>
          <w:color w:val="auto"/>
        </w:rPr>
        <w:t>位</w:t>
      </w:r>
      <w:r>
        <w:rPr>
          <w:rFonts w:hint="eastAsia" w:ascii="宋体" w:hAnsi="宋体" w:eastAsia="宋体" w:cs="宋体"/>
          <w:color w:val="auto"/>
          <w:spacing w:val="-3"/>
        </w:rPr>
        <w:t>负</w:t>
      </w:r>
      <w:r>
        <w:rPr>
          <w:rFonts w:hint="eastAsia" w:ascii="宋体" w:hAnsi="宋体" w:eastAsia="宋体" w:cs="宋体"/>
          <w:color w:val="auto"/>
        </w:rPr>
        <w:t>责人</w:t>
      </w:r>
      <w:r>
        <w:rPr>
          <w:rFonts w:hint="eastAsia" w:ascii="宋体" w:hAnsi="宋体" w:eastAsia="宋体" w:cs="宋体"/>
          <w:color w:val="auto"/>
          <w:spacing w:val="-3"/>
        </w:rPr>
        <w:t>）有效期内的身份证正反面电子件。</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78CB1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tcPr>
          <w:p w14:paraId="05C68E55">
            <w:pPr>
              <w:tabs>
                <w:tab w:val="left" w:pos="5580"/>
              </w:tabs>
              <w:spacing w:line="360" w:lineRule="auto"/>
              <w:jc w:val="left"/>
              <w:rPr>
                <w:rFonts w:ascii="宋体" w:hAnsi="宋体" w:cs="宋体"/>
                <w:color w:val="auto"/>
                <w:sz w:val="24"/>
                <w:szCs w:val="20"/>
              </w:rPr>
            </w:pPr>
          </w:p>
          <w:p w14:paraId="46FD7C40">
            <w:pPr>
              <w:tabs>
                <w:tab w:val="left" w:pos="5580"/>
              </w:tabs>
              <w:spacing w:line="360" w:lineRule="auto"/>
              <w:jc w:val="left"/>
              <w:rPr>
                <w:rFonts w:ascii="宋体" w:hAnsi="宋体" w:cs="宋体"/>
                <w:color w:val="auto"/>
                <w:sz w:val="24"/>
                <w:szCs w:val="20"/>
              </w:rPr>
            </w:pPr>
          </w:p>
          <w:p w14:paraId="151E23CC">
            <w:pPr>
              <w:tabs>
                <w:tab w:val="left" w:pos="5580"/>
              </w:tabs>
              <w:spacing w:line="360" w:lineRule="auto"/>
              <w:jc w:val="left"/>
              <w:rPr>
                <w:rFonts w:ascii="宋体" w:hAnsi="宋体" w:cs="宋体"/>
                <w:color w:val="auto"/>
                <w:sz w:val="24"/>
                <w:szCs w:val="20"/>
              </w:rPr>
            </w:pPr>
          </w:p>
        </w:tc>
        <w:tc>
          <w:tcPr>
            <w:tcW w:w="4536" w:type="dxa"/>
            <w:noWrap w:val="0"/>
          </w:tcPr>
          <w:p w14:paraId="23E39391">
            <w:pPr>
              <w:tabs>
                <w:tab w:val="left" w:pos="5580"/>
              </w:tabs>
              <w:spacing w:line="360" w:lineRule="auto"/>
              <w:jc w:val="left"/>
              <w:rPr>
                <w:rFonts w:ascii="宋体" w:hAnsi="宋体" w:cs="宋体"/>
                <w:color w:val="auto"/>
                <w:sz w:val="24"/>
                <w:szCs w:val="20"/>
              </w:rPr>
            </w:pPr>
          </w:p>
          <w:p w14:paraId="52BE954F">
            <w:pPr>
              <w:tabs>
                <w:tab w:val="left" w:pos="5580"/>
              </w:tabs>
              <w:spacing w:line="360" w:lineRule="auto"/>
              <w:jc w:val="left"/>
              <w:rPr>
                <w:rFonts w:ascii="宋体" w:hAnsi="宋体" w:cs="宋体"/>
                <w:color w:val="auto"/>
                <w:sz w:val="24"/>
                <w:szCs w:val="20"/>
              </w:rPr>
            </w:pPr>
          </w:p>
          <w:p w14:paraId="03A2E6EB">
            <w:pPr>
              <w:tabs>
                <w:tab w:val="left" w:pos="5580"/>
              </w:tabs>
              <w:spacing w:line="360" w:lineRule="auto"/>
              <w:jc w:val="left"/>
              <w:rPr>
                <w:rFonts w:ascii="宋体" w:hAnsi="宋体" w:cs="宋体"/>
                <w:color w:val="auto"/>
                <w:sz w:val="24"/>
                <w:szCs w:val="20"/>
              </w:rPr>
            </w:pPr>
          </w:p>
        </w:tc>
      </w:tr>
    </w:tbl>
    <w:p w14:paraId="0768B911">
      <w:pPr>
        <w:spacing w:line="560" w:lineRule="exact"/>
        <w:rPr>
          <w:rFonts w:ascii="宋体" w:hAnsi="宋体" w:cs="宋体"/>
          <w:color w:val="auto"/>
          <w:sz w:val="24"/>
        </w:rPr>
      </w:pPr>
      <w:r>
        <w:rPr>
          <w:rFonts w:hint="eastAsia" w:ascii="宋体" w:hAnsi="宋体" w:cs="宋体"/>
          <w:color w:val="auto"/>
          <w:sz w:val="24"/>
        </w:rPr>
        <w:t>                     投标人：（加盖公章）</w:t>
      </w:r>
    </w:p>
    <w:p w14:paraId="0C7B433D">
      <w:pPr>
        <w:spacing w:line="560" w:lineRule="exact"/>
        <w:rPr>
          <w:rFonts w:ascii="宋体" w:hAnsi="宋体" w:cs="宋体"/>
          <w:color w:val="auto"/>
          <w:sz w:val="24"/>
        </w:rPr>
      </w:pPr>
      <w:r>
        <w:rPr>
          <w:rFonts w:hint="eastAsia" w:ascii="宋体" w:hAnsi="宋体" w:cs="宋体"/>
          <w:color w:val="auto"/>
          <w:sz w:val="24"/>
        </w:rPr>
        <w:t>                       法定代表人</w:t>
      </w:r>
      <w:r>
        <w:rPr>
          <w:rFonts w:hint="eastAsia" w:ascii="宋体" w:hAnsi="宋体" w:cs="宋体"/>
          <w:color w:val="auto"/>
          <w:sz w:val="24"/>
          <w:szCs w:val="20"/>
        </w:rPr>
        <w:t>签字、签章或印鉴</w:t>
      </w:r>
      <w:r>
        <w:rPr>
          <w:rFonts w:hint="eastAsia" w:ascii="宋体" w:hAnsi="宋体" w:cs="宋体"/>
          <w:color w:val="auto"/>
          <w:sz w:val="24"/>
        </w:rPr>
        <w:t>：</w:t>
      </w:r>
    </w:p>
    <w:p w14:paraId="791F59A3">
      <w:pPr>
        <w:spacing w:line="560" w:lineRule="exact"/>
        <w:ind w:firstLine="4320"/>
        <w:rPr>
          <w:rFonts w:ascii="宋体" w:hAnsi="宋体" w:cs="宋体"/>
          <w:color w:val="auto"/>
          <w:sz w:val="24"/>
        </w:rPr>
      </w:pPr>
      <w:r>
        <w:rPr>
          <w:rFonts w:hint="eastAsia" w:ascii="宋体" w:hAnsi="宋体" w:cs="宋体"/>
          <w:color w:val="auto"/>
          <w:sz w:val="24"/>
        </w:rPr>
        <w:t>日期：    年    月    日</w:t>
      </w:r>
    </w:p>
    <w:p w14:paraId="68592FF4">
      <w:pPr>
        <w:widowControl/>
        <w:jc w:val="left"/>
        <w:rPr>
          <w:rFonts w:ascii="宋体" w:hAnsi="宋体" w:cs="宋体"/>
          <w:color w:val="auto"/>
          <w:sz w:val="24"/>
        </w:rPr>
      </w:pPr>
    </w:p>
    <w:p w14:paraId="2CF40204">
      <w:pPr>
        <w:widowControl/>
        <w:jc w:val="left"/>
        <w:rPr>
          <w:rFonts w:ascii="宋体" w:hAnsi="宋体" w:cs="宋体"/>
          <w:color w:val="auto"/>
          <w:sz w:val="24"/>
        </w:rPr>
      </w:pPr>
    </w:p>
    <w:p w14:paraId="1C73C700">
      <w:pPr>
        <w:widowControl/>
        <w:jc w:val="left"/>
        <w:rPr>
          <w:rFonts w:ascii="宋体" w:hAnsi="宋体" w:cs="宋体"/>
          <w:color w:val="auto"/>
          <w:sz w:val="24"/>
        </w:rPr>
      </w:pPr>
    </w:p>
    <w:p w14:paraId="146ABDC0">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说明：</w:t>
      </w:r>
    </w:p>
    <w:p w14:paraId="3FA72EF7">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1.若供应商为事业单位或其他组织或分支机构（仅当招标文件注明允许分支机构投标的），则法定代表人（单位负责人）处的签署人可为单位负责人。</w:t>
      </w:r>
    </w:p>
    <w:p w14:paraId="1FA837F9">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2.供应商为自然人的情形，可不提供本《授权委托书》。</w:t>
      </w:r>
    </w:p>
    <w:p w14:paraId="7A129C27">
      <w:pPr>
        <w:pStyle w:val="4"/>
        <w:jc w:val="both"/>
        <w:rPr>
          <w:rFonts w:ascii="宋体" w:hAnsi="宋体" w:eastAsia="宋体" w:cs="宋体"/>
          <w:b w:val="0"/>
          <w:color w:val="auto"/>
          <w:sz w:val="24"/>
          <w:szCs w:val="24"/>
        </w:rPr>
      </w:pPr>
      <w:bookmarkStart w:id="135" w:name="_Toc28890"/>
      <w:r>
        <w:rPr>
          <w:rFonts w:hint="eastAsia" w:ascii="宋体" w:hAnsi="宋体" w:eastAsia="宋体" w:cs="宋体"/>
          <w:b w:val="0"/>
          <w:color w:val="auto"/>
          <w:sz w:val="24"/>
          <w:szCs w:val="24"/>
        </w:rPr>
        <w:br w:type="page" w:clear="all"/>
      </w:r>
      <w:r>
        <w:rPr>
          <w:rFonts w:hint="eastAsia" w:ascii="宋体" w:hAnsi="宋体" w:eastAsia="宋体" w:cs="宋体"/>
          <w:b w:val="0"/>
          <w:color w:val="auto"/>
          <w:sz w:val="24"/>
          <w:szCs w:val="24"/>
        </w:rPr>
        <w:t>3 授权委托书（实质性格式）</w:t>
      </w:r>
      <w:bookmarkEnd w:id="135"/>
    </w:p>
    <w:p w14:paraId="6A3A0CC5">
      <w:pPr>
        <w:spacing w:line="360" w:lineRule="auto"/>
        <w:jc w:val="center"/>
        <w:rPr>
          <w:rFonts w:ascii="宋体" w:hAnsi="宋体" w:cs="宋体"/>
          <w:b/>
          <w:color w:val="auto"/>
          <w:sz w:val="32"/>
          <w:szCs w:val="32"/>
        </w:rPr>
      </w:pPr>
      <w:r>
        <w:rPr>
          <w:rFonts w:hint="eastAsia" w:ascii="宋体" w:hAnsi="宋体" w:cs="宋体"/>
          <w:b/>
          <w:color w:val="auto"/>
          <w:sz w:val="32"/>
          <w:szCs w:val="32"/>
        </w:rPr>
        <w:t>授权委托书</w:t>
      </w:r>
    </w:p>
    <w:p w14:paraId="0E8B5C17">
      <w:pPr>
        <w:spacing w:line="360" w:lineRule="auto"/>
        <w:ind w:firstLine="420"/>
        <w:rPr>
          <w:rFonts w:ascii="宋体" w:hAnsi="宋体" w:cs="宋体"/>
          <w:color w:val="auto"/>
          <w:szCs w:val="21"/>
        </w:rPr>
      </w:pPr>
      <w:r>
        <w:rPr>
          <w:rFonts w:hint="eastAsia" w:ascii="宋体" w:hAnsi="宋体" w:cs="宋体"/>
          <w:color w:val="auto"/>
          <w:szCs w:val="21"/>
        </w:rPr>
        <w:t>本授权委托书声明：___________________________（投标人名称）的_______________________（法定代表人姓名、职务）代表投标人授权_______________________（被授权人的姓名、职务）为</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r>
        <w:rPr>
          <w:rFonts w:hint="eastAsia" w:ascii="宋体" w:hAnsi="宋体" w:cs="宋体"/>
          <w:color w:val="auto"/>
          <w:szCs w:val="21"/>
          <w:u w:val="single"/>
        </w:rPr>
        <w:t>）</w:t>
      </w:r>
      <w:r>
        <w:rPr>
          <w:rFonts w:hint="eastAsia" w:ascii="宋体" w:hAnsi="宋体" w:cs="宋体"/>
          <w:color w:val="auto"/>
          <w:szCs w:val="21"/>
        </w:rPr>
        <w:t>项目投标的合法代理人，全权负责参加本次政府采购项目的投标、签订合约以及与之相关的各项工作。本投标人对代理人的所有签名负全部责任。</w:t>
      </w:r>
    </w:p>
    <w:p w14:paraId="24998FA9">
      <w:pPr>
        <w:spacing w:line="360" w:lineRule="auto"/>
        <w:ind w:firstLine="420"/>
        <w:rPr>
          <w:rFonts w:ascii="宋体" w:hAnsi="宋体" w:cs="宋体"/>
          <w:color w:val="auto"/>
          <w:szCs w:val="21"/>
        </w:rPr>
      </w:pPr>
      <w:r>
        <w:rPr>
          <w:rFonts w:hint="eastAsia" w:ascii="宋体" w:hAnsi="宋体" w:cs="宋体"/>
          <w:color w:val="auto"/>
          <w:szCs w:val="21"/>
        </w:rPr>
        <w:t>本授权书于__________年_______月________日签字生效，特此声明。</w:t>
      </w:r>
    </w:p>
    <w:p w14:paraId="055EE67A">
      <w:pPr>
        <w:spacing w:line="360" w:lineRule="auto"/>
        <w:rPr>
          <w:rFonts w:ascii="宋体" w:hAnsi="宋体" w:cs="宋体"/>
          <w:color w:val="auto"/>
          <w:szCs w:val="21"/>
        </w:rPr>
      </w:pPr>
    </w:p>
    <w:p w14:paraId="4C4E8980">
      <w:pPr>
        <w:spacing w:line="360" w:lineRule="auto"/>
        <w:rPr>
          <w:rFonts w:ascii="宋体" w:hAnsi="宋体" w:cs="宋体"/>
          <w:color w:val="auto"/>
          <w:szCs w:val="21"/>
        </w:rPr>
      </w:pPr>
      <w:r>
        <w:rPr>
          <w:rFonts w:hint="eastAsia" w:ascii="宋体" w:hAnsi="宋体" w:cs="宋体"/>
          <w:color w:val="auto"/>
          <w:szCs w:val="21"/>
        </w:rPr>
        <w:t>法定代表人签字或盖章：                    日期：</w:t>
      </w:r>
    </w:p>
    <w:p w14:paraId="768D0612">
      <w:pPr>
        <w:spacing w:line="360" w:lineRule="auto"/>
        <w:rPr>
          <w:rFonts w:ascii="宋体" w:hAnsi="宋体" w:cs="宋体"/>
          <w:color w:val="auto"/>
          <w:szCs w:val="21"/>
        </w:rPr>
      </w:pPr>
      <w:r>
        <w:rPr>
          <w:rFonts w:hint="eastAsia" w:ascii="宋体" w:hAnsi="宋体" w:cs="宋体"/>
          <w:color w:val="auto"/>
          <w:szCs w:val="21"/>
        </w:rPr>
        <w:t>职务：                          联系电话：</w:t>
      </w:r>
    </w:p>
    <w:p w14:paraId="70326C22">
      <w:pPr>
        <w:spacing w:line="360" w:lineRule="auto"/>
        <w:rPr>
          <w:rFonts w:ascii="宋体" w:hAnsi="宋体" w:cs="宋体"/>
          <w:color w:val="auto"/>
          <w:szCs w:val="21"/>
        </w:rPr>
      </w:pPr>
      <w:r>
        <w:rPr>
          <w:rFonts w:hint="eastAsia" w:ascii="宋体" w:hAnsi="宋体" w:cs="宋体"/>
          <w:color w:val="auto"/>
          <w:szCs w:val="21"/>
        </w:rPr>
        <w:t>单位名称：                      地址：</w:t>
      </w:r>
    </w:p>
    <w:p w14:paraId="1367E378">
      <w:pPr>
        <w:spacing w:line="360" w:lineRule="auto"/>
        <w:rPr>
          <w:rFonts w:ascii="宋体" w:hAnsi="宋体" w:cs="宋体"/>
          <w:color w:val="auto"/>
          <w:szCs w:val="21"/>
        </w:rPr>
      </w:pPr>
      <w:r>
        <w:rPr>
          <w:rFonts w:hint="eastAsia" w:ascii="宋体" w:hAnsi="宋体" w:cs="宋体"/>
          <w:color w:val="auto"/>
          <w:szCs w:val="21"/>
        </w:rPr>
        <w:t>身份证号码：</w:t>
      </w:r>
    </w:p>
    <w:p w14:paraId="743D64ED">
      <w:pPr>
        <w:spacing w:line="360" w:lineRule="auto"/>
        <w:rPr>
          <w:rFonts w:ascii="宋体" w:hAnsi="宋体" w:cs="宋体"/>
          <w:color w:val="auto"/>
          <w:szCs w:val="21"/>
        </w:rPr>
      </w:pPr>
    </w:p>
    <w:p w14:paraId="59DDFF82">
      <w:pPr>
        <w:spacing w:line="360" w:lineRule="auto"/>
        <w:rPr>
          <w:rFonts w:ascii="宋体" w:hAnsi="宋体" w:cs="宋体"/>
          <w:color w:val="auto"/>
          <w:szCs w:val="21"/>
        </w:rPr>
      </w:pPr>
      <w:r>
        <w:rPr>
          <w:rFonts w:hint="eastAsia" w:ascii="宋体" w:hAnsi="宋体" w:cs="宋体"/>
          <w:color w:val="auto"/>
          <w:szCs w:val="21"/>
        </w:rPr>
        <w:t>委托代理人签字或盖章：                    日期：</w:t>
      </w:r>
    </w:p>
    <w:p w14:paraId="61FAB7D6">
      <w:pPr>
        <w:spacing w:line="360" w:lineRule="auto"/>
        <w:rPr>
          <w:rFonts w:ascii="宋体" w:hAnsi="宋体" w:cs="宋体"/>
          <w:color w:val="auto"/>
          <w:szCs w:val="21"/>
        </w:rPr>
      </w:pPr>
      <w:r>
        <w:rPr>
          <w:rFonts w:hint="eastAsia" w:ascii="宋体" w:hAnsi="宋体" w:cs="宋体"/>
          <w:color w:val="auto"/>
          <w:szCs w:val="21"/>
        </w:rPr>
        <w:t>职务：                         联系电话：</w:t>
      </w:r>
    </w:p>
    <w:p w14:paraId="0FB56A1A">
      <w:pPr>
        <w:spacing w:line="360" w:lineRule="auto"/>
        <w:rPr>
          <w:rFonts w:ascii="宋体" w:hAnsi="宋体" w:cs="宋体"/>
          <w:color w:val="auto"/>
          <w:szCs w:val="21"/>
        </w:rPr>
      </w:pPr>
      <w:r>
        <w:rPr>
          <w:rFonts w:hint="eastAsia" w:ascii="宋体" w:hAnsi="宋体" w:cs="宋体"/>
          <w:color w:val="auto"/>
          <w:szCs w:val="21"/>
        </w:rPr>
        <w:t>单位名称：                         地址：</w:t>
      </w:r>
    </w:p>
    <w:p w14:paraId="4644D18D">
      <w:pPr>
        <w:spacing w:line="360" w:lineRule="auto"/>
        <w:rPr>
          <w:rFonts w:ascii="宋体" w:hAnsi="宋体" w:cs="宋体"/>
          <w:color w:val="auto"/>
          <w:szCs w:val="21"/>
        </w:rPr>
      </w:pPr>
      <w:r>
        <w:rPr>
          <w:rFonts w:hint="eastAsia" w:ascii="宋体" w:hAnsi="宋体" w:cs="宋体"/>
          <w:color w:val="auto"/>
          <w:szCs w:val="21"/>
        </w:rPr>
        <w:t>身份证号码：</w:t>
      </w:r>
    </w:p>
    <w:p w14:paraId="049CC539">
      <w:pPr>
        <w:spacing w:line="360" w:lineRule="auto"/>
        <w:rPr>
          <w:rFonts w:ascii="宋体" w:hAnsi="宋体" w:cs="宋体"/>
          <w:color w:val="auto"/>
          <w:szCs w:val="21"/>
        </w:rPr>
      </w:pPr>
      <w:r>
        <w:rPr>
          <w:rFonts w:hint="eastAsia" w:ascii="宋体" w:hAnsi="宋体" w:cs="宋体"/>
          <w:color w:val="auto"/>
          <w:szCs w:val="21"/>
        </w:rPr>
        <w:t>投标人公章：</w:t>
      </w:r>
    </w:p>
    <w:p w14:paraId="0E32D8AD">
      <w:pPr>
        <w:spacing w:line="360" w:lineRule="auto"/>
        <w:rPr>
          <w:rFonts w:ascii="宋体" w:hAnsi="宋体" w:cs="宋体"/>
          <w:color w:val="auto"/>
          <w:szCs w:val="21"/>
        </w:rPr>
      </w:pPr>
      <w:r>
        <w:rPr>
          <w:rFonts w:hint="eastAsia" w:ascii="宋体" w:hAnsi="宋体" w:cs="宋体"/>
          <w:color w:val="auto"/>
          <w:szCs w:val="21"/>
        </w:rPr>
        <w:t>地址：                        联系电话：</w:t>
      </w:r>
    </w:p>
    <w:p w14:paraId="58FA8AE9">
      <w:pPr>
        <w:spacing w:line="360" w:lineRule="auto"/>
        <w:rPr>
          <w:rFonts w:ascii="宋体" w:hAnsi="宋体" w:cs="宋体"/>
          <w:color w:val="auto"/>
          <w:szCs w:val="21"/>
        </w:rPr>
      </w:pPr>
      <w:r>
        <w:rPr>
          <w:rFonts w:hint="eastAsia" w:ascii="宋体" w:hAnsi="宋体" w:cs="宋体"/>
          <w:color w:val="auto"/>
          <w:szCs w:val="21"/>
        </w:rPr>
        <w:t>传真：                          邮编：</w:t>
      </w:r>
    </w:p>
    <w:p w14:paraId="580EE06E">
      <w:pPr>
        <w:spacing w:line="360" w:lineRule="auto"/>
        <w:rPr>
          <w:rFonts w:ascii="宋体" w:hAnsi="宋体" w:cs="宋体"/>
          <w:color w:val="auto"/>
          <w:szCs w:val="21"/>
        </w:rPr>
      </w:pPr>
      <w:r>
        <w:rPr>
          <w:rFonts w:hint="eastAsia" w:ascii="宋体" w:hAnsi="宋体" w:cs="宋体"/>
          <w:color w:val="auto"/>
          <w:szCs w:val="21"/>
        </w:rPr>
        <w:t>开户行：</w:t>
      </w:r>
    </w:p>
    <w:p w14:paraId="001DED9D">
      <w:pPr>
        <w:spacing w:line="360" w:lineRule="auto"/>
        <w:rPr>
          <w:rFonts w:ascii="宋体" w:hAnsi="宋体" w:cs="宋体"/>
          <w:color w:val="auto"/>
          <w:szCs w:val="21"/>
        </w:rPr>
      </w:pPr>
      <w:r>
        <w:rPr>
          <w:rFonts w:hint="eastAsia" w:ascii="宋体" w:hAnsi="宋体" w:cs="宋体"/>
          <w:color w:val="auto"/>
          <w:szCs w:val="21"/>
        </w:rPr>
        <w:t>帐号：</w:t>
      </w:r>
    </w:p>
    <w:p w14:paraId="7266105A">
      <w:pPr>
        <w:spacing w:line="360" w:lineRule="auto"/>
        <w:rPr>
          <w:rFonts w:ascii="宋体" w:hAnsi="宋体" w:cs="宋体"/>
          <w:color w:val="auto"/>
          <w:szCs w:val="21"/>
        </w:rPr>
      </w:pPr>
    </w:p>
    <w:p w14:paraId="3E7A1669">
      <w:pPr>
        <w:spacing w:line="360" w:lineRule="auto"/>
        <w:rPr>
          <w:rFonts w:ascii="宋体" w:hAnsi="宋体" w:cs="宋体"/>
          <w:color w:val="auto"/>
          <w:szCs w:val="21"/>
        </w:rPr>
      </w:pPr>
      <w:r>
        <w:rPr>
          <w:rFonts w:hint="eastAsia" w:ascii="宋体" w:hAnsi="宋体" w:cs="宋体"/>
          <w:color w:val="auto"/>
          <w:szCs w:val="21"/>
        </w:rPr>
        <w:t>代理人身份证（复印件）粘贴处</w:t>
      </w:r>
    </w:p>
    <w:p w14:paraId="18476269">
      <w:pPr>
        <w:spacing w:line="360" w:lineRule="auto"/>
        <w:rPr>
          <w:rFonts w:ascii="宋体" w:hAnsi="宋体" w:cs="宋体"/>
          <w:color w:val="auto"/>
          <w:szCs w:val="21"/>
        </w:rPr>
      </w:pPr>
    </w:p>
    <w:p w14:paraId="54F69459">
      <w:pPr>
        <w:spacing w:line="360" w:lineRule="auto"/>
        <w:rPr>
          <w:rFonts w:ascii="宋体" w:hAnsi="宋体" w:cs="宋体"/>
          <w:color w:val="auto"/>
          <w:szCs w:val="21"/>
        </w:rPr>
      </w:pPr>
      <w:r>
        <w:rPr>
          <w:rFonts w:hint="eastAsia" w:ascii="宋体" w:hAnsi="宋体" w:cs="宋体"/>
          <w:color w:val="auto"/>
          <w:szCs w:val="21"/>
        </w:rPr>
        <w:t>备注：</w:t>
      </w:r>
    </w:p>
    <w:p w14:paraId="6AD98350">
      <w:pPr>
        <w:spacing w:line="360" w:lineRule="auto"/>
        <w:rPr>
          <w:rFonts w:ascii="宋体" w:hAnsi="宋体" w:cs="宋体"/>
          <w:color w:val="auto"/>
          <w:szCs w:val="21"/>
        </w:rPr>
      </w:pPr>
      <w:r>
        <w:rPr>
          <w:rFonts w:hint="eastAsia" w:ascii="宋体" w:hAnsi="宋体" w:cs="宋体"/>
          <w:color w:val="auto"/>
          <w:szCs w:val="21"/>
        </w:rPr>
        <w:t>1．法定代表人参加投标时，提供法人资格证明和本人身份证原件。</w:t>
      </w:r>
    </w:p>
    <w:p w14:paraId="622C9109">
      <w:pPr>
        <w:spacing w:line="360" w:lineRule="auto"/>
        <w:rPr>
          <w:rFonts w:ascii="宋体" w:hAnsi="宋体" w:cs="宋体"/>
          <w:color w:val="auto"/>
          <w:szCs w:val="21"/>
        </w:rPr>
      </w:pPr>
      <w:r>
        <w:rPr>
          <w:rFonts w:hint="eastAsia" w:ascii="宋体" w:hAnsi="宋体" w:cs="宋体"/>
          <w:color w:val="auto"/>
          <w:szCs w:val="21"/>
        </w:rPr>
        <w:t>2．委托代理人参加投标时，提供授权委托书和本人身份证原件。</w:t>
      </w:r>
      <w:r>
        <w:rPr>
          <w:rFonts w:hint="eastAsia" w:ascii="宋体" w:hAnsi="宋体" w:cs="宋体"/>
          <w:color w:val="auto"/>
          <w:szCs w:val="21"/>
          <w:lang w:val="zh-CN"/>
        </w:rPr>
        <w:t>需附该委托代理人投标前连续三个月缴纳养老保险的证明复印件；委托代理人为中国境外公民，则无需提供缴纳养老保险的证明。本项在委托代理时必须提供，否则视为投标无效。（原公标要求）</w:t>
      </w:r>
    </w:p>
    <w:p w14:paraId="2C58E706">
      <w:pPr>
        <w:widowControl/>
        <w:jc w:val="left"/>
        <w:rPr>
          <w:rFonts w:hint="eastAsia" w:ascii="宋体" w:hAnsi="宋体" w:cs="宋体"/>
          <w:color w:val="auto"/>
          <w:sz w:val="24"/>
        </w:rPr>
      </w:pPr>
    </w:p>
    <w:p w14:paraId="50105AC3">
      <w:pPr>
        <w:widowControl/>
        <w:jc w:val="left"/>
        <w:rPr>
          <w:rFonts w:hint="eastAsia" w:ascii="宋体" w:hAnsi="宋体" w:cs="宋体"/>
          <w:color w:val="auto"/>
          <w:sz w:val="24"/>
        </w:rPr>
      </w:pPr>
    </w:p>
    <w:p w14:paraId="1061045C">
      <w:pPr>
        <w:widowControl/>
        <w:jc w:val="left"/>
        <w:rPr>
          <w:rFonts w:hint="eastAsia" w:ascii="宋体" w:hAnsi="宋体" w:cs="宋体"/>
          <w:color w:val="auto"/>
          <w:sz w:val="24"/>
        </w:rPr>
      </w:pPr>
    </w:p>
    <w:p w14:paraId="15CEE948">
      <w:pPr>
        <w:widowControl/>
        <w:jc w:val="left"/>
        <w:rPr>
          <w:rFonts w:hint="eastAsia" w:ascii="宋体" w:hAnsi="宋体" w:cs="宋体"/>
          <w:color w:val="auto"/>
          <w:sz w:val="24"/>
        </w:rPr>
      </w:pPr>
    </w:p>
    <w:p w14:paraId="0BFFAEC2">
      <w:pPr>
        <w:widowControl/>
        <w:jc w:val="left"/>
        <w:rPr>
          <w:rFonts w:hint="eastAsia" w:ascii="宋体" w:hAnsi="宋体" w:cs="宋体"/>
          <w:color w:val="auto"/>
          <w:sz w:val="24"/>
        </w:rPr>
      </w:pPr>
    </w:p>
    <w:p w14:paraId="5D5FDCD2">
      <w:pPr>
        <w:widowControl/>
        <w:jc w:val="left"/>
        <w:rPr>
          <w:rFonts w:ascii="宋体" w:hAnsi="宋体" w:cs="宋体"/>
          <w:b/>
          <w:color w:val="auto"/>
          <w:sz w:val="32"/>
          <w:szCs w:val="32"/>
        </w:rPr>
      </w:pPr>
      <w:r>
        <w:rPr>
          <w:rFonts w:hint="eastAsia" w:ascii="宋体" w:hAnsi="宋体" w:cs="宋体"/>
          <w:color w:val="auto"/>
          <w:sz w:val="24"/>
        </w:rPr>
        <w:t>4  政府采购供应商信用承诺书</w:t>
      </w:r>
      <w:r>
        <w:rPr>
          <w:rFonts w:hint="eastAsia" w:ascii="宋体" w:hAnsi="宋体" w:cs="宋体"/>
          <w:color w:val="auto"/>
          <w:sz w:val="24"/>
          <w:szCs w:val="20"/>
        </w:rPr>
        <w:t>（实质性格式）</w:t>
      </w:r>
    </w:p>
    <w:p w14:paraId="651E327A">
      <w:pPr>
        <w:spacing w:line="560" w:lineRule="exact"/>
        <w:ind w:firstLine="321"/>
        <w:jc w:val="center"/>
        <w:rPr>
          <w:rFonts w:ascii="宋体" w:hAnsi="宋体" w:cs="宋体"/>
          <w:b/>
          <w:color w:val="auto"/>
          <w:sz w:val="32"/>
          <w:szCs w:val="32"/>
        </w:rPr>
      </w:pPr>
      <w:r>
        <w:rPr>
          <w:rFonts w:hint="eastAsia" w:ascii="宋体" w:hAnsi="宋体" w:cs="宋体"/>
          <w:b/>
          <w:color w:val="auto"/>
          <w:sz w:val="32"/>
          <w:szCs w:val="32"/>
        </w:rPr>
        <w:t>政府采购供应商信用承诺书</w:t>
      </w:r>
    </w:p>
    <w:p w14:paraId="40F649D7">
      <w:pPr>
        <w:ind w:firstLine="640"/>
        <w:rPr>
          <w:rFonts w:ascii="宋体" w:hAnsi="宋体" w:cs="宋体"/>
          <w:color w:val="auto"/>
        </w:rPr>
      </w:pPr>
    </w:p>
    <w:p w14:paraId="472FD6F7">
      <w:pPr>
        <w:spacing w:line="276" w:lineRule="auto"/>
        <w:ind w:firstLine="480"/>
        <w:rPr>
          <w:rFonts w:ascii="宋体" w:hAnsi="宋体" w:cs="宋体"/>
          <w:color w:val="auto"/>
          <w:sz w:val="24"/>
        </w:rPr>
      </w:pPr>
      <w:r>
        <w:rPr>
          <w:rFonts w:hint="eastAsia" w:ascii="宋体" w:hAnsi="宋体" w:cs="宋体"/>
          <w:color w:val="auto"/>
          <w:sz w:val="24"/>
        </w:rPr>
        <w:t>为维护公开、公平、公正的政府采购市场秩序，树立诚实守信的供应商形象，本单位在参与政府采购活动中,自愿作出以下承诺：</w:t>
      </w:r>
    </w:p>
    <w:p w14:paraId="3C30D952">
      <w:pPr>
        <w:spacing w:line="276" w:lineRule="auto"/>
        <w:ind w:firstLine="480"/>
        <w:rPr>
          <w:rFonts w:ascii="宋体" w:hAnsi="宋体" w:cs="宋体"/>
          <w:color w:val="auto"/>
          <w:sz w:val="24"/>
        </w:rPr>
      </w:pPr>
      <w:r>
        <w:rPr>
          <w:rFonts w:hint="eastAsia" w:ascii="宋体" w:hAnsi="宋体" w:cs="宋体"/>
          <w:color w:val="auto"/>
          <w:sz w:val="24"/>
        </w:rPr>
        <w:t>一、严格遵守国家法律、法规和规章，全面履行应尽的责任和义务，全面做到履约守信，具备《政府采购法》第二十二条第一款规定的条件。</w:t>
      </w:r>
    </w:p>
    <w:p w14:paraId="57C4E70F">
      <w:pPr>
        <w:spacing w:line="276" w:lineRule="auto"/>
        <w:ind w:firstLine="480"/>
        <w:rPr>
          <w:rFonts w:ascii="宋体" w:hAnsi="宋体" w:cs="宋体"/>
          <w:color w:val="auto"/>
          <w:sz w:val="24"/>
        </w:rPr>
      </w:pPr>
      <w:r>
        <w:rPr>
          <w:rFonts w:hint="eastAsia" w:ascii="宋体" w:hAnsi="宋体" w:cs="宋体"/>
          <w:color w:val="auto"/>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65B54B7C">
      <w:pPr>
        <w:spacing w:line="276" w:lineRule="auto"/>
        <w:ind w:firstLine="480"/>
        <w:rPr>
          <w:rFonts w:ascii="宋体" w:hAnsi="宋体" w:cs="宋体"/>
          <w:color w:val="auto"/>
          <w:sz w:val="24"/>
        </w:rPr>
      </w:pPr>
      <w:r>
        <w:rPr>
          <w:rFonts w:hint="eastAsia" w:ascii="宋体" w:hAnsi="宋体" w:cs="宋体"/>
          <w:color w:val="auto"/>
          <w:sz w:val="24"/>
        </w:rPr>
        <w:t>三、本单位提供给注册登记部门、行业管理部门、司法部门、行业组织以及在政府采购活动中提交的所有资料均合法、真实、有效，无任何伪造、修改、虚假成份，并对所提供资料的真实性负责。</w:t>
      </w:r>
    </w:p>
    <w:p w14:paraId="35F830E3">
      <w:pPr>
        <w:spacing w:line="276" w:lineRule="auto"/>
        <w:ind w:firstLine="480"/>
        <w:rPr>
          <w:rFonts w:ascii="宋体" w:hAnsi="宋体" w:cs="宋体"/>
          <w:color w:val="auto"/>
          <w:sz w:val="24"/>
        </w:rPr>
      </w:pPr>
      <w:r>
        <w:rPr>
          <w:rFonts w:hint="eastAsia" w:ascii="宋体" w:hAnsi="宋体" w:cs="宋体"/>
          <w:color w:val="auto"/>
          <w:sz w:val="24"/>
        </w:rPr>
        <w:t>四、严格依法开展生产经营活动，主动接受行业监管，自愿接受依法开展的日常检查；违法失信经营后将自愿接受约束和惩戒，并依法承担相应责任。</w:t>
      </w:r>
    </w:p>
    <w:p w14:paraId="08E0FC48">
      <w:pPr>
        <w:spacing w:line="276" w:lineRule="auto"/>
        <w:ind w:firstLine="480"/>
        <w:rPr>
          <w:rFonts w:ascii="宋体" w:hAnsi="宋体" w:cs="宋体"/>
          <w:color w:val="auto"/>
          <w:sz w:val="24"/>
        </w:rPr>
      </w:pPr>
      <w:r>
        <w:rPr>
          <w:rFonts w:hint="eastAsia" w:ascii="宋体" w:hAnsi="宋体" w:cs="宋体"/>
          <w:color w:val="auto"/>
          <w:sz w:val="24"/>
        </w:rPr>
        <w:t xml:space="preserve">五、承诺本单位自觉接受行政管理部门、行业组织、社会公众、新闻舆论的监督。 </w:t>
      </w:r>
    </w:p>
    <w:p w14:paraId="0E9BEF57">
      <w:pPr>
        <w:spacing w:line="276" w:lineRule="auto"/>
        <w:ind w:firstLine="480"/>
        <w:rPr>
          <w:rFonts w:ascii="宋体" w:hAnsi="宋体" w:cs="宋体"/>
          <w:color w:val="auto"/>
          <w:sz w:val="24"/>
        </w:rPr>
      </w:pPr>
      <w:r>
        <w:rPr>
          <w:rFonts w:hint="eastAsia" w:ascii="宋体" w:hAnsi="宋体" w:cs="宋体"/>
          <w:color w:val="auto"/>
          <w:sz w:val="24"/>
        </w:rPr>
        <w:t xml:space="preserve">六、承诺本单位自我约束、自我管理，重合同、守信用，不制假售假、商标侵权、虚假宣传、违约毁约、恶意逃债、偷税漏税、价格欺诈、垄断和不正当竞争，维护经营者、消费者的合法权益。 </w:t>
      </w:r>
    </w:p>
    <w:p w14:paraId="2EC4F5EE">
      <w:pPr>
        <w:spacing w:line="276" w:lineRule="auto"/>
        <w:ind w:firstLine="480"/>
        <w:rPr>
          <w:rFonts w:ascii="宋体" w:hAnsi="宋体" w:cs="宋体"/>
          <w:color w:val="auto"/>
          <w:sz w:val="24"/>
        </w:rPr>
      </w:pPr>
      <w:r>
        <w:rPr>
          <w:rFonts w:hint="eastAsia" w:ascii="宋体" w:hAnsi="宋体" w:cs="宋体"/>
          <w:color w:val="auto"/>
          <w:sz w:val="24"/>
        </w:rPr>
        <w:t xml:space="preserve">七、承诺本单位在信用中国（江苏）网站中无违法违规、较重或严重失信记录。 </w:t>
      </w:r>
    </w:p>
    <w:p w14:paraId="261F2E2D">
      <w:pPr>
        <w:spacing w:line="276" w:lineRule="auto"/>
        <w:ind w:firstLine="480"/>
        <w:rPr>
          <w:rFonts w:ascii="宋体" w:hAnsi="宋体" w:cs="宋体"/>
          <w:color w:val="auto"/>
          <w:sz w:val="24"/>
        </w:rPr>
      </w:pPr>
      <w:r>
        <w:rPr>
          <w:rFonts w:hint="eastAsia" w:ascii="宋体" w:hAnsi="宋体" w:cs="宋体"/>
          <w:color w:val="auto"/>
          <w:sz w:val="24"/>
        </w:rPr>
        <w:t>八、承诺本单位提出政府采购质疑和投诉坚持依法依规、诚实信用原则。</w:t>
      </w:r>
    </w:p>
    <w:p w14:paraId="13CCB3F1">
      <w:pPr>
        <w:spacing w:line="276" w:lineRule="auto"/>
        <w:ind w:firstLine="480"/>
        <w:rPr>
          <w:rFonts w:ascii="宋体" w:hAnsi="宋体" w:cs="宋体"/>
          <w:color w:val="auto"/>
          <w:sz w:val="24"/>
        </w:rPr>
      </w:pPr>
      <w:r>
        <w:rPr>
          <w:rFonts w:hint="eastAsia" w:ascii="宋体" w:hAnsi="宋体" w:cs="宋体"/>
          <w:color w:val="auto"/>
          <w:sz w:val="24"/>
        </w:rPr>
        <w:t xml:space="preserve">九、根据政府采购相关法律法规的规定需要作出的其他承诺。 </w:t>
      </w:r>
    </w:p>
    <w:p w14:paraId="686F646A">
      <w:pPr>
        <w:spacing w:line="276" w:lineRule="auto"/>
        <w:ind w:firstLine="480"/>
        <w:rPr>
          <w:rFonts w:ascii="宋体" w:hAnsi="宋体" w:cs="宋体"/>
          <w:color w:val="auto"/>
          <w:sz w:val="24"/>
        </w:rPr>
      </w:pPr>
      <w:r>
        <w:rPr>
          <w:rFonts w:hint="eastAsia" w:ascii="宋体" w:hAnsi="宋体" w:cs="宋体"/>
          <w:color w:val="auto"/>
          <w:sz w:val="24"/>
        </w:rPr>
        <w:t>十、承诺本单位若违背承诺约定，经查实，愿意接受行业主管部门和信用管理部门相应的规定处罚，承担违约责任，并依法承担相应的法律责任。</w:t>
      </w:r>
    </w:p>
    <w:p w14:paraId="3554823A">
      <w:pPr>
        <w:spacing w:line="276" w:lineRule="auto"/>
        <w:ind w:firstLine="480"/>
        <w:rPr>
          <w:rFonts w:ascii="宋体" w:hAnsi="宋体" w:cs="宋体"/>
          <w:color w:val="auto"/>
          <w:sz w:val="24"/>
        </w:rPr>
      </w:pPr>
      <w:r>
        <w:rPr>
          <w:rFonts w:hint="eastAsia" w:ascii="宋体" w:hAnsi="宋体" w:cs="宋体"/>
          <w:color w:val="auto"/>
          <w:sz w:val="24"/>
        </w:rPr>
        <w:t>十一、承诺本单位同意将以上承诺事项上网公示，违背承诺约定行为将作为失信信息，记录到常州市公共信用信息系统，并予以公开。</w:t>
      </w:r>
    </w:p>
    <w:p w14:paraId="18EF45B2">
      <w:pPr>
        <w:pStyle w:val="343"/>
        <w:spacing w:line="276" w:lineRule="auto"/>
        <w:ind w:right="1050" w:firstLine="2880"/>
        <w:jc w:val="both"/>
        <w:rPr>
          <w:rFonts w:ascii="宋体" w:hAnsi="宋体" w:eastAsia="宋体" w:cs="宋体"/>
          <w:color w:val="auto"/>
          <w:sz w:val="24"/>
          <w:szCs w:val="22"/>
        </w:rPr>
      </w:pPr>
    </w:p>
    <w:p w14:paraId="7F3BCD2B">
      <w:pPr>
        <w:spacing w:before="25" w:after="25" w:line="360" w:lineRule="auto"/>
        <w:rPr>
          <w:rFonts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：____________</w:t>
      </w:r>
    </w:p>
    <w:p w14:paraId="06E8439D">
      <w:pPr>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日期：_____年_____月_____日   </w:t>
      </w:r>
    </w:p>
    <w:p w14:paraId="17C2AF7F">
      <w:pPr>
        <w:widowControl/>
        <w:jc w:val="left"/>
        <w:rPr>
          <w:rFonts w:ascii="宋体" w:hAnsi="宋体" w:cs="宋体"/>
          <w:color w:val="auto"/>
          <w:sz w:val="24"/>
          <w:szCs w:val="20"/>
        </w:rPr>
      </w:pPr>
      <w:bookmarkStart w:id="136" w:name="_Hlt520273711"/>
      <w:bookmarkEnd w:id="136"/>
      <w:bookmarkStart w:id="137" w:name="_Hlt520350918"/>
      <w:bookmarkEnd w:id="137"/>
      <w:bookmarkStart w:id="138" w:name="_Hlt520274065"/>
      <w:bookmarkEnd w:id="138"/>
      <w:bookmarkStart w:id="139" w:name="_Hlt520274393"/>
      <w:bookmarkEnd w:id="139"/>
      <w:bookmarkStart w:id="140" w:name="_Hlt520274407"/>
      <w:bookmarkEnd w:id="140"/>
      <w:bookmarkStart w:id="141" w:name="_Hlt520343000"/>
      <w:bookmarkEnd w:id="141"/>
      <w:bookmarkStart w:id="142" w:name="_Hlt520355504"/>
      <w:bookmarkEnd w:id="142"/>
      <w:bookmarkStart w:id="143" w:name="_Hlt520271212"/>
      <w:bookmarkEnd w:id="143"/>
      <w:bookmarkStart w:id="144" w:name="_Hlt520343392"/>
      <w:bookmarkEnd w:id="144"/>
      <w:bookmarkStart w:id="145" w:name="_Hlt520274121"/>
      <w:bookmarkEnd w:id="145"/>
      <w:bookmarkStart w:id="146" w:name="_Toc520356218"/>
      <w:bookmarkStart w:id="147" w:name="_Ref467988705"/>
      <w:bookmarkStart w:id="148" w:name="_Toc150480795"/>
      <w:bookmarkStart w:id="149" w:name="_Toc150774762"/>
      <w:bookmarkStart w:id="150" w:name="_Toc226309801"/>
      <w:bookmarkStart w:id="151" w:name="_Toc226965747"/>
      <w:bookmarkStart w:id="152" w:name="_Toc305158899"/>
      <w:bookmarkStart w:id="153" w:name="_Toc265228395"/>
      <w:bookmarkStart w:id="154" w:name="_Toc264969247"/>
      <w:bookmarkStart w:id="155" w:name="_Toc305158825"/>
      <w:bookmarkStart w:id="156" w:name="_Toc480942350"/>
      <w:bookmarkStart w:id="157" w:name="_Toc195842922"/>
      <w:bookmarkStart w:id="158" w:name="_Toc142311059"/>
      <w:bookmarkStart w:id="159" w:name="_Toc226965830"/>
      <w:bookmarkStart w:id="160" w:name="_Toc127151557"/>
      <w:bookmarkStart w:id="161" w:name="_Toc226337253"/>
      <w:r>
        <w:rPr>
          <w:rFonts w:hint="eastAsia" w:ascii="宋体" w:hAnsi="宋体" w:cs="宋体"/>
          <w:color w:val="auto"/>
          <w:sz w:val="24"/>
          <w:szCs w:val="20"/>
        </w:rPr>
        <w:br w:type="page" w:clear="all"/>
      </w:r>
      <w:r>
        <w:rPr>
          <w:rFonts w:hint="eastAsia" w:ascii="宋体" w:hAnsi="宋体" w:cs="宋体"/>
          <w:color w:val="auto"/>
          <w:sz w:val="24"/>
          <w:szCs w:val="20"/>
        </w:rPr>
        <w:t>5  开标一览表</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cs="宋体"/>
          <w:color w:val="auto"/>
          <w:sz w:val="24"/>
          <w:szCs w:val="20"/>
        </w:rPr>
        <w:t>（实质性格式）</w:t>
      </w:r>
    </w:p>
    <w:p w14:paraId="065FCEF9">
      <w:pPr>
        <w:spacing w:line="360" w:lineRule="exact"/>
        <w:jc w:val="center"/>
        <w:rPr>
          <w:rFonts w:hint="eastAsia" w:ascii="宋体" w:hAnsi="宋体" w:eastAsia="宋体" w:cs="宋体"/>
          <w:b/>
          <w:color w:val="auto"/>
          <w:sz w:val="36"/>
          <w:szCs w:val="36"/>
          <w:lang w:eastAsia="zh-CN"/>
        </w:rPr>
      </w:pPr>
      <w:bookmarkStart w:id="162" w:name="_Toc265228396"/>
      <w:bookmarkStart w:id="163" w:name="_Toc164608827"/>
      <w:bookmarkStart w:id="164" w:name="_Toc226965748"/>
      <w:bookmarkStart w:id="165" w:name="_Toc164608672"/>
      <w:bookmarkStart w:id="166" w:name="_Toc264969248"/>
      <w:bookmarkStart w:id="167" w:name="_Toc226337254"/>
      <w:bookmarkStart w:id="168" w:name="_Toc305158826"/>
      <w:bookmarkStart w:id="169" w:name="_Toc305158900"/>
      <w:bookmarkStart w:id="170" w:name="_Toc226965831"/>
      <w:bookmarkStart w:id="171" w:name="_Toc226309802"/>
      <w:bookmarkStart w:id="172" w:name="_Toc195842923"/>
      <w:r>
        <w:rPr>
          <w:rFonts w:hint="eastAsia" w:ascii="宋体" w:hAnsi="宋体" w:cs="宋体"/>
          <w:b/>
          <w:color w:val="auto"/>
          <w:sz w:val="36"/>
          <w:szCs w:val="36"/>
        </w:rPr>
        <w:t>开标一览表</w:t>
      </w:r>
      <w:bookmarkEnd w:id="162"/>
      <w:bookmarkEnd w:id="163"/>
      <w:bookmarkEnd w:id="164"/>
      <w:bookmarkEnd w:id="165"/>
      <w:bookmarkEnd w:id="166"/>
      <w:bookmarkEnd w:id="167"/>
      <w:bookmarkEnd w:id="168"/>
      <w:bookmarkEnd w:id="169"/>
      <w:bookmarkEnd w:id="170"/>
      <w:bookmarkEnd w:id="171"/>
      <w:bookmarkEnd w:id="172"/>
    </w:p>
    <w:p w14:paraId="1E9B951A">
      <w:pPr>
        <w:tabs>
          <w:tab w:val="left" w:pos="1800"/>
          <w:tab w:val="left" w:pos="5580"/>
        </w:tabs>
        <w:spacing w:line="360" w:lineRule="auto"/>
        <w:jc w:val="left"/>
        <w:rPr>
          <w:rFonts w:ascii="宋体" w:hAnsi="宋体" w:cs="宋体"/>
          <w:i/>
          <w:color w:val="auto"/>
          <w:sz w:val="24"/>
        </w:rPr>
      </w:pPr>
    </w:p>
    <w:p w14:paraId="2D1633EB">
      <w:pPr>
        <w:tabs>
          <w:tab w:val="left" w:pos="1800"/>
          <w:tab w:val="left" w:pos="5580"/>
        </w:tabs>
        <w:spacing w:line="360" w:lineRule="auto"/>
        <w:ind w:firstLine="240"/>
        <w:jc w:val="left"/>
        <w:rPr>
          <w:rFonts w:ascii="宋体" w:hAnsi="宋体" w:cs="宋体"/>
          <w:color w:val="auto"/>
          <w:sz w:val="24"/>
          <w:u w:val="single"/>
        </w:rPr>
      </w:pPr>
      <w:r>
        <w:rPr>
          <w:rFonts w:hint="eastAsia" w:ascii="宋体" w:hAnsi="宋体" w:cs="宋体"/>
          <w:color w:val="auto"/>
          <w:sz w:val="24"/>
        </w:rPr>
        <w:t>项目编号/包号：_____________________     项目名称：____________</w:t>
      </w:r>
    </w:p>
    <w:p w14:paraId="43C45768">
      <w:pPr>
        <w:jc w:val="left"/>
        <w:rPr>
          <w:rFonts w:ascii="宋体" w:hAnsi="宋体" w:cs="宋体"/>
          <w:color w:val="auto"/>
          <w:sz w:val="24"/>
        </w:rPr>
      </w:pPr>
    </w:p>
    <w:tbl>
      <w:tblPr>
        <w:tblStyle w:val="40"/>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0"/>
        <w:gridCol w:w="3915"/>
        <w:gridCol w:w="3595"/>
      </w:tblGrid>
      <w:tr w14:paraId="7A9CC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582" w:type="pct"/>
            <w:tcBorders>
              <w:top w:val="single" w:color="000000" w:sz="4" w:space="0"/>
              <w:left w:val="single" w:color="000000" w:sz="4" w:space="0"/>
              <w:bottom w:val="single" w:color="000000" w:sz="4" w:space="0"/>
              <w:right w:val="single" w:color="000000" w:sz="4" w:space="0"/>
            </w:tcBorders>
            <w:noWrap w:val="0"/>
            <w:vAlign w:val="center"/>
          </w:tcPr>
          <w:p w14:paraId="77F559AA">
            <w:pPr>
              <w:tabs>
                <w:tab w:val="left" w:pos="1800"/>
                <w:tab w:val="left" w:pos="5580"/>
              </w:tabs>
              <w:spacing w:line="360" w:lineRule="auto"/>
              <w:jc w:val="center"/>
              <w:rPr>
                <w:rFonts w:ascii="宋体" w:hAnsi="宋体" w:cs="宋体"/>
                <w:color w:val="auto"/>
                <w:sz w:val="24"/>
              </w:rPr>
            </w:pPr>
            <w:r>
              <w:rPr>
                <w:rFonts w:hint="eastAsia" w:ascii="宋体" w:hAnsi="宋体" w:cs="宋体"/>
                <w:color w:val="auto"/>
                <w:sz w:val="24"/>
              </w:rPr>
              <w:t>序号</w:t>
            </w:r>
          </w:p>
        </w:tc>
        <w:tc>
          <w:tcPr>
            <w:tcW w:w="2302" w:type="pct"/>
            <w:tcBorders>
              <w:top w:val="single" w:color="000000" w:sz="4" w:space="0"/>
              <w:left w:val="single" w:color="000000" w:sz="4" w:space="0"/>
              <w:bottom w:val="single" w:color="000000" w:sz="4" w:space="0"/>
              <w:right w:val="single" w:color="000000" w:sz="4" w:space="0"/>
            </w:tcBorders>
            <w:noWrap w:val="0"/>
            <w:vAlign w:val="center"/>
          </w:tcPr>
          <w:p w14:paraId="4E6BE4B7">
            <w:pPr>
              <w:tabs>
                <w:tab w:val="left" w:pos="1800"/>
                <w:tab w:val="left" w:pos="5580"/>
              </w:tabs>
              <w:spacing w:line="360" w:lineRule="auto"/>
              <w:jc w:val="center"/>
              <w:rPr>
                <w:rFonts w:ascii="宋体" w:hAnsi="宋体" w:cs="宋体"/>
                <w:color w:val="auto"/>
                <w:sz w:val="24"/>
              </w:rPr>
            </w:pPr>
            <w:r>
              <w:rPr>
                <w:rFonts w:hint="eastAsia" w:ascii="宋体" w:hAnsi="宋体" w:cs="宋体"/>
                <w:color w:val="auto"/>
                <w:sz w:val="24"/>
              </w:rPr>
              <w:t>供应商名称</w:t>
            </w:r>
          </w:p>
        </w:tc>
        <w:tc>
          <w:tcPr>
            <w:tcW w:w="2114" w:type="pct"/>
            <w:tcBorders>
              <w:top w:val="single" w:color="000000" w:sz="4" w:space="0"/>
              <w:left w:val="single" w:color="000000" w:sz="4" w:space="0"/>
              <w:bottom w:val="single" w:color="000000" w:sz="4" w:space="0"/>
              <w:right w:val="single" w:color="000000" w:sz="4" w:space="0"/>
            </w:tcBorders>
            <w:noWrap w:val="0"/>
            <w:vAlign w:val="center"/>
          </w:tcPr>
          <w:p w14:paraId="2CE9AE83">
            <w:pPr>
              <w:tabs>
                <w:tab w:val="left" w:pos="1800"/>
                <w:tab w:val="left" w:pos="5580"/>
              </w:tabs>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整体</w:t>
            </w:r>
            <w:r>
              <w:rPr>
                <w:rFonts w:hint="eastAsia" w:ascii="宋体" w:hAnsi="宋体" w:cs="宋体"/>
                <w:color w:val="auto"/>
                <w:sz w:val="24"/>
              </w:rPr>
              <w:t>下浮率</w:t>
            </w:r>
            <w:r>
              <w:rPr>
                <w:rFonts w:hint="eastAsia" w:ascii="宋体" w:hAnsi="宋体" w:cs="宋体"/>
                <w:color w:val="auto"/>
                <w:sz w:val="24"/>
                <w:lang w:val="en-US" w:eastAsia="zh-CN"/>
              </w:rPr>
              <w:t>%（保留2位小数）</w:t>
            </w:r>
          </w:p>
        </w:tc>
      </w:tr>
      <w:tr w14:paraId="5D885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582" w:type="pct"/>
            <w:tcBorders>
              <w:top w:val="single" w:color="000000" w:sz="4" w:space="0"/>
              <w:left w:val="single" w:color="000000" w:sz="4" w:space="0"/>
              <w:bottom w:val="single" w:color="000000" w:sz="4" w:space="0"/>
              <w:right w:val="single" w:color="000000" w:sz="4" w:space="0"/>
            </w:tcBorders>
            <w:noWrap w:val="0"/>
            <w:vAlign w:val="center"/>
          </w:tcPr>
          <w:p w14:paraId="1F04E16E">
            <w:pPr>
              <w:tabs>
                <w:tab w:val="left" w:pos="1800"/>
                <w:tab w:val="left" w:pos="5580"/>
              </w:tabs>
              <w:spacing w:line="360" w:lineRule="auto"/>
              <w:ind w:firstLine="480"/>
              <w:jc w:val="center"/>
              <w:rPr>
                <w:rFonts w:ascii="宋体" w:hAnsi="宋体" w:cs="宋体"/>
                <w:color w:val="auto"/>
                <w:sz w:val="24"/>
              </w:rPr>
            </w:pPr>
          </w:p>
        </w:tc>
        <w:tc>
          <w:tcPr>
            <w:tcW w:w="2302" w:type="pct"/>
            <w:tcBorders>
              <w:top w:val="single" w:color="000000" w:sz="4" w:space="0"/>
              <w:left w:val="single" w:color="000000" w:sz="4" w:space="0"/>
              <w:bottom w:val="single" w:color="000000" w:sz="4" w:space="0"/>
              <w:right w:val="single" w:color="000000" w:sz="4" w:space="0"/>
            </w:tcBorders>
            <w:noWrap w:val="0"/>
            <w:vAlign w:val="center"/>
          </w:tcPr>
          <w:p w14:paraId="66EFE209">
            <w:pPr>
              <w:tabs>
                <w:tab w:val="left" w:pos="1800"/>
                <w:tab w:val="left" w:pos="5580"/>
              </w:tabs>
              <w:spacing w:line="360" w:lineRule="auto"/>
              <w:ind w:firstLine="480"/>
              <w:jc w:val="center"/>
              <w:rPr>
                <w:rFonts w:ascii="宋体" w:hAnsi="宋体" w:cs="宋体"/>
                <w:color w:val="auto"/>
                <w:sz w:val="24"/>
              </w:rPr>
            </w:pPr>
          </w:p>
        </w:tc>
        <w:tc>
          <w:tcPr>
            <w:tcW w:w="2114" w:type="pct"/>
            <w:tcBorders>
              <w:top w:val="single" w:color="000000" w:sz="4" w:space="0"/>
              <w:left w:val="single" w:color="000000" w:sz="4" w:space="0"/>
              <w:bottom w:val="single" w:color="000000" w:sz="4" w:space="0"/>
              <w:right w:val="single" w:color="000000" w:sz="4" w:space="0"/>
            </w:tcBorders>
            <w:noWrap w:val="0"/>
            <w:vAlign w:val="center"/>
          </w:tcPr>
          <w:p w14:paraId="49465232">
            <w:pPr>
              <w:tabs>
                <w:tab w:val="left" w:pos="1800"/>
                <w:tab w:val="left" w:pos="5580"/>
              </w:tabs>
              <w:spacing w:line="360" w:lineRule="auto"/>
              <w:ind w:firstLine="48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bl>
    <w:p w14:paraId="501DCD31">
      <w:pPr>
        <w:pStyle w:val="16"/>
        <w:rPr>
          <w:rFonts w:ascii="宋体" w:hAnsi="宋体" w:eastAsia="宋体" w:cs="宋体"/>
          <w:color w:val="auto"/>
        </w:rPr>
      </w:pPr>
    </w:p>
    <w:p w14:paraId="7096A983">
      <w:pPr>
        <w:spacing w:before="25" w:after="25" w:line="360" w:lineRule="auto"/>
        <w:rPr>
          <w:rFonts w:hint="eastAsia" w:ascii="宋体" w:hAnsi="宋体" w:cs="宋体"/>
          <w:color w:val="auto"/>
          <w:sz w:val="24"/>
        </w:rPr>
      </w:pPr>
      <w:bookmarkStart w:id="173" w:name="_Toc150774765"/>
      <w:bookmarkStart w:id="174" w:name="_Toc226965752"/>
      <w:bookmarkStart w:id="175" w:name="_Toc226965835"/>
      <w:bookmarkStart w:id="176" w:name="_Toc195842927"/>
      <w:bookmarkStart w:id="177" w:name="_Toc265228400"/>
      <w:bookmarkStart w:id="178" w:name="_Toc142311062"/>
      <w:bookmarkStart w:id="179" w:name="_Toc264969252"/>
      <w:bookmarkStart w:id="180" w:name="_Toc226337258"/>
      <w:bookmarkStart w:id="181" w:name="_Toc150480798"/>
      <w:bookmarkStart w:id="182" w:name="_Toc226309806"/>
      <w:bookmarkStart w:id="183" w:name="_Toc305158830"/>
      <w:bookmarkStart w:id="184" w:name="_Toc305158904"/>
      <w:bookmarkStart w:id="185" w:name="_Toc127151562"/>
      <w:bookmarkStart w:id="186" w:name="_Toc195842926"/>
      <w:bookmarkStart w:id="187" w:name="_Toc127151561"/>
      <w:bookmarkStart w:id="188" w:name="_Toc142311061"/>
      <w:bookmarkStart w:id="189" w:name="_Toc305158829"/>
      <w:bookmarkStart w:id="190" w:name="_Toc226965834"/>
      <w:bookmarkStart w:id="191" w:name="_Toc150774764"/>
      <w:bookmarkStart w:id="192" w:name="_Toc226965751"/>
      <w:bookmarkStart w:id="193" w:name="_Toc226309805"/>
      <w:bookmarkStart w:id="194" w:name="_Toc265228399"/>
      <w:bookmarkStart w:id="195" w:name="_Toc226337257"/>
      <w:bookmarkStart w:id="196" w:name="_Toc150480797"/>
      <w:bookmarkStart w:id="197" w:name="_Toc305158903"/>
      <w:bookmarkStart w:id="198" w:name="_Toc264969251"/>
    </w:p>
    <w:p w14:paraId="0EF16C94">
      <w:pPr>
        <w:spacing w:before="25" w:after="25" w:line="360" w:lineRule="auto"/>
        <w:rPr>
          <w:rFonts w:hint="eastAsia" w:ascii="宋体" w:hAnsi="宋体" w:cs="宋体"/>
          <w:color w:val="auto"/>
          <w:sz w:val="24"/>
        </w:rPr>
      </w:pPr>
    </w:p>
    <w:p w14:paraId="0B9522DA">
      <w:pPr>
        <w:spacing w:before="25" w:after="25" w:line="360" w:lineRule="auto"/>
        <w:rPr>
          <w:rFonts w:ascii="宋体" w:hAnsi="宋体" w:cs="宋体"/>
          <w:color w:val="auto"/>
          <w:sz w:val="24"/>
          <w:lang w:val="zh-CN"/>
        </w:rPr>
      </w:pPr>
      <w:r>
        <w:rPr>
          <w:rFonts w:hint="eastAsia" w:ascii="宋体" w:hAnsi="宋体" w:cs="宋体"/>
          <w:color w:val="auto"/>
          <w:sz w:val="24"/>
        </w:rPr>
        <w:t>供应商名称（加盖公章）</w:t>
      </w:r>
      <w:r>
        <w:rPr>
          <w:rFonts w:hint="eastAsia" w:ascii="宋体" w:hAnsi="宋体" w:cs="宋体"/>
          <w:color w:val="auto"/>
          <w:sz w:val="24"/>
          <w:lang w:val="zh-CN"/>
        </w:rPr>
        <w:t>：____________</w:t>
      </w:r>
    </w:p>
    <w:p w14:paraId="2E728DF6">
      <w:pPr>
        <w:spacing w:line="360" w:lineRule="auto"/>
        <w:outlineLvl w:val="2"/>
        <w:rPr>
          <w:rFonts w:ascii="宋体" w:hAnsi="宋体" w:cs="宋体"/>
          <w:color w:val="auto"/>
          <w:sz w:val="24"/>
          <w:szCs w:val="20"/>
        </w:rPr>
      </w:pPr>
      <w:r>
        <w:rPr>
          <w:rFonts w:hint="eastAsia" w:ascii="宋体" w:hAnsi="宋体" w:cs="宋体"/>
          <w:color w:val="auto"/>
          <w:sz w:val="24"/>
          <w:szCs w:val="20"/>
        </w:rPr>
        <w:t>日期：_____年______月______日</w:t>
      </w:r>
      <w:r>
        <w:rPr>
          <w:rFonts w:hint="eastAsia" w:ascii="宋体" w:hAnsi="宋体" w:cs="宋体"/>
          <w:color w:val="auto"/>
          <w:sz w:val="24"/>
          <w:szCs w:val="20"/>
        </w:rPr>
        <w:br w:type="page" w:clear="all"/>
      </w:r>
      <w:r>
        <w:rPr>
          <w:rFonts w:hint="eastAsia" w:ascii="宋体" w:hAnsi="宋体" w:cs="宋体"/>
          <w:color w:val="auto"/>
          <w:sz w:val="24"/>
          <w:szCs w:val="20"/>
        </w:rPr>
        <w:t>6  合同条款偏离表</w:t>
      </w:r>
      <w:bookmarkEnd w:id="173"/>
      <w:bookmarkEnd w:id="174"/>
      <w:bookmarkEnd w:id="175"/>
      <w:bookmarkEnd w:id="176"/>
      <w:bookmarkEnd w:id="177"/>
      <w:bookmarkEnd w:id="178"/>
      <w:bookmarkEnd w:id="179"/>
      <w:bookmarkEnd w:id="180"/>
      <w:bookmarkEnd w:id="181"/>
      <w:bookmarkEnd w:id="182"/>
      <w:bookmarkEnd w:id="183"/>
      <w:bookmarkEnd w:id="184"/>
      <w:bookmarkEnd w:id="185"/>
      <w:r>
        <w:rPr>
          <w:rFonts w:hint="eastAsia" w:ascii="宋体" w:hAnsi="宋体" w:cs="宋体"/>
          <w:color w:val="auto"/>
          <w:sz w:val="24"/>
          <w:szCs w:val="20"/>
        </w:rPr>
        <w:t>（实质性格式）</w:t>
      </w:r>
    </w:p>
    <w:p w14:paraId="7E2AFFF5">
      <w:pPr>
        <w:spacing w:line="360" w:lineRule="auto"/>
        <w:rPr>
          <w:rFonts w:ascii="宋体" w:hAnsi="宋体" w:cs="宋体"/>
          <w:color w:val="auto"/>
          <w:sz w:val="24"/>
          <w:szCs w:val="20"/>
        </w:rPr>
      </w:pPr>
    </w:p>
    <w:p w14:paraId="225A0982">
      <w:pPr>
        <w:tabs>
          <w:tab w:val="left" w:pos="2775"/>
          <w:tab w:val="center" w:pos="4153"/>
        </w:tabs>
        <w:spacing w:line="360" w:lineRule="auto"/>
        <w:jc w:val="center"/>
        <w:rPr>
          <w:rFonts w:ascii="宋体" w:hAnsi="宋体" w:cs="宋体"/>
          <w:b/>
          <w:color w:val="auto"/>
          <w:sz w:val="36"/>
          <w:szCs w:val="36"/>
        </w:rPr>
      </w:pPr>
      <w:r>
        <w:rPr>
          <w:rFonts w:hint="eastAsia" w:ascii="宋体" w:hAnsi="宋体" w:cs="宋体"/>
          <w:b/>
          <w:color w:val="auto"/>
          <w:sz w:val="36"/>
          <w:szCs w:val="36"/>
        </w:rPr>
        <w:t>合同条款偏离表</w:t>
      </w:r>
    </w:p>
    <w:p w14:paraId="56E026F2">
      <w:pPr>
        <w:spacing w:line="360" w:lineRule="auto"/>
        <w:rPr>
          <w:rFonts w:ascii="宋体" w:hAnsi="宋体" w:cs="宋体"/>
          <w:color w:val="auto"/>
          <w:sz w:val="24"/>
          <w:szCs w:val="20"/>
        </w:rPr>
      </w:pPr>
    </w:p>
    <w:p w14:paraId="3033ED6C">
      <w:pPr>
        <w:tabs>
          <w:tab w:val="left" w:pos="1800"/>
          <w:tab w:val="left" w:pos="5580"/>
        </w:tabs>
        <w:spacing w:line="360" w:lineRule="auto"/>
        <w:ind w:firstLine="360"/>
        <w:jc w:val="left"/>
        <w:rPr>
          <w:rFonts w:ascii="宋体" w:hAnsi="宋体" w:cs="宋体"/>
          <w:color w:val="auto"/>
          <w:sz w:val="24"/>
        </w:rPr>
      </w:pPr>
      <w:r>
        <w:rPr>
          <w:rFonts w:hint="eastAsia" w:ascii="宋体" w:hAnsi="宋体" w:cs="宋体"/>
          <w:color w:val="auto"/>
          <w:sz w:val="24"/>
        </w:rPr>
        <w:t>项目编号/包号：_____________________     项目名称：_____________</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14:paraId="03C21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2327A379">
            <w:pPr>
              <w:jc w:val="left"/>
              <w:rPr>
                <w:rFonts w:ascii="宋体" w:hAnsi="宋体" w:cs="宋体"/>
                <w:b/>
                <w:color w:val="auto"/>
                <w:sz w:val="24"/>
              </w:rPr>
            </w:pPr>
            <w:r>
              <w:rPr>
                <w:rFonts w:hint="eastAsia" w:ascii="宋体" w:hAnsi="宋体" w:cs="宋体"/>
                <w:b/>
                <w:color w:val="auto"/>
                <w:sz w:val="24"/>
              </w:rPr>
              <w:t>对本项目合同条款的偏离情况（请进行勾选）：</w:t>
            </w:r>
          </w:p>
          <w:p w14:paraId="736BF779">
            <w:pPr>
              <w:jc w:val="left"/>
              <w:rPr>
                <w:rFonts w:ascii="宋体" w:hAnsi="宋体" w:cs="宋体"/>
                <w:b/>
                <w:color w:val="auto"/>
                <w:sz w:val="24"/>
              </w:rPr>
            </w:pPr>
            <w:r>
              <w:rPr>
                <w:rFonts w:hint="eastAsia" w:ascii="宋体" w:hAnsi="宋体" w:cs="宋体"/>
                <w:b/>
                <w:color w:val="auto"/>
                <w:sz w:val="24"/>
              </w:rPr>
              <w:t>□无偏离</w:t>
            </w:r>
            <w:r>
              <w:rPr>
                <w:rFonts w:hint="eastAsia" w:ascii="宋体" w:hAnsi="宋体" w:cs="宋体"/>
                <w:color w:val="auto"/>
                <w:sz w:val="24"/>
              </w:rPr>
              <w:t>（</w:t>
            </w:r>
            <w:r>
              <w:rPr>
                <w:rFonts w:hint="eastAsia" w:ascii="宋体" w:hAnsi="宋体" w:cs="宋体"/>
                <w:color w:val="auto"/>
                <w:sz w:val="24"/>
                <w:szCs w:val="21"/>
              </w:rPr>
              <w:t>如无偏离，仅勾选无偏离即可</w:t>
            </w:r>
            <w:r>
              <w:rPr>
                <w:rFonts w:hint="eastAsia" w:ascii="宋体" w:hAnsi="宋体" w:cs="宋体"/>
                <w:color w:val="auto"/>
                <w:sz w:val="24"/>
              </w:rPr>
              <w:t>）</w:t>
            </w:r>
          </w:p>
          <w:p w14:paraId="627E0C7F">
            <w:pPr>
              <w:jc w:val="left"/>
              <w:rPr>
                <w:rFonts w:ascii="宋体" w:hAnsi="宋体" w:cs="宋体"/>
                <w:color w:val="auto"/>
                <w:sz w:val="24"/>
              </w:rPr>
            </w:pPr>
            <w:r>
              <w:rPr>
                <w:rFonts w:hint="eastAsia" w:ascii="宋体" w:hAnsi="宋体" w:cs="宋体"/>
                <w:b/>
                <w:color w:val="auto"/>
                <w:sz w:val="24"/>
              </w:rPr>
              <w:t>□有偏离</w:t>
            </w:r>
            <w:r>
              <w:rPr>
                <w:rFonts w:hint="eastAsia" w:ascii="宋体" w:hAnsi="宋体" w:cs="宋体"/>
                <w:color w:val="auto"/>
                <w:sz w:val="24"/>
              </w:rPr>
              <w:t>（</w:t>
            </w:r>
            <w:r>
              <w:rPr>
                <w:rFonts w:hint="eastAsia" w:ascii="宋体" w:hAnsi="宋体" w:cs="宋体"/>
                <w:color w:val="auto"/>
                <w:sz w:val="24"/>
                <w:szCs w:val="21"/>
              </w:rPr>
              <w:t>如有偏离，</w:t>
            </w:r>
            <w:r>
              <w:rPr>
                <w:rFonts w:hint="eastAsia" w:ascii="宋体" w:hAnsi="宋体" w:cs="宋体"/>
                <w:color w:val="auto"/>
                <w:sz w:val="24"/>
              </w:rPr>
              <w:t>则应在本表中对偏离项逐一列明）</w:t>
            </w:r>
          </w:p>
        </w:tc>
      </w:tr>
      <w:tr w14:paraId="53507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23C3EDD1">
            <w:pPr>
              <w:jc w:val="center"/>
              <w:rPr>
                <w:rFonts w:ascii="宋体" w:hAnsi="宋体" w:cs="宋体"/>
                <w:color w:val="auto"/>
                <w:sz w:val="24"/>
              </w:rPr>
            </w:pPr>
            <w:r>
              <w:rPr>
                <w:rFonts w:hint="eastAsia" w:ascii="宋体" w:hAnsi="宋体" w:cs="宋体"/>
                <w:color w:val="auto"/>
                <w:sz w:val="24"/>
              </w:rPr>
              <w:t>序号</w:t>
            </w:r>
          </w:p>
        </w:tc>
        <w:tc>
          <w:tcPr>
            <w:tcW w:w="1301" w:type="dxa"/>
            <w:noWrap w:val="0"/>
            <w:vAlign w:val="center"/>
          </w:tcPr>
          <w:p w14:paraId="6D1CD044">
            <w:pPr>
              <w:jc w:val="center"/>
              <w:rPr>
                <w:rFonts w:ascii="宋体" w:hAnsi="宋体" w:cs="宋体"/>
                <w:color w:val="auto"/>
                <w:sz w:val="24"/>
              </w:rPr>
            </w:pPr>
            <w:r>
              <w:rPr>
                <w:rFonts w:hint="eastAsia" w:ascii="宋体" w:hAnsi="宋体" w:cs="宋体"/>
                <w:color w:val="auto"/>
                <w:sz w:val="24"/>
                <w:szCs w:val="21"/>
              </w:rPr>
              <w:t>招标文件</w:t>
            </w:r>
            <w:r>
              <w:rPr>
                <w:rFonts w:hint="eastAsia" w:ascii="宋体" w:hAnsi="宋体" w:cs="宋体"/>
                <w:color w:val="auto"/>
                <w:sz w:val="24"/>
              </w:rPr>
              <w:t>条目号（页码）</w:t>
            </w:r>
          </w:p>
        </w:tc>
        <w:tc>
          <w:tcPr>
            <w:tcW w:w="2007" w:type="dxa"/>
            <w:noWrap w:val="0"/>
            <w:vAlign w:val="center"/>
          </w:tcPr>
          <w:p w14:paraId="2CE7EF4C">
            <w:pPr>
              <w:jc w:val="center"/>
              <w:rPr>
                <w:rFonts w:ascii="宋体" w:hAnsi="宋体" w:cs="宋体"/>
                <w:color w:val="auto"/>
                <w:sz w:val="24"/>
              </w:rPr>
            </w:pPr>
            <w:r>
              <w:rPr>
                <w:rFonts w:hint="eastAsia" w:ascii="宋体" w:hAnsi="宋体" w:cs="宋体"/>
                <w:color w:val="auto"/>
                <w:sz w:val="24"/>
                <w:szCs w:val="21"/>
              </w:rPr>
              <w:t>招标文件</w:t>
            </w:r>
            <w:r>
              <w:rPr>
                <w:rFonts w:hint="eastAsia" w:ascii="宋体" w:hAnsi="宋体" w:cs="宋体"/>
                <w:color w:val="auto"/>
                <w:sz w:val="24"/>
              </w:rPr>
              <w:t>要求</w:t>
            </w:r>
          </w:p>
        </w:tc>
        <w:tc>
          <w:tcPr>
            <w:tcW w:w="2008" w:type="dxa"/>
            <w:noWrap w:val="0"/>
            <w:vAlign w:val="center"/>
          </w:tcPr>
          <w:p w14:paraId="05B6ACAC">
            <w:pPr>
              <w:jc w:val="center"/>
              <w:rPr>
                <w:rFonts w:ascii="宋体" w:hAnsi="宋体" w:cs="宋体"/>
                <w:color w:val="auto"/>
                <w:sz w:val="24"/>
              </w:rPr>
            </w:pPr>
            <w:r>
              <w:rPr>
                <w:rFonts w:hint="eastAsia" w:ascii="宋体" w:hAnsi="宋体" w:cs="宋体"/>
                <w:color w:val="auto"/>
                <w:sz w:val="24"/>
              </w:rPr>
              <w:t>投标文件内容</w:t>
            </w:r>
          </w:p>
        </w:tc>
        <w:tc>
          <w:tcPr>
            <w:tcW w:w="2458" w:type="dxa"/>
            <w:noWrap w:val="0"/>
            <w:vAlign w:val="center"/>
          </w:tcPr>
          <w:p w14:paraId="645CD22B">
            <w:pPr>
              <w:jc w:val="center"/>
              <w:rPr>
                <w:rFonts w:ascii="宋体" w:hAnsi="宋体" w:cs="宋体"/>
                <w:color w:val="auto"/>
                <w:sz w:val="24"/>
              </w:rPr>
            </w:pPr>
            <w:r>
              <w:rPr>
                <w:rFonts w:hint="eastAsia" w:ascii="宋体" w:hAnsi="宋体" w:cs="宋体"/>
                <w:color w:val="auto"/>
                <w:sz w:val="24"/>
              </w:rPr>
              <w:t>偏离情况</w:t>
            </w:r>
          </w:p>
        </w:tc>
        <w:tc>
          <w:tcPr>
            <w:tcW w:w="788" w:type="dxa"/>
            <w:noWrap w:val="0"/>
            <w:vAlign w:val="center"/>
          </w:tcPr>
          <w:p w14:paraId="4BF57EAE">
            <w:pPr>
              <w:jc w:val="center"/>
              <w:rPr>
                <w:rFonts w:ascii="宋体" w:hAnsi="宋体" w:cs="宋体"/>
                <w:color w:val="auto"/>
                <w:sz w:val="24"/>
              </w:rPr>
            </w:pPr>
            <w:r>
              <w:rPr>
                <w:rFonts w:hint="eastAsia" w:ascii="宋体" w:hAnsi="宋体" w:cs="宋体"/>
                <w:color w:val="auto"/>
                <w:sz w:val="24"/>
              </w:rPr>
              <w:t>说明</w:t>
            </w:r>
          </w:p>
        </w:tc>
      </w:tr>
      <w:tr w14:paraId="19213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13D69BD2">
            <w:pPr>
              <w:jc w:val="center"/>
              <w:rPr>
                <w:rFonts w:ascii="宋体" w:hAnsi="宋体" w:cs="宋体"/>
                <w:color w:val="auto"/>
                <w:sz w:val="24"/>
              </w:rPr>
            </w:pPr>
          </w:p>
        </w:tc>
        <w:tc>
          <w:tcPr>
            <w:tcW w:w="1301" w:type="dxa"/>
            <w:noWrap w:val="0"/>
            <w:vAlign w:val="center"/>
          </w:tcPr>
          <w:p w14:paraId="74E75B1B">
            <w:pPr>
              <w:jc w:val="center"/>
              <w:rPr>
                <w:rFonts w:ascii="宋体" w:hAnsi="宋体" w:cs="宋体"/>
                <w:color w:val="auto"/>
                <w:sz w:val="24"/>
              </w:rPr>
            </w:pPr>
          </w:p>
        </w:tc>
        <w:tc>
          <w:tcPr>
            <w:tcW w:w="2007" w:type="dxa"/>
            <w:noWrap w:val="0"/>
            <w:vAlign w:val="center"/>
          </w:tcPr>
          <w:p w14:paraId="5251F1C4">
            <w:pPr>
              <w:jc w:val="center"/>
              <w:rPr>
                <w:rFonts w:ascii="宋体" w:hAnsi="宋体" w:cs="宋体"/>
                <w:color w:val="auto"/>
                <w:sz w:val="24"/>
              </w:rPr>
            </w:pPr>
          </w:p>
        </w:tc>
        <w:tc>
          <w:tcPr>
            <w:tcW w:w="2008" w:type="dxa"/>
            <w:noWrap w:val="0"/>
            <w:vAlign w:val="center"/>
          </w:tcPr>
          <w:p w14:paraId="6106B317">
            <w:pPr>
              <w:jc w:val="center"/>
              <w:rPr>
                <w:rFonts w:ascii="宋体" w:hAnsi="宋体" w:cs="宋体"/>
                <w:color w:val="auto"/>
                <w:sz w:val="24"/>
              </w:rPr>
            </w:pPr>
          </w:p>
        </w:tc>
        <w:tc>
          <w:tcPr>
            <w:tcW w:w="2458" w:type="dxa"/>
            <w:noWrap w:val="0"/>
            <w:vAlign w:val="center"/>
          </w:tcPr>
          <w:p w14:paraId="3413ED3B">
            <w:pPr>
              <w:jc w:val="center"/>
              <w:rPr>
                <w:rFonts w:ascii="宋体" w:hAnsi="宋体" w:cs="宋体"/>
                <w:color w:val="auto"/>
                <w:sz w:val="24"/>
              </w:rPr>
            </w:pPr>
          </w:p>
        </w:tc>
        <w:tc>
          <w:tcPr>
            <w:tcW w:w="788" w:type="dxa"/>
            <w:noWrap w:val="0"/>
            <w:vAlign w:val="center"/>
          </w:tcPr>
          <w:p w14:paraId="01D0D82E">
            <w:pPr>
              <w:jc w:val="center"/>
              <w:rPr>
                <w:rFonts w:ascii="宋体" w:hAnsi="宋体" w:cs="宋体"/>
                <w:color w:val="auto"/>
                <w:sz w:val="24"/>
              </w:rPr>
            </w:pPr>
          </w:p>
        </w:tc>
      </w:tr>
      <w:tr w14:paraId="26D1A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38778C3A">
            <w:pPr>
              <w:jc w:val="center"/>
              <w:rPr>
                <w:rFonts w:ascii="宋体" w:hAnsi="宋体" w:cs="宋体"/>
                <w:color w:val="auto"/>
                <w:sz w:val="24"/>
              </w:rPr>
            </w:pPr>
          </w:p>
        </w:tc>
        <w:tc>
          <w:tcPr>
            <w:tcW w:w="1301" w:type="dxa"/>
            <w:noWrap w:val="0"/>
            <w:vAlign w:val="center"/>
          </w:tcPr>
          <w:p w14:paraId="1F94369A">
            <w:pPr>
              <w:jc w:val="center"/>
              <w:rPr>
                <w:rFonts w:ascii="宋体" w:hAnsi="宋体" w:cs="宋体"/>
                <w:color w:val="auto"/>
                <w:sz w:val="24"/>
              </w:rPr>
            </w:pPr>
          </w:p>
        </w:tc>
        <w:tc>
          <w:tcPr>
            <w:tcW w:w="2007" w:type="dxa"/>
            <w:noWrap w:val="0"/>
            <w:vAlign w:val="center"/>
          </w:tcPr>
          <w:p w14:paraId="5350267D">
            <w:pPr>
              <w:jc w:val="center"/>
              <w:rPr>
                <w:rFonts w:ascii="宋体" w:hAnsi="宋体" w:cs="宋体"/>
                <w:color w:val="auto"/>
                <w:sz w:val="24"/>
              </w:rPr>
            </w:pPr>
          </w:p>
        </w:tc>
        <w:tc>
          <w:tcPr>
            <w:tcW w:w="2008" w:type="dxa"/>
            <w:noWrap w:val="0"/>
            <w:vAlign w:val="center"/>
          </w:tcPr>
          <w:p w14:paraId="084F61AB">
            <w:pPr>
              <w:jc w:val="center"/>
              <w:rPr>
                <w:rFonts w:ascii="宋体" w:hAnsi="宋体" w:cs="宋体"/>
                <w:color w:val="auto"/>
                <w:sz w:val="24"/>
              </w:rPr>
            </w:pPr>
          </w:p>
        </w:tc>
        <w:tc>
          <w:tcPr>
            <w:tcW w:w="2458" w:type="dxa"/>
            <w:noWrap w:val="0"/>
            <w:vAlign w:val="center"/>
          </w:tcPr>
          <w:p w14:paraId="4564C1BC">
            <w:pPr>
              <w:jc w:val="center"/>
              <w:rPr>
                <w:rFonts w:ascii="宋体" w:hAnsi="宋体" w:cs="宋体"/>
                <w:color w:val="auto"/>
                <w:sz w:val="24"/>
              </w:rPr>
            </w:pPr>
          </w:p>
        </w:tc>
        <w:tc>
          <w:tcPr>
            <w:tcW w:w="788" w:type="dxa"/>
            <w:noWrap w:val="0"/>
            <w:vAlign w:val="center"/>
          </w:tcPr>
          <w:p w14:paraId="3ED73785">
            <w:pPr>
              <w:jc w:val="center"/>
              <w:rPr>
                <w:rFonts w:ascii="宋体" w:hAnsi="宋体" w:cs="宋体"/>
                <w:color w:val="auto"/>
                <w:sz w:val="24"/>
              </w:rPr>
            </w:pPr>
          </w:p>
        </w:tc>
      </w:tr>
      <w:tr w14:paraId="59F66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2CE6AA72">
            <w:pPr>
              <w:jc w:val="center"/>
              <w:rPr>
                <w:rFonts w:ascii="宋体" w:hAnsi="宋体" w:cs="宋体"/>
                <w:color w:val="auto"/>
                <w:sz w:val="24"/>
              </w:rPr>
            </w:pPr>
          </w:p>
        </w:tc>
        <w:tc>
          <w:tcPr>
            <w:tcW w:w="1301" w:type="dxa"/>
            <w:noWrap w:val="0"/>
            <w:vAlign w:val="center"/>
          </w:tcPr>
          <w:p w14:paraId="62263BAB">
            <w:pPr>
              <w:jc w:val="center"/>
              <w:rPr>
                <w:rFonts w:ascii="宋体" w:hAnsi="宋体" w:cs="宋体"/>
                <w:color w:val="auto"/>
                <w:sz w:val="24"/>
              </w:rPr>
            </w:pPr>
          </w:p>
        </w:tc>
        <w:tc>
          <w:tcPr>
            <w:tcW w:w="2007" w:type="dxa"/>
            <w:noWrap w:val="0"/>
            <w:vAlign w:val="center"/>
          </w:tcPr>
          <w:p w14:paraId="1C572902">
            <w:pPr>
              <w:jc w:val="center"/>
              <w:rPr>
                <w:rFonts w:ascii="宋体" w:hAnsi="宋体" w:cs="宋体"/>
                <w:color w:val="auto"/>
                <w:sz w:val="24"/>
              </w:rPr>
            </w:pPr>
          </w:p>
        </w:tc>
        <w:tc>
          <w:tcPr>
            <w:tcW w:w="2008" w:type="dxa"/>
            <w:noWrap w:val="0"/>
            <w:vAlign w:val="center"/>
          </w:tcPr>
          <w:p w14:paraId="16B5E43A">
            <w:pPr>
              <w:jc w:val="center"/>
              <w:rPr>
                <w:rFonts w:ascii="宋体" w:hAnsi="宋体" w:cs="宋体"/>
                <w:color w:val="auto"/>
                <w:sz w:val="24"/>
              </w:rPr>
            </w:pPr>
          </w:p>
        </w:tc>
        <w:tc>
          <w:tcPr>
            <w:tcW w:w="2458" w:type="dxa"/>
            <w:noWrap w:val="0"/>
            <w:vAlign w:val="center"/>
          </w:tcPr>
          <w:p w14:paraId="3A155DD4">
            <w:pPr>
              <w:jc w:val="center"/>
              <w:rPr>
                <w:rFonts w:ascii="宋体" w:hAnsi="宋体" w:cs="宋体"/>
                <w:color w:val="auto"/>
                <w:sz w:val="24"/>
              </w:rPr>
            </w:pPr>
          </w:p>
        </w:tc>
        <w:tc>
          <w:tcPr>
            <w:tcW w:w="788" w:type="dxa"/>
            <w:noWrap w:val="0"/>
            <w:vAlign w:val="center"/>
          </w:tcPr>
          <w:p w14:paraId="034844E9">
            <w:pPr>
              <w:jc w:val="center"/>
              <w:rPr>
                <w:rFonts w:ascii="宋体" w:hAnsi="宋体" w:cs="宋体"/>
                <w:color w:val="auto"/>
                <w:sz w:val="24"/>
              </w:rPr>
            </w:pPr>
          </w:p>
        </w:tc>
      </w:tr>
      <w:tr w14:paraId="3CFF0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7C003710">
            <w:pPr>
              <w:jc w:val="center"/>
              <w:rPr>
                <w:rFonts w:ascii="宋体" w:hAnsi="宋体" w:cs="宋体"/>
                <w:color w:val="auto"/>
                <w:sz w:val="24"/>
              </w:rPr>
            </w:pPr>
            <w:r>
              <w:rPr>
                <w:rFonts w:hint="eastAsia" w:ascii="宋体" w:hAnsi="宋体" w:cs="宋体"/>
                <w:color w:val="auto"/>
                <w:sz w:val="24"/>
              </w:rPr>
              <w:t>……</w:t>
            </w:r>
          </w:p>
        </w:tc>
        <w:tc>
          <w:tcPr>
            <w:tcW w:w="1301" w:type="dxa"/>
            <w:noWrap w:val="0"/>
            <w:vAlign w:val="center"/>
          </w:tcPr>
          <w:p w14:paraId="16148307">
            <w:pPr>
              <w:jc w:val="center"/>
              <w:rPr>
                <w:rFonts w:ascii="宋体" w:hAnsi="宋体" w:cs="宋体"/>
                <w:color w:val="auto"/>
                <w:sz w:val="24"/>
              </w:rPr>
            </w:pPr>
          </w:p>
        </w:tc>
        <w:tc>
          <w:tcPr>
            <w:tcW w:w="2007" w:type="dxa"/>
            <w:noWrap w:val="0"/>
            <w:vAlign w:val="center"/>
          </w:tcPr>
          <w:p w14:paraId="29BC1519">
            <w:pPr>
              <w:jc w:val="center"/>
              <w:rPr>
                <w:rFonts w:ascii="宋体" w:hAnsi="宋体" w:cs="宋体"/>
                <w:color w:val="auto"/>
                <w:sz w:val="24"/>
              </w:rPr>
            </w:pPr>
          </w:p>
        </w:tc>
        <w:tc>
          <w:tcPr>
            <w:tcW w:w="2008" w:type="dxa"/>
            <w:noWrap w:val="0"/>
            <w:vAlign w:val="center"/>
          </w:tcPr>
          <w:p w14:paraId="671A2679">
            <w:pPr>
              <w:jc w:val="center"/>
              <w:rPr>
                <w:rFonts w:ascii="宋体" w:hAnsi="宋体" w:cs="宋体"/>
                <w:color w:val="auto"/>
                <w:sz w:val="24"/>
              </w:rPr>
            </w:pPr>
          </w:p>
        </w:tc>
        <w:tc>
          <w:tcPr>
            <w:tcW w:w="2458" w:type="dxa"/>
            <w:noWrap w:val="0"/>
            <w:vAlign w:val="center"/>
          </w:tcPr>
          <w:p w14:paraId="02468D20">
            <w:pPr>
              <w:jc w:val="center"/>
              <w:rPr>
                <w:rFonts w:ascii="宋体" w:hAnsi="宋体" w:cs="宋体"/>
                <w:color w:val="auto"/>
                <w:sz w:val="24"/>
              </w:rPr>
            </w:pPr>
          </w:p>
        </w:tc>
        <w:tc>
          <w:tcPr>
            <w:tcW w:w="788" w:type="dxa"/>
            <w:noWrap w:val="0"/>
            <w:vAlign w:val="center"/>
          </w:tcPr>
          <w:p w14:paraId="1B47E715">
            <w:pPr>
              <w:jc w:val="center"/>
              <w:rPr>
                <w:rFonts w:ascii="宋体" w:hAnsi="宋体" w:cs="宋体"/>
                <w:color w:val="auto"/>
                <w:sz w:val="24"/>
              </w:rPr>
            </w:pPr>
          </w:p>
        </w:tc>
      </w:tr>
    </w:tbl>
    <w:p w14:paraId="2FC1B1F0">
      <w:pPr>
        <w:tabs>
          <w:tab w:val="left" w:pos="1800"/>
          <w:tab w:val="left" w:pos="5580"/>
        </w:tabs>
        <w:jc w:val="left"/>
        <w:rPr>
          <w:rFonts w:ascii="宋体" w:hAnsi="宋体" w:cs="宋体"/>
          <w:color w:val="auto"/>
          <w:sz w:val="24"/>
        </w:rPr>
      </w:pPr>
    </w:p>
    <w:p w14:paraId="6B7F35CB">
      <w:pPr>
        <w:tabs>
          <w:tab w:val="left" w:pos="1800"/>
          <w:tab w:val="left" w:pos="5580"/>
        </w:tabs>
        <w:jc w:val="left"/>
        <w:rPr>
          <w:rFonts w:ascii="宋体" w:hAnsi="宋体" w:cs="宋体"/>
          <w:color w:val="auto"/>
          <w:sz w:val="24"/>
        </w:rPr>
      </w:pPr>
      <w:r>
        <w:rPr>
          <w:rFonts w:hint="eastAsia" w:ascii="宋体" w:hAnsi="宋体" w:cs="宋体"/>
          <w:color w:val="auto"/>
          <w:sz w:val="24"/>
        </w:rPr>
        <w:t>注：</w:t>
      </w:r>
    </w:p>
    <w:p w14:paraId="3D12EBC7">
      <w:pPr>
        <w:tabs>
          <w:tab w:val="left" w:pos="1800"/>
          <w:tab w:val="left" w:pos="5580"/>
        </w:tabs>
        <w:jc w:val="left"/>
        <w:rPr>
          <w:rFonts w:ascii="宋体" w:hAnsi="宋体" w:cs="宋体"/>
          <w:color w:val="auto"/>
          <w:sz w:val="24"/>
        </w:rPr>
      </w:pPr>
      <w:r>
        <w:rPr>
          <w:rFonts w:hint="eastAsia" w:ascii="宋体" w:hAnsi="宋体" w:cs="宋体"/>
          <w:color w:val="auto"/>
          <w:sz w:val="24"/>
        </w:rPr>
        <w:t>1. 对合同条款中的所有要求，除本表所列明的所有偏离外，均视作供应商已对之理解和响应。</w:t>
      </w:r>
    </w:p>
    <w:p w14:paraId="6A0B0B48">
      <w:pPr>
        <w:tabs>
          <w:tab w:val="left" w:pos="1800"/>
          <w:tab w:val="left" w:pos="5580"/>
        </w:tabs>
        <w:jc w:val="left"/>
        <w:rPr>
          <w:rFonts w:ascii="宋体" w:hAnsi="宋体" w:cs="宋体"/>
          <w:color w:val="auto"/>
          <w:sz w:val="24"/>
        </w:rPr>
      </w:pPr>
      <w:r>
        <w:rPr>
          <w:rFonts w:hint="eastAsia" w:ascii="宋体" w:hAnsi="宋体" w:cs="宋体"/>
          <w:color w:val="auto"/>
          <w:sz w:val="24"/>
        </w:rPr>
        <w:t>2. “偏离情况”列应据实填写“正偏离”或“负偏离”。</w:t>
      </w:r>
    </w:p>
    <w:p w14:paraId="23878C34">
      <w:pPr>
        <w:spacing w:line="360" w:lineRule="auto"/>
        <w:rPr>
          <w:rFonts w:ascii="宋体" w:hAnsi="宋体" w:cs="宋体"/>
          <w:color w:val="auto"/>
          <w:sz w:val="24"/>
          <w:szCs w:val="20"/>
        </w:rPr>
      </w:pPr>
    </w:p>
    <w:p w14:paraId="6795212B">
      <w:pPr>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3A675432">
      <w:pPr>
        <w:spacing w:before="25" w:after="25" w:line="360" w:lineRule="auto"/>
        <w:rPr>
          <w:rFonts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：____________</w:t>
      </w:r>
    </w:p>
    <w:p w14:paraId="11BAD02C">
      <w:pPr>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4AC4D84A">
      <w:pPr>
        <w:spacing w:line="360" w:lineRule="auto"/>
        <w:outlineLvl w:val="2"/>
        <w:rPr>
          <w:rFonts w:ascii="宋体" w:hAnsi="宋体" w:cs="宋体"/>
          <w:color w:val="auto"/>
          <w:sz w:val="24"/>
          <w:szCs w:val="20"/>
        </w:rPr>
      </w:pPr>
      <w:r>
        <w:rPr>
          <w:rFonts w:hint="eastAsia" w:ascii="宋体" w:hAnsi="宋体" w:cs="宋体"/>
          <w:color w:val="auto"/>
          <w:sz w:val="24"/>
          <w:szCs w:val="20"/>
        </w:rPr>
        <w:br w:type="page" w:clear="all"/>
      </w:r>
      <w:r>
        <w:rPr>
          <w:rFonts w:hint="eastAsia" w:ascii="宋体" w:hAnsi="宋体" w:cs="宋体"/>
          <w:color w:val="auto"/>
          <w:sz w:val="24"/>
          <w:szCs w:val="20"/>
        </w:rPr>
        <w:t xml:space="preserve">7  </w:t>
      </w:r>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cs="宋体"/>
          <w:color w:val="auto"/>
          <w:sz w:val="24"/>
          <w:szCs w:val="20"/>
        </w:rPr>
        <w:t>采购需求偏离表（实质性格式）</w:t>
      </w:r>
    </w:p>
    <w:p w14:paraId="36428CF9">
      <w:pPr>
        <w:spacing w:line="360" w:lineRule="auto"/>
        <w:jc w:val="center"/>
        <w:rPr>
          <w:rFonts w:ascii="宋体" w:hAnsi="宋体" w:cs="宋体"/>
          <w:b/>
          <w:color w:val="auto"/>
          <w:sz w:val="36"/>
          <w:szCs w:val="36"/>
        </w:rPr>
      </w:pPr>
    </w:p>
    <w:p w14:paraId="53860A3A">
      <w:pPr>
        <w:spacing w:line="360" w:lineRule="auto"/>
        <w:jc w:val="center"/>
        <w:rPr>
          <w:rFonts w:ascii="宋体" w:hAnsi="宋体" w:cs="宋体"/>
          <w:b/>
          <w:color w:val="auto"/>
          <w:sz w:val="36"/>
          <w:szCs w:val="36"/>
        </w:rPr>
      </w:pPr>
      <w:r>
        <w:rPr>
          <w:rFonts w:hint="eastAsia" w:ascii="宋体" w:hAnsi="宋体" w:cs="宋体"/>
          <w:b/>
          <w:color w:val="auto"/>
          <w:sz w:val="36"/>
          <w:szCs w:val="36"/>
        </w:rPr>
        <w:t>采购需求偏离表</w:t>
      </w:r>
    </w:p>
    <w:p w14:paraId="6DE93F02">
      <w:pPr>
        <w:tabs>
          <w:tab w:val="left" w:pos="1800"/>
          <w:tab w:val="left" w:pos="5580"/>
        </w:tabs>
        <w:spacing w:line="360" w:lineRule="auto"/>
        <w:ind w:firstLine="360"/>
        <w:jc w:val="left"/>
        <w:rPr>
          <w:rFonts w:ascii="宋体" w:hAnsi="宋体" w:cs="宋体"/>
          <w:color w:val="auto"/>
          <w:sz w:val="24"/>
          <w:u w:val="single"/>
        </w:rPr>
      </w:pPr>
      <w:r>
        <w:rPr>
          <w:rFonts w:hint="eastAsia" w:ascii="宋体" w:hAnsi="宋体" w:cs="宋体"/>
          <w:color w:val="auto"/>
          <w:sz w:val="24"/>
        </w:rPr>
        <w:t>项目编号/包号：_____________________     项目名称：____________</w:t>
      </w:r>
    </w:p>
    <w:tbl>
      <w:tblPr>
        <w:tblStyle w:val="40"/>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B85A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755EBB53">
            <w:pPr>
              <w:jc w:val="center"/>
              <w:rPr>
                <w:rFonts w:ascii="宋体" w:hAnsi="宋体" w:cs="宋体"/>
                <w:color w:val="auto"/>
                <w:sz w:val="24"/>
              </w:rPr>
            </w:pPr>
            <w:r>
              <w:rPr>
                <w:rFonts w:hint="eastAsia" w:ascii="宋体" w:hAnsi="宋体" w:cs="宋体"/>
                <w:color w:val="auto"/>
                <w:sz w:val="24"/>
              </w:rPr>
              <w:t>序号</w:t>
            </w:r>
          </w:p>
        </w:tc>
        <w:tc>
          <w:tcPr>
            <w:tcW w:w="1482" w:type="dxa"/>
            <w:noWrap w:val="0"/>
            <w:vAlign w:val="center"/>
          </w:tcPr>
          <w:p w14:paraId="5F6D8D42">
            <w:pPr>
              <w:jc w:val="center"/>
              <w:rPr>
                <w:rFonts w:ascii="宋体" w:hAnsi="宋体" w:cs="宋体"/>
                <w:color w:val="auto"/>
                <w:sz w:val="24"/>
              </w:rPr>
            </w:pPr>
            <w:r>
              <w:rPr>
                <w:rFonts w:hint="eastAsia" w:ascii="宋体" w:hAnsi="宋体" w:cs="宋体"/>
                <w:color w:val="auto"/>
                <w:sz w:val="24"/>
              </w:rPr>
              <w:t>招标文件条目号(页码)</w:t>
            </w:r>
          </w:p>
        </w:tc>
        <w:tc>
          <w:tcPr>
            <w:tcW w:w="2384" w:type="dxa"/>
            <w:noWrap w:val="0"/>
            <w:vAlign w:val="center"/>
          </w:tcPr>
          <w:p w14:paraId="38550AF1">
            <w:pPr>
              <w:jc w:val="center"/>
              <w:rPr>
                <w:rFonts w:ascii="宋体" w:hAnsi="宋体" w:cs="宋体"/>
                <w:color w:val="auto"/>
                <w:sz w:val="24"/>
              </w:rPr>
            </w:pPr>
            <w:r>
              <w:rPr>
                <w:rFonts w:hint="eastAsia" w:ascii="宋体" w:hAnsi="宋体" w:cs="宋体"/>
                <w:color w:val="auto"/>
                <w:sz w:val="24"/>
              </w:rPr>
              <w:t>招标文件要求</w:t>
            </w:r>
          </w:p>
        </w:tc>
        <w:tc>
          <w:tcPr>
            <w:tcW w:w="2126" w:type="dxa"/>
            <w:noWrap w:val="0"/>
            <w:vAlign w:val="center"/>
          </w:tcPr>
          <w:p w14:paraId="293D52F6">
            <w:pPr>
              <w:jc w:val="center"/>
              <w:rPr>
                <w:rFonts w:ascii="宋体" w:hAnsi="宋体" w:cs="宋体"/>
                <w:color w:val="auto"/>
                <w:sz w:val="24"/>
              </w:rPr>
            </w:pPr>
            <w:r>
              <w:rPr>
                <w:rFonts w:hint="eastAsia" w:ascii="宋体" w:hAnsi="宋体" w:cs="宋体"/>
                <w:color w:val="auto"/>
                <w:sz w:val="24"/>
              </w:rPr>
              <w:t>投标响应内容</w:t>
            </w:r>
          </w:p>
        </w:tc>
        <w:tc>
          <w:tcPr>
            <w:tcW w:w="1875" w:type="dxa"/>
            <w:noWrap w:val="0"/>
            <w:vAlign w:val="center"/>
          </w:tcPr>
          <w:p w14:paraId="67960E19">
            <w:pPr>
              <w:jc w:val="center"/>
              <w:rPr>
                <w:rFonts w:ascii="宋体" w:hAnsi="宋体" w:cs="宋体"/>
                <w:color w:val="auto"/>
                <w:sz w:val="24"/>
              </w:rPr>
            </w:pPr>
            <w:r>
              <w:rPr>
                <w:rFonts w:hint="eastAsia" w:ascii="宋体" w:hAnsi="宋体" w:cs="宋体"/>
                <w:color w:val="auto"/>
                <w:sz w:val="24"/>
              </w:rPr>
              <w:t>偏离情况</w:t>
            </w:r>
          </w:p>
        </w:tc>
        <w:tc>
          <w:tcPr>
            <w:tcW w:w="1009" w:type="dxa"/>
            <w:noWrap w:val="0"/>
            <w:vAlign w:val="center"/>
          </w:tcPr>
          <w:p w14:paraId="47E92437">
            <w:pPr>
              <w:jc w:val="center"/>
              <w:rPr>
                <w:rFonts w:ascii="宋体" w:hAnsi="宋体" w:cs="宋体"/>
                <w:color w:val="auto"/>
                <w:sz w:val="24"/>
              </w:rPr>
            </w:pPr>
            <w:r>
              <w:rPr>
                <w:rFonts w:hint="eastAsia" w:ascii="宋体" w:hAnsi="宋体" w:cs="宋体"/>
                <w:color w:val="auto"/>
                <w:sz w:val="24"/>
              </w:rPr>
              <w:t>说明</w:t>
            </w:r>
          </w:p>
        </w:tc>
      </w:tr>
      <w:tr w14:paraId="2720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DBBC3D9">
            <w:pPr>
              <w:jc w:val="center"/>
              <w:rPr>
                <w:rFonts w:ascii="宋体" w:hAnsi="宋体" w:cs="宋体"/>
                <w:color w:val="auto"/>
                <w:sz w:val="24"/>
              </w:rPr>
            </w:pPr>
          </w:p>
        </w:tc>
        <w:tc>
          <w:tcPr>
            <w:tcW w:w="1482" w:type="dxa"/>
            <w:noWrap w:val="0"/>
            <w:vAlign w:val="center"/>
          </w:tcPr>
          <w:p w14:paraId="4E6D6000">
            <w:pPr>
              <w:jc w:val="center"/>
              <w:rPr>
                <w:rFonts w:ascii="宋体" w:hAnsi="宋体" w:cs="宋体"/>
                <w:color w:val="auto"/>
                <w:sz w:val="24"/>
              </w:rPr>
            </w:pPr>
          </w:p>
        </w:tc>
        <w:tc>
          <w:tcPr>
            <w:tcW w:w="2384" w:type="dxa"/>
            <w:noWrap w:val="0"/>
            <w:vAlign w:val="center"/>
          </w:tcPr>
          <w:p w14:paraId="3D91477F">
            <w:pPr>
              <w:jc w:val="center"/>
              <w:rPr>
                <w:rFonts w:ascii="宋体" w:hAnsi="宋体" w:cs="宋体"/>
                <w:color w:val="auto"/>
                <w:sz w:val="24"/>
              </w:rPr>
            </w:pPr>
          </w:p>
        </w:tc>
        <w:tc>
          <w:tcPr>
            <w:tcW w:w="2126" w:type="dxa"/>
            <w:noWrap w:val="0"/>
            <w:vAlign w:val="center"/>
          </w:tcPr>
          <w:p w14:paraId="43C8C31A">
            <w:pPr>
              <w:jc w:val="center"/>
              <w:rPr>
                <w:rFonts w:ascii="宋体" w:hAnsi="宋体" w:cs="宋体"/>
                <w:color w:val="auto"/>
                <w:sz w:val="24"/>
              </w:rPr>
            </w:pPr>
          </w:p>
        </w:tc>
        <w:tc>
          <w:tcPr>
            <w:tcW w:w="1875" w:type="dxa"/>
            <w:noWrap w:val="0"/>
            <w:vAlign w:val="center"/>
          </w:tcPr>
          <w:p w14:paraId="55BDD702">
            <w:pPr>
              <w:jc w:val="center"/>
              <w:rPr>
                <w:rFonts w:ascii="宋体" w:hAnsi="宋体" w:cs="宋体"/>
                <w:color w:val="auto"/>
                <w:sz w:val="24"/>
              </w:rPr>
            </w:pPr>
          </w:p>
        </w:tc>
        <w:tc>
          <w:tcPr>
            <w:tcW w:w="1009" w:type="dxa"/>
            <w:noWrap w:val="0"/>
            <w:vAlign w:val="center"/>
          </w:tcPr>
          <w:p w14:paraId="22640733">
            <w:pPr>
              <w:jc w:val="center"/>
              <w:rPr>
                <w:rFonts w:ascii="宋体" w:hAnsi="宋体" w:cs="宋体"/>
                <w:color w:val="auto"/>
                <w:sz w:val="24"/>
              </w:rPr>
            </w:pPr>
          </w:p>
        </w:tc>
      </w:tr>
      <w:tr w14:paraId="5922C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E76D3BD">
            <w:pPr>
              <w:jc w:val="center"/>
              <w:rPr>
                <w:rFonts w:ascii="宋体" w:hAnsi="宋体" w:cs="宋体"/>
                <w:color w:val="auto"/>
                <w:sz w:val="24"/>
              </w:rPr>
            </w:pPr>
          </w:p>
        </w:tc>
        <w:tc>
          <w:tcPr>
            <w:tcW w:w="1482" w:type="dxa"/>
            <w:noWrap w:val="0"/>
            <w:vAlign w:val="center"/>
          </w:tcPr>
          <w:p w14:paraId="1ECB0A48">
            <w:pPr>
              <w:jc w:val="center"/>
              <w:rPr>
                <w:rFonts w:ascii="宋体" w:hAnsi="宋体" w:cs="宋体"/>
                <w:color w:val="auto"/>
                <w:sz w:val="24"/>
              </w:rPr>
            </w:pPr>
          </w:p>
        </w:tc>
        <w:tc>
          <w:tcPr>
            <w:tcW w:w="2384" w:type="dxa"/>
            <w:noWrap w:val="0"/>
            <w:vAlign w:val="center"/>
          </w:tcPr>
          <w:p w14:paraId="01622402">
            <w:pPr>
              <w:jc w:val="center"/>
              <w:rPr>
                <w:rFonts w:ascii="宋体" w:hAnsi="宋体" w:cs="宋体"/>
                <w:color w:val="auto"/>
                <w:sz w:val="24"/>
              </w:rPr>
            </w:pPr>
          </w:p>
        </w:tc>
        <w:tc>
          <w:tcPr>
            <w:tcW w:w="2126" w:type="dxa"/>
            <w:noWrap w:val="0"/>
            <w:vAlign w:val="center"/>
          </w:tcPr>
          <w:p w14:paraId="5A0C589A">
            <w:pPr>
              <w:jc w:val="center"/>
              <w:rPr>
                <w:rFonts w:ascii="宋体" w:hAnsi="宋体" w:cs="宋体"/>
                <w:color w:val="auto"/>
                <w:sz w:val="24"/>
              </w:rPr>
            </w:pPr>
          </w:p>
        </w:tc>
        <w:tc>
          <w:tcPr>
            <w:tcW w:w="1875" w:type="dxa"/>
            <w:noWrap w:val="0"/>
            <w:vAlign w:val="center"/>
          </w:tcPr>
          <w:p w14:paraId="3231449D">
            <w:pPr>
              <w:jc w:val="center"/>
              <w:rPr>
                <w:rFonts w:ascii="宋体" w:hAnsi="宋体" w:cs="宋体"/>
                <w:color w:val="auto"/>
                <w:sz w:val="24"/>
              </w:rPr>
            </w:pPr>
          </w:p>
        </w:tc>
        <w:tc>
          <w:tcPr>
            <w:tcW w:w="1009" w:type="dxa"/>
            <w:noWrap w:val="0"/>
            <w:vAlign w:val="center"/>
          </w:tcPr>
          <w:p w14:paraId="19E11D54">
            <w:pPr>
              <w:jc w:val="center"/>
              <w:rPr>
                <w:rFonts w:ascii="宋体" w:hAnsi="宋体" w:cs="宋体"/>
                <w:color w:val="auto"/>
                <w:sz w:val="24"/>
              </w:rPr>
            </w:pPr>
          </w:p>
        </w:tc>
      </w:tr>
      <w:tr w14:paraId="047B4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B9C1F0E">
            <w:pPr>
              <w:jc w:val="center"/>
              <w:rPr>
                <w:rFonts w:ascii="宋体" w:hAnsi="宋体" w:cs="宋体"/>
                <w:color w:val="auto"/>
                <w:sz w:val="24"/>
              </w:rPr>
            </w:pPr>
          </w:p>
        </w:tc>
        <w:tc>
          <w:tcPr>
            <w:tcW w:w="1482" w:type="dxa"/>
            <w:noWrap w:val="0"/>
            <w:vAlign w:val="center"/>
          </w:tcPr>
          <w:p w14:paraId="5889DD10">
            <w:pPr>
              <w:jc w:val="center"/>
              <w:rPr>
                <w:rFonts w:ascii="宋体" w:hAnsi="宋体" w:cs="宋体"/>
                <w:color w:val="auto"/>
                <w:sz w:val="24"/>
              </w:rPr>
            </w:pPr>
          </w:p>
        </w:tc>
        <w:tc>
          <w:tcPr>
            <w:tcW w:w="2384" w:type="dxa"/>
            <w:noWrap w:val="0"/>
            <w:vAlign w:val="center"/>
          </w:tcPr>
          <w:p w14:paraId="06B0853E">
            <w:pPr>
              <w:jc w:val="center"/>
              <w:rPr>
                <w:rFonts w:ascii="宋体" w:hAnsi="宋体" w:cs="宋体"/>
                <w:color w:val="auto"/>
                <w:sz w:val="24"/>
              </w:rPr>
            </w:pPr>
          </w:p>
        </w:tc>
        <w:tc>
          <w:tcPr>
            <w:tcW w:w="2126" w:type="dxa"/>
            <w:noWrap w:val="0"/>
            <w:vAlign w:val="center"/>
          </w:tcPr>
          <w:p w14:paraId="0BECEA8E">
            <w:pPr>
              <w:jc w:val="center"/>
              <w:rPr>
                <w:rFonts w:ascii="宋体" w:hAnsi="宋体" w:cs="宋体"/>
                <w:color w:val="auto"/>
                <w:sz w:val="24"/>
              </w:rPr>
            </w:pPr>
          </w:p>
        </w:tc>
        <w:tc>
          <w:tcPr>
            <w:tcW w:w="1875" w:type="dxa"/>
            <w:noWrap w:val="0"/>
            <w:vAlign w:val="center"/>
          </w:tcPr>
          <w:p w14:paraId="6066D631">
            <w:pPr>
              <w:jc w:val="center"/>
              <w:rPr>
                <w:rFonts w:ascii="宋体" w:hAnsi="宋体" w:cs="宋体"/>
                <w:color w:val="auto"/>
                <w:sz w:val="24"/>
              </w:rPr>
            </w:pPr>
          </w:p>
        </w:tc>
        <w:tc>
          <w:tcPr>
            <w:tcW w:w="1009" w:type="dxa"/>
            <w:noWrap w:val="0"/>
            <w:vAlign w:val="center"/>
          </w:tcPr>
          <w:p w14:paraId="1DBC52D6">
            <w:pPr>
              <w:jc w:val="center"/>
              <w:rPr>
                <w:rFonts w:ascii="宋体" w:hAnsi="宋体" w:cs="宋体"/>
                <w:color w:val="auto"/>
                <w:sz w:val="24"/>
              </w:rPr>
            </w:pPr>
          </w:p>
        </w:tc>
      </w:tr>
      <w:tr w14:paraId="681CF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CFCDFE">
            <w:pPr>
              <w:jc w:val="center"/>
              <w:rPr>
                <w:rFonts w:ascii="宋体" w:hAnsi="宋体" w:cs="宋体"/>
                <w:color w:val="auto"/>
                <w:sz w:val="24"/>
              </w:rPr>
            </w:pPr>
          </w:p>
        </w:tc>
        <w:tc>
          <w:tcPr>
            <w:tcW w:w="1482" w:type="dxa"/>
            <w:noWrap w:val="0"/>
            <w:vAlign w:val="center"/>
          </w:tcPr>
          <w:p w14:paraId="56971B6C">
            <w:pPr>
              <w:jc w:val="center"/>
              <w:rPr>
                <w:rFonts w:ascii="宋体" w:hAnsi="宋体" w:cs="宋体"/>
                <w:color w:val="auto"/>
                <w:sz w:val="24"/>
              </w:rPr>
            </w:pPr>
          </w:p>
        </w:tc>
        <w:tc>
          <w:tcPr>
            <w:tcW w:w="2384" w:type="dxa"/>
            <w:noWrap w:val="0"/>
            <w:vAlign w:val="center"/>
          </w:tcPr>
          <w:p w14:paraId="4641227E">
            <w:pPr>
              <w:jc w:val="center"/>
              <w:rPr>
                <w:rFonts w:ascii="宋体" w:hAnsi="宋体" w:cs="宋体"/>
                <w:color w:val="auto"/>
                <w:sz w:val="24"/>
              </w:rPr>
            </w:pPr>
          </w:p>
        </w:tc>
        <w:tc>
          <w:tcPr>
            <w:tcW w:w="2126" w:type="dxa"/>
            <w:noWrap w:val="0"/>
            <w:vAlign w:val="center"/>
          </w:tcPr>
          <w:p w14:paraId="6124714F">
            <w:pPr>
              <w:jc w:val="center"/>
              <w:rPr>
                <w:rFonts w:ascii="宋体" w:hAnsi="宋体" w:cs="宋体"/>
                <w:color w:val="auto"/>
                <w:sz w:val="24"/>
              </w:rPr>
            </w:pPr>
          </w:p>
        </w:tc>
        <w:tc>
          <w:tcPr>
            <w:tcW w:w="1875" w:type="dxa"/>
            <w:noWrap w:val="0"/>
            <w:vAlign w:val="center"/>
          </w:tcPr>
          <w:p w14:paraId="6072041B">
            <w:pPr>
              <w:jc w:val="center"/>
              <w:rPr>
                <w:rFonts w:ascii="宋体" w:hAnsi="宋体" w:cs="宋体"/>
                <w:color w:val="auto"/>
                <w:sz w:val="24"/>
              </w:rPr>
            </w:pPr>
          </w:p>
        </w:tc>
        <w:tc>
          <w:tcPr>
            <w:tcW w:w="1009" w:type="dxa"/>
            <w:noWrap w:val="0"/>
            <w:vAlign w:val="center"/>
          </w:tcPr>
          <w:p w14:paraId="379B4C7D">
            <w:pPr>
              <w:jc w:val="center"/>
              <w:rPr>
                <w:rFonts w:ascii="宋体" w:hAnsi="宋体" w:cs="宋体"/>
                <w:color w:val="auto"/>
                <w:sz w:val="24"/>
              </w:rPr>
            </w:pPr>
          </w:p>
        </w:tc>
      </w:tr>
      <w:tr w14:paraId="077E8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3CE306">
            <w:pPr>
              <w:jc w:val="center"/>
              <w:rPr>
                <w:rFonts w:ascii="宋体" w:hAnsi="宋体" w:cs="宋体"/>
                <w:color w:val="auto"/>
                <w:sz w:val="24"/>
              </w:rPr>
            </w:pPr>
          </w:p>
        </w:tc>
        <w:tc>
          <w:tcPr>
            <w:tcW w:w="1482" w:type="dxa"/>
            <w:noWrap w:val="0"/>
            <w:vAlign w:val="center"/>
          </w:tcPr>
          <w:p w14:paraId="5CD3F77A">
            <w:pPr>
              <w:jc w:val="center"/>
              <w:rPr>
                <w:rFonts w:ascii="宋体" w:hAnsi="宋体" w:cs="宋体"/>
                <w:color w:val="auto"/>
                <w:sz w:val="24"/>
              </w:rPr>
            </w:pPr>
          </w:p>
        </w:tc>
        <w:tc>
          <w:tcPr>
            <w:tcW w:w="2384" w:type="dxa"/>
            <w:noWrap w:val="0"/>
            <w:vAlign w:val="center"/>
          </w:tcPr>
          <w:p w14:paraId="196DAC01">
            <w:pPr>
              <w:jc w:val="center"/>
              <w:rPr>
                <w:rFonts w:ascii="宋体" w:hAnsi="宋体" w:cs="宋体"/>
                <w:color w:val="auto"/>
                <w:sz w:val="24"/>
              </w:rPr>
            </w:pPr>
          </w:p>
        </w:tc>
        <w:tc>
          <w:tcPr>
            <w:tcW w:w="2126" w:type="dxa"/>
            <w:noWrap w:val="0"/>
            <w:vAlign w:val="center"/>
          </w:tcPr>
          <w:p w14:paraId="1F61F7E4">
            <w:pPr>
              <w:jc w:val="center"/>
              <w:rPr>
                <w:rFonts w:ascii="宋体" w:hAnsi="宋体" w:cs="宋体"/>
                <w:color w:val="auto"/>
                <w:sz w:val="24"/>
              </w:rPr>
            </w:pPr>
          </w:p>
        </w:tc>
        <w:tc>
          <w:tcPr>
            <w:tcW w:w="1875" w:type="dxa"/>
            <w:noWrap w:val="0"/>
            <w:vAlign w:val="center"/>
          </w:tcPr>
          <w:p w14:paraId="1CE05274">
            <w:pPr>
              <w:jc w:val="center"/>
              <w:rPr>
                <w:rFonts w:ascii="宋体" w:hAnsi="宋体" w:cs="宋体"/>
                <w:color w:val="auto"/>
                <w:sz w:val="24"/>
              </w:rPr>
            </w:pPr>
          </w:p>
        </w:tc>
        <w:tc>
          <w:tcPr>
            <w:tcW w:w="1009" w:type="dxa"/>
            <w:noWrap w:val="0"/>
            <w:vAlign w:val="center"/>
          </w:tcPr>
          <w:p w14:paraId="7C33382E">
            <w:pPr>
              <w:jc w:val="center"/>
              <w:rPr>
                <w:rFonts w:ascii="宋体" w:hAnsi="宋体" w:cs="宋体"/>
                <w:color w:val="auto"/>
                <w:sz w:val="24"/>
              </w:rPr>
            </w:pPr>
          </w:p>
        </w:tc>
      </w:tr>
      <w:tr w14:paraId="2422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0FE6DD6">
            <w:pPr>
              <w:jc w:val="center"/>
              <w:rPr>
                <w:rFonts w:ascii="宋体" w:hAnsi="宋体" w:cs="宋体"/>
                <w:color w:val="auto"/>
                <w:sz w:val="24"/>
              </w:rPr>
            </w:pPr>
            <w:r>
              <w:rPr>
                <w:rFonts w:hint="eastAsia" w:ascii="宋体" w:hAnsi="宋体" w:cs="宋体"/>
                <w:color w:val="auto"/>
                <w:sz w:val="24"/>
              </w:rPr>
              <w:t>……</w:t>
            </w:r>
          </w:p>
        </w:tc>
        <w:tc>
          <w:tcPr>
            <w:tcW w:w="1482" w:type="dxa"/>
            <w:noWrap w:val="0"/>
            <w:vAlign w:val="center"/>
          </w:tcPr>
          <w:p w14:paraId="1F6B501D">
            <w:pPr>
              <w:jc w:val="center"/>
              <w:rPr>
                <w:rFonts w:ascii="宋体" w:hAnsi="宋体" w:cs="宋体"/>
                <w:color w:val="auto"/>
                <w:sz w:val="24"/>
              </w:rPr>
            </w:pPr>
          </w:p>
        </w:tc>
        <w:tc>
          <w:tcPr>
            <w:tcW w:w="2384" w:type="dxa"/>
            <w:noWrap w:val="0"/>
            <w:vAlign w:val="center"/>
          </w:tcPr>
          <w:p w14:paraId="10D987C7">
            <w:pPr>
              <w:jc w:val="center"/>
              <w:rPr>
                <w:rFonts w:ascii="宋体" w:hAnsi="宋体" w:cs="宋体"/>
                <w:color w:val="auto"/>
                <w:sz w:val="24"/>
              </w:rPr>
            </w:pPr>
          </w:p>
        </w:tc>
        <w:tc>
          <w:tcPr>
            <w:tcW w:w="2126" w:type="dxa"/>
            <w:noWrap w:val="0"/>
            <w:vAlign w:val="center"/>
          </w:tcPr>
          <w:p w14:paraId="0D8FE993">
            <w:pPr>
              <w:jc w:val="center"/>
              <w:rPr>
                <w:rFonts w:ascii="宋体" w:hAnsi="宋体" w:cs="宋体"/>
                <w:color w:val="auto"/>
                <w:sz w:val="24"/>
              </w:rPr>
            </w:pPr>
          </w:p>
        </w:tc>
        <w:tc>
          <w:tcPr>
            <w:tcW w:w="1875" w:type="dxa"/>
            <w:noWrap w:val="0"/>
            <w:vAlign w:val="center"/>
          </w:tcPr>
          <w:p w14:paraId="1FE70D03">
            <w:pPr>
              <w:jc w:val="center"/>
              <w:rPr>
                <w:rFonts w:ascii="宋体" w:hAnsi="宋体" w:cs="宋体"/>
                <w:color w:val="auto"/>
                <w:sz w:val="24"/>
              </w:rPr>
            </w:pPr>
          </w:p>
        </w:tc>
        <w:tc>
          <w:tcPr>
            <w:tcW w:w="1009" w:type="dxa"/>
            <w:noWrap w:val="0"/>
            <w:vAlign w:val="center"/>
          </w:tcPr>
          <w:p w14:paraId="4C1ECC4C">
            <w:pPr>
              <w:jc w:val="center"/>
              <w:rPr>
                <w:rFonts w:ascii="宋体" w:hAnsi="宋体" w:cs="宋体"/>
                <w:color w:val="auto"/>
                <w:sz w:val="24"/>
              </w:rPr>
            </w:pPr>
          </w:p>
        </w:tc>
      </w:tr>
    </w:tbl>
    <w:p w14:paraId="54BDAA5C">
      <w:pPr>
        <w:tabs>
          <w:tab w:val="left" w:pos="1800"/>
          <w:tab w:val="left" w:pos="5580"/>
        </w:tabs>
        <w:spacing w:line="360" w:lineRule="auto"/>
        <w:ind w:firstLine="360"/>
        <w:jc w:val="left"/>
        <w:rPr>
          <w:rFonts w:ascii="宋体" w:hAnsi="宋体" w:cs="宋体"/>
          <w:color w:val="auto"/>
          <w:sz w:val="24"/>
          <w:u w:val="single"/>
        </w:rPr>
      </w:pPr>
    </w:p>
    <w:p w14:paraId="7AA55E39">
      <w:pPr>
        <w:tabs>
          <w:tab w:val="left" w:pos="1800"/>
          <w:tab w:val="left" w:pos="5580"/>
        </w:tabs>
        <w:jc w:val="left"/>
        <w:rPr>
          <w:rFonts w:ascii="宋体" w:hAnsi="宋体" w:cs="宋体"/>
          <w:color w:val="auto"/>
          <w:sz w:val="24"/>
        </w:rPr>
      </w:pPr>
      <w:r>
        <w:rPr>
          <w:rFonts w:hint="eastAsia" w:ascii="宋体" w:hAnsi="宋体" w:cs="宋体"/>
          <w:color w:val="auto"/>
          <w:sz w:val="24"/>
        </w:rPr>
        <w:t>注：</w:t>
      </w:r>
    </w:p>
    <w:p w14:paraId="373AF88E">
      <w:pPr>
        <w:tabs>
          <w:tab w:val="left" w:pos="1800"/>
          <w:tab w:val="left" w:pos="5580"/>
        </w:tabs>
        <w:jc w:val="left"/>
        <w:rPr>
          <w:rFonts w:ascii="宋体" w:hAnsi="宋体" w:cs="宋体"/>
          <w:color w:val="auto"/>
          <w:sz w:val="24"/>
        </w:rPr>
      </w:pPr>
      <w:r>
        <w:rPr>
          <w:rFonts w:hint="eastAsia" w:ascii="宋体" w:hAnsi="宋体" w:cs="宋体"/>
          <w:color w:val="auto"/>
          <w:sz w:val="24"/>
        </w:rPr>
        <w:t>1. 对招标文件中的所有商务、技术要求，除本表所列明的所有偏离外，均视作供应商已对之理解和响应。此表中若无任何文字说明，内容为空白，</w:t>
      </w:r>
      <w:r>
        <w:rPr>
          <w:rFonts w:hint="eastAsia" w:ascii="宋体" w:hAnsi="宋体" w:cs="宋体"/>
          <w:b/>
          <w:color w:val="auto"/>
          <w:sz w:val="24"/>
        </w:rPr>
        <w:t>投标无效。</w:t>
      </w:r>
    </w:p>
    <w:p w14:paraId="0BC53D28">
      <w:pPr>
        <w:tabs>
          <w:tab w:val="left" w:pos="1800"/>
          <w:tab w:val="left" w:pos="5580"/>
        </w:tabs>
        <w:jc w:val="left"/>
        <w:rPr>
          <w:rFonts w:ascii="宋体" w:hAnsi="宋体" w:cs="宋体"/>
          <w:color w:val="auto"/>
          <w:sz w:val="24"/>
        </w:rPr>
      </w:pPr>
      <w:r>
        <w:rPr>
          <w:rFonts w:hint="eastAsia" w:ascii="宋体" w:hAnsi="宋体" w:cs="宋体"/>
          <w:color w:val="auto"/>
          <w:sz w:val="24"/>
        </w:rPr>
        <w:t>2.“偏离情况”列应据实填写“正偏离”或“负偏离”。</w:t>
      </w:r>
    </w:p>
    <w:p w14:paraId="5C77286C">
      <w:pPr>
        <w:tabs>
          <w:tab w:val="left" w:pos="1800"/>
          <w:tab w:val="left" w:pos="5580"/>
        </w:tabs>
        <w:jc w:val="left"/>
        <w:rPr>
          <w:rFonts w:ascii="宋体" w:hAnsi="宋体" w:cs="宋体"/>
          <w:color w:val="auto"/>
          <w:sz w:val="24"/>
        </w:rPr>
      </w:pPr>
    </w:p>
    <w:p w14:paraId="4272F7F9">
      <w:pPr>
        <w:tabs>
          <w:tab w:val="left" w:pos="1800"/>
          <w:tab w:val="left" w:pos="5580"/>
        </w:tabs>
        <w:jc w:val="left"/>
        <w:rPr>
          <w:rFonts w:ascii="宋体" w:hAnsi="宋体" w:cs="宋体"/>
          <w:color w:val="auto"/>
          <w:sz w:val="24"/>
        </w:rPr>
      </w:pPr>
    </w:p>
    <w:p w14:paraId="43E23F25">
      <w:pPr>
        <w:rPr>
          <w:rFonts w:ascii="宋体" w:hAnsi="宋体" w:cs="宋体"/>
          <w:color w:val="auto"/>
          <w:sz w:val="24"/>
          <w:szCs w:val="20"/>
        </w:rPr>
      </w:pPr>
    </w:p>
    <w:p w14:paraId="3B48E008">
      <w:pPr>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104FFE2B">
      <w:pPr>
        <w:spacing w:before="25" w:after="25" w:line="360" w:lineRule="auto"/>
        <w:rPr>
          <w:rFonts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：____________</w:t>
      </w:r>
    </w:p>
    <w:p w14:paraId="0EAF32A8">
      <w:pPr>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04D78DAE">
      <w:pPr>
        <w:spacing w:line="360" w:lineRule="auto"/>
        <w:outlineLvl w:val="2"/>
        <w:rPr>
          <w:rFonts w:ascii="宋体" w:hAnsi="宋体" w:cs="宋体"/>
          <w:color w:val="auto"/>
          <w:sz w:val="24"/>
          <w:szCs w:val="20"/>
        </w:rPr>
      </w:pPr>
      <w:r>
        <w:rPr>
          <w:rFonts w:hint="eastAsia" w:ascii="宋体" w:hAnsi="宋体" w:cs="宋体"/>
          <w:color w:val="auto"/>
          <w:sz w:val="24"/>
          <w:szCs w:val="20"/>
        </w:rPr>
        <w:br w:type="page" w:clear="all"/>
      </w:r>
    </w:p>
    <w:p w14:paraId="2F2DED17">
      <w:pPr>
        <w:rPr>
          <w:rFonts w:ascii="宋体" w:hAnsi="宋体" w:cs="宋体"/>
          <w:color w:val="auto"/>
          <w:sz w:val="24"/>
          <w:szCs w:val="20"/>
        </w:rPr>
      </w:pPr>
      <w:r>
        <w:rPr>
          <w:rFonts w:hint="eastAsia" w:ascii="宋体" w:hAnsi="宋体" w:cs="宋体"/>
          <w:color w:val="auto"/>
          <w:sz w:val="24"/>
          <w:szCs w:val="20"/>
          <w:lang w:val="en-US" w:eastAsia="zh-CN"/>
        </w:rPr>
        <w:t>8</w:t>
      </w:r>
      <w:r>
        <w:rPr>
          <w:rFonts w:hint="eastAsia" w:ascii="宋体" w:hAnsi="宋体" w:cs="宋体"/>
          <w:color w:val="auto"/>
          <w:sz w:val="24"/>
          <w:szCs w:val="20"/>
        </w:rPr>
        <w:t xml:space="preserve">  项目实施方案等</w:t>
      </w:r>
    </w:p>
    <w:p w14:paraId="7C426775">
      <w:pPr>
        <w:spacing w:line="360" w:lineRule="auto"/>
        <w:outlineLvl w:val="2"/>
        <w:rPr>
          <w:rFonts w:ascii="宋体" w:hAnsi="宋体" w:cs="宋体"/>
          <w:color w:val="auto"/>
          <w:sz w:val="24"/>
          <w:szCs w:val="20"/>
        </w:rPr>
      </w:pPr>
    </w:p>
    <w:p w14:paraId="4BB9D090">
      <w:pPr>
        <w:rPr>
          <w:rFonts w:ascii="宋体" w:hAnsi="宋体" w:cs="宋体"/>
          <w:color w:val="auto"/>
          <w:sz w:val="24"/>
          <w:szCs w:val="20"/>
        </w:rPr>
      </w:pPr>
      <w:bookmarkStart w:id="199" w:name="_Toc288738839"/>
      <w:bookmarkStart w:id="200" w:name="_Toc288738397"/>
      <w:r>
        <w:rPr>
          <w:rFonts w:hint="eastAsia" w:ascii="宋体" w:hAnsi="宋体" w:cs="宋体"/>
          <w:color w:val="auto"/>
          <w:sz w:val="24"/>
          <w:szCs w:val="20"/>
          <w:lang w:val="en-US" w:eastAsia="zh-CN"/>
        </w:rPr>
        <w:t>9</w:t>
      </w:r>
      <w:r>
        <w:rPr>
          <w:rFonts w:hint="eastAsia" w:ascii="宋体" w:hAnsi="宋体" w:cs="宋体"/>
          <w:color w:val="auto"/>
          <w:sz w:val="24"/>
          <w:szCs w:val="20"/>
        </w:rPr>
        <w:t xml:space="preserve">  相关业绩案例一览表</w:t>
      </w:r>
    </w:p>
    <w:p w14:paraId="6F12BFEB">
      <w:pPr>
        <w:rPr>
          <w:rFonts w:ascii="宋体" w:hAnsi="宋体" w:cs="宋体"/>
          <w:color w:val="auto"/>
          <w:sz w:val="24"/>
          <w:szCs w:val="20"/>
        </w:rPr>
      </w:pPr>
    </w:p>
    <w:p w14:paraId="1B5CBD24">
      <w:pPr>
        <w:jc w:val="center"/>
        <w:rPr>
          <w:rFonts w:ascii="宋体" w:hAnsi="宋体" w:cs="宋体"/>
          <w:b/>
          <w:color w:val="auto"/>
          <w:sz w:val="32"/>
          <w:szCs w:val="32"/>
        </w:rPr>
      </w:pPr>
      <w:r>
        <w:rPr>
          <w:rFonts w:hint="eastAsia" w:ascii="宋体" w:hAnsi="宋体" w:cs="宋体"/>
          <w:b/>
          <w:color w:val="auto"/>
          <w:sz w:val="32"/>
          <w:szCs w:val="32"/>
        </w:rPr>
        <w:t>相关业绩案例一览表</w:t>
      </w:r>
      <w:bookmarkEnd w:id="199"/>
      <w:bookmarkEnd w:id="200"/>
    </w:p>
    <w:p w14:paraId="35533CD4">
      <w:pPr>
        <w:spacing w:line="360" w:lineRule="auto"/>
        <w:jc w:val="center"/>
        <w:rPr>
          <w:rFonts w:ascii="宋体" w:hAnsi="宋体" w:cs="宋体"/>
          <w:b/>
          <w:color w:val="auto"/>
          <w:sz w:val="28"/>
          <w:szCs w:val="30"/>
        </w:rPr>
      </w:pPr>
    </w:p>
    <w:p w14:paraId="0BEF7ECB">
      <w:pPr>
        <w:spacing w:line="360" w:lineRule="auto"/>
        <w:ind w:firstLine="480"/>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tbl>
      <w:tblPr>
        <w:tblStyle w:val="40"/>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14:paraId="4073CC48">
        <w:tblPrEx>
          <w:tblCellMar>
            <w:top w:w="0" w:type="dxa"/>
            <w:left w:w="108" w:type="dxa"/>
            <w:bottom w:w="0" w:type="dxa"/>
            <w:right w:w="108" w:type="dxa"/>
          </w:tblCellMar>
        </w:tblPrEx>
        <w:trPr>
          <w:trHeight w:val="498" w:hRule="atLeast"/>
          <w:jc w:val="center"/>
        </w:trPr>
        <w:tc>
          <w:tcPr>
            <w:tcW w:w="1284" w:type="dxa"/>
            <w:tcBorders>
              <w:top w:val="single" w:color="000000" w:sz="6" w:space="0"/>
              <w:left w:val="single" w:color="000000" w:sz="6" w:space="0"/>
              <w:bottom w:val="single" w:color="000000" w:sz="6" w:space="0"/>
              <w:right w:val="single" w:color="000000" w:sz="6" w:space="0"/>
            </w:tcBorders>
            <w:noWrap w:val="0"/>
            <w:vAlign w:val="center"/>
          </w:tcPr>
          <w:p w14:paraId="39C30C65">
            <w:pPr>
              <w:tabs>
                <w:tab w:val="left" w:pos="9765"/>
              </w:tabs>
              <w:spacing w:line="360" w:lineRule="auto"/>
              <w:jc w:val="center"/>
              <w:rPr>
                <w:rFonts w:ascii="宋体" w:hAnsi="宋体" w:cs="宋体"/>
                <w:color w:val="auto"/>
                <w:sz w:val="24"/>
                <w:lang w:val="zh-CN"/>
              </w:rPr>
            </w:pPr>
            <w:r>
              <w:rPr>
                <w:rFonts w:hint="eastAsia" w:ascii="宋体" w:hAnsi="宋体" w:cs="宋体"/>
                <w:color w:val="auto"/>
                <w:sz w:val="24"/>
                <w:lang w:val="zh-CN"/>
              </w:rPr>
              <w:t>项目时间</w:t>
            </w:r>
          </w:p>
        </w:tc>
        <w:tc>
          <w:tcPr>
            <w:tcW w:w="1681" w:type="dxa"/>
            <w:tcBorders>
              <w:top w:val="single" w:color="000000" w:sz="6" w:space="0"/>
              <w:left w:val="single" w:color="000000" w:sz="6" w:space="0"/>
              <w:bottom w:val="single" w:color="000000" w:sz="6" w:space="0"/>
              <w:right w:val="single" w:color="000000" w:sz="6" w:space="0"/>
            </w:tcBorders>
            <w:noWrap w:val="0"/>
            <w:vAlign w:val="center"/>
          </w:tcPr>
          <w:p w14:paraId="6DFCBF57">
            <w:pPr>
              <w:tabs>
                <w:tab w:val="left" w:pos="9765"/>
              </w:tabs>
              <w:spacing w:line="360" w:lineRule="auto"/>
              <w:jc w:val="center"/>
              <w:rPr>
                <w:rFonts w:ascii="宋体" w:hAnsi="宋体" w:cs="宋体"/>
                <w:color w:val="auto"/>
                <w:sz w:val="24"/>
                <w:lang w:val="zh-CN"/>
              </w:rPr>
            </w:pPr>
            <w:r>
              <w:rPr>
                <w:rFonts w:hint="eastAsia" w:ascii="宋体" w:hAnsi="宋体" w:cs="宋体"/>
                <w:color w:val="auto"/>
                <w:sz w:val="24"/>
                <w:lang w:val="zh-CN"/>
              </w:rPr>
              <w:t>项目甲方单位</w:t>
            </w: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2174BC38">
            <w:pPr>
              <w:tabs>
                <w:tab w:val="left" w:pos="9765"/>
              </w:tabs>
              <w:spacing w:line="360" w:lineRule="auto"/>
              <w:jc w:val="center"/>
              <w:rPr>
                <w:rFonts w:ascii="宋体" w:hAnsi="宋体" w:cs="宋体"/>
                <w:color w:val="auto"/>
                <w:sz w:val="24"/>
                <w:lang w:val="zh-CN"/>
              </w:rPr>
            </w:pPr>
            <w:r>
              <w:rPr>
                <w:rFonts w:hint="eastAsia" w:ascii="宋体" w:hAnsi="宋体" w:cs="宋体"/>
                <w:color w:val="auto"/>
                <w:sz w:val="24"/>
                <w:lang w:val="zh-CN"/>
              </w:rPr>
              <w:t>项目名称</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3559DD64">
            <w:pPr>
              <w:tabs>
                <w:tab w:val="left" w:pos="9765"/>
              </w:tabs>
              <w:spacing w:line="360" w:lineRule="auto"/>
              <w:jc w:val="center"/>
              <w:rPr>
                <w:rFonts w:ascii="宋体" w:hAnsi="宋体" w:cs="宋体"/>
                <w:color w:val="auto"/>
                <w:sz w:val="24"/>
                <w:lang w:val="zh-CN"/>
              </w:rPr>
            </w:pPr>
            <w:r>
              <w:rPr>
                <w:rFonts w:hint="eastAsia" w:ascii="宋体" w:hAnsi="宋体" w:cs="宋体"/>
                <w:color w:val="auto"/>
                <w:sz w:val="24"/>
                <w:lang w:val="zh-CN"/>
              </w:rPr>
              <w:t>合同金额</w:t>
            </w:r>
          </w:p>
        </w:tc>
        <w:tc>
          <w:tcPr>
            <w:tcW w:w="1730" w:type="dxa"/>
            <w:tcBorders>
              <w:top w:val="single" w:color="000000" w:sz="6" w:space="0"/>
              <w:left w:val="single" w:color="000000" w:sz="6" w:space="0"/>
              <w:bottom w:val="single" w:color="000000" w:sz="6" w:space="0"/>
              <w:right w:val="single" w:color="000000" w:sz="6" w:space="0"/>
            </w:tcBorders>
            <w:noWrap w:val="0"/>
            <w:vAlign w:val="center"/>
          </w:tcPr>
          <w:p w14:paraId="709A64D3">
            <w:pPr>
              <w:tabs>
                <w:tab w:val="left" w:pos="9765"/>
              </w:tabs>
              <w:spacing w:line="360" w:lineRule="auto"/>
              <w:jc w:val="center"/>
              <w:rPr>
                <w:rFonts w:ascii="宋体" w:hAnsi="宋体" w:cs="宋体"/>
                <w:color w:val="auto"/>
                <w:sz w:val="24"/>
                <w:lang w:val="zh-CN"/>
              </w:rPr>
            </w:pPr>
            <w:r>
              <w:rPr>
                <w:rFonts w:hint="eastAsia" w:ascii="宋体" w:hAnsi="宋体" w:cs="宋体"/>
                <w:color w:val="auto"/>
                <w:sz w:val="24"/>
                <w:lang w:val="zh-CN"/>
              </w:rPr>
              <w:t>单位地址</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11933354">
            <w:pPr>
              <w:tabs>
                <w:tab w:val="left" w:pos="9765"/>
              </w:tabs>
              <w:spacing w:line="360" w:lineRule="auto"/>
              <w:jc w:val="center"/>
              <w:rPr>
                <w:rFonts w:ascii="宋体" w:hAnsi="宋体" w:cs="宋体"/>
                <w:color w:val="auto"/>
                <w:sz w:val="24"/>
                <w:lang w:val="zh-CN"/>
              </w:rPr>
            </w:pPr>
            <w:r>
              <w:rPr>
                <w:rFonts w:hint="eastAsia" w:ascii="宋体" w:hAnsi="宋体" w:cs="宋体"/>
                <w:color w:val="auto"/>
                <w:sz w:val="24"/>
                <w:lang w:val="zh-CN"/>
              </w:rPr>
              <w:t>联系电话</w:t>
            </w:r>
          </w:p>
        </w:tc>
      </w:tr>
      <w:tr w14:paraId="4C448CA5">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vAlign w:val="center"/>
          </w:tcPr>
          <w:p w14:paraId="1A0AA749">
            <w:pPr>
              <w:tabs>
                <w:tab w:val="left" w:pos="9765"/>
              </w:tabs>
              <w:spacing w:line="360" w:lineRule="auto"/>
              <w:jc w:val="center"/>
              <w:rPr>
                <w:rFonts w:ascii="宋体" w:hAnsi="宋体" w:cs="宋体"/>
                <w:color w:val="auto"/>
                <w:sz w:val="24"/>
              </w:rPr>
            </w:pPr>
          </w:p>
        </w:tc>
        <w:tc>
          <w:tcPr>
            <w:tcW w:w="1681" w:type="dxa"/>
            <w:tcBorders>
              <w:top w:val="single" w:color="000000" w:sz="6" w:space="0"/>
              <w:left w:val="single" w:color="000000" w:sz="6" w:space="0"/>
              <w:bottom w:val="single" w:color="000000" w:sz="6" w:space="0"/>
              <w:right w:val="single" w:color="000000" w:sz="6" w:space="0"/>
            </w:tcBorders>
            <w:noWrap w:val="0"/>
            <w:vAlign w:val="center"/>
          </w:tcPr>
          <w:p w14:paraId="582CF49E">
            <w:pPr>
              <w:tabs>
                <w:tab w:val="left" w:pos="9765"/>
              </w:tabs>
              <w:spacing w:line="360" w:lineRule="auto"/>
              <w:jc w:val="center"/>
              <w:rPr>
                <w:rFonts w:ascii="宋体" w:hAnsi="宋体" w:cs="宋体"/>
                <w:color w:val="auto"/>
                <w:sz w:val="24"/>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52D35B97">
            <w:pPr>
              <w:tabs>
                <w:tab w:val="left" w:pos="9765"/>
              </w:tabs>
              <w:spacing w:line="360" w:lineRule="auto"/>
              <w:jc w:val="center"/>
              <w:rPr>
                <w:rFonts w:ascii="宋体" w:hAnsi="宋体" w:cs="宋体"/>
                <w:color w:val="auto"/>
                <w:sz w:val="24"/>
              </w:rPr>
            </w:pP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3D0B9C39">
            <w:pPr>
              <w:tabs>
                <w:tab w:val="left" w:pos="9765"/>
              </w:tabs>
              <w:spacing w:line="360" w:lineRule="auto"/>
              <w:jc w:val="center"/>
              <w:rPr>
                <w:rFonts w:ascii="宋体" w:hAnsi="宋体" w:cs="宋体"/>
                <w:color w:val="auto"/>
                <w:sz w:val="24"/>
              </w:rPr>
            </w:pPr>
          </w:p>
        </w:tc>
        <w:tc>
          <w:tcPr>
            <w:tcW w:w="1730" w:type="dxa"/>
            <w:tcBorders>
              <w:top w:val="single" w:color="000000" w:sz="6" w:space="0"/>
              <w:left w:val="single" w:color="000000" w:sz="6" w:space="0"/>
              <w:bottom w:val="single" w:color="000000" w:sz="6" w:space="0"/>
              <w:right w:val="single" w:color="000000" w:sz="6" w:space="0"/>
            </w:tcBorders>
            <w:noWrap w:val="0"/>
            <w:vAlign w:val="center"/>
          </w:tcPr>
          <w:p w14:paraId="3878F97F">
            <w:pPr>
              <w:tabs>
                <w:tab w:val="left" w:pos="9765"/>
              </w:tabs>
              <w:spacing w:line="360" w:lineRule="auto"/>
              <w:ind w:hanging="523"/>
              <w:jc w:val="center"/>
              <w:rPr>
                <w:rFonts w:ascii="宋体" w:hAnsi="宋体" w:cs="宋体"/>
                <w:color w:val="auto"/>
                <w:sz w:val="24"/>
              </w:rPr>
            </w:pP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2DB8353D">
            <w:pPr>
              <w:tabs>
                <w:tab w:val="left" w:pos="9765"/>
              </w:tabs>
              <w:spacing w:line="360" w:lineRule="auto"/>
              <w:ind w:hanging="523"/>
              <w:jc w:val="center"/>
              <w:rPr>
                <w:rFonts w:ascii="宋体" w:hAnsi="宋体" w:cs="宋体"/>
                <w:color w:val="auto"/>
                <w:sz w:val="24"/>
              </w:rPr>
            </w:pPr>
          </w:p>
        </w:tc>
      </w:tr>
      <w:tr w14:paraId="3244DA11">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5B5B3009">
            <w:pPr>
              <w:tabs>
                <w:tab w:val="left" w:pos="9765"/>
              </w:tabs>
              <w:spacing w:line="360" w:lineRule="auto"/>
              <w:rPr>
                <w:rFonts w:ascii="宋体" w:hAnsi="宋体" w:cs="宋体"/>
                <w:color w:val="auto"/>
                <w:sz w:val="24"/>
              </w:rPr>
            </w:pPr>
          </w:p>
        </w:tc>
        <w:tc>
          <w:tcPr>
            <w:tcW w:w="1681" w:type="dxa"/>
            <w:tcBorders>
              <w:top w:val="single" w:color="000000" w:sz="6" w:space="0"/>
              <w:left w:val="single" w:color="000000" w:sz="6" w:space="0"/>
              <w:bottom w:val="single" w:color="000000" w:sz="6" w:space="0"/>
              <w:right w:val="single" w:color="000000" w:sz="6" w:space="0"/>
            </w:tcBorders>
            <w:noWrap w:val="0"/>
          </w:tcPr>
          <w:p w14:paraId="051876F4">
            <w:pPr>
              <w:tabs>
                <w:tab w:val="left" w:pos="9765"/>
              </w:tabs>
              <w:spacing w:line="360" w:lineRule="auto"/>
              <w:rPr>
                <w:rFonts w:ascii="宋体" w:hAnsi="宋体" w:cs="宋体"/>
                <w:color w:val="auto"/>
                <w:sz w:val="24"/>
              </w:rPr>
            </w:pPr>
          </w:p>
        </w:tc>
        <w:tc>
          <w:tcPr>
            <w:tcW w:w="1521" w:type="dxa"/>
            <w:tcBorders>
              <w:top w:val="single" w:color="000000" w:sz="6" w:space="0"/>
              <w:left w:val="single" w:color="000000" w:sz="6" w:space="0"/>
              <w:bottom w:val="single" w:color="000000" w:sz="6" w:space="0"/>
              <w:right w:val="single" w:color="000000" w:sz="6" w:space="0"/>
            </w:tcBorders>
            <w:noWrap w:val="0"/>
          </w:tcPr>
          <w:p w14:paraId="0357C6C3">
            <w:pPr>
              <w:tabs>
                <w:tab w:val="left" w:pos="9765"/>
              </w:tabs>
              <w:spacing w:line="360" w:lineRule="auto"/>
              <w:rPr>
                <w:rFonts w:ascii="宋体" w:hAnsi="宋体" w:cs="宋体"/>
                <w:color w:val="auto"/>
                <w:sz w:val="24"/>
              </w:rPr>
            </w:pPr>
          </w:p>
        </w:tc>
        <w:tc>
          <w:tcPr>
            <w:tcW w:w="1198" w:type="dxa"/>
            <w:tcBorders>
              <w:top w:val="single" w:color="000000" w:sz="6" w:space="0"/>
              <w:left w:val="single" w:color="000000" w:sz="6" w:space="0"/>
              <w:bottom w:val="single" w:color="000000" w:sz="6" w:space="0"/>
              <w:right w:val="single" w:color="000000" w:sz="6" w:space="0"/>
            </w:tcBorders>
            <w:noWrap w:val="0"/>
          </w:tcPr>
          <w:p w14:paraId="6A4A1935">
            <w:pPr>
              <w:tabs>
                <w:tab w:val="left" w:pos="9765"/>
              </w:tabs>
              <w:spacing w:line="360" w:lineRule="auto"/>
              <w:rPr>
                <w:rFonts w:ascii="宋体" w:hAnsi="宋体" w:cs="宋体"/>
                <w:color w:val="auto"/>
                <w:sz w:val="24"/>
              </w:rPr>
            </w:pPr>
          </w:p>
        </w:tc>
        <w:tc>
          <w:tcPr>
            <w:tcW w:w="1730" w:type="dxa"/>
            <w:tcBorders>
              <w:top w:val="single" w:color="000000" w:sz="6" w:space="0"/>
              <w:left w:val="single" w:color="000000" w:sz="6" w:space="0"/>
              <w:bottom w:val="single" w:color="000000" w:sz="6" w:space="0"/>
              <w:right w:val="single" w:color="000000" w:sz="6" w:space="0"/>
            </w:tcBorders>
            <w:noWrap w:val="0"/>
          </w:tcPr>
          <w:p w14:paraId="6F8ACA14">
            <w:pPr>
              <w:tabs>
                <w:tab w:val="left" w:pos="9765"/>
              </w:tabs>
              <w:spacing w:line="360" w:lineRule="auto"/>
              <w:rPr>
                <w:rFonts w:ascii="宋体" w:hAnsi="宋体" w:cs="宋体"/>
                <w:color w:val="auto"/>
                <w:sz w:val="24"/>
              </w:rPr>
            </w:pPr>
          </w:p>
        </w:tc>
        <w:tc>
          <w:tcPr>
            <w:tcW w:w="1597" w:type="dxa"/>
            <w:tcBorders>
              <w:top w:val="single" w:color="000000" w:sz="6" w:space="0"/>
              <w:left w:val="single" w:color="000000" w:sz="6" w:space="0"/>
              <w:bottom w:val="single" w:color="000000" w:sz="6" w:space="0"/>
              <w:right w:val="single" w:color="000000" w:sz="6" w:space="0"/>
            </w:tcBorders>
            <w:noWrap w:val="0"/>
          </w:tcPr>
          <w:p w14:paraId="13E84055">
            <w:pPr>
              <w:tabs>
                <w:tab w:val="left" w:pos="9765"/>
              </w:tabs>
              <w:spacing w:line="360" w:lineRule="auto"/>
              <w:rPr>
                <w:rFonts w:ascii="宋体" w:hAnsi="宋体" w:cs="宋体"/>
                <w:color w:val="auto"/>
                <w:sz w:val="24"/>
              </w:rPr>
            </w:pPr>
          </w:p>
        </w:tc>
      </w:tr>
      <w:tr w14:paraId="2D227517">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47AE5F3C">
            <w:pPr>
              <w:tabs>
                <w:tab w:val="left" w:pos="9765"/>
              </w:tabs>
              <w:spacing w:line="360" w:lineRule="auto"/>
              <w:rPr>
                <w:rFonts w:ascii="宋体" w:hAnsi="宋体" w:cs="宋体"/>
                <w:color w:val="auto"/>
                <w:sz w:val="24"/>
              </w:rPr>
            </w:pPr>
          </w:p>
        </w:tc>
        <w:tc>
          <w:tcPr>
            <w:tcW w:w="1681" w:type="dxa"/>
            <w:tcBorders>
              <w:top w:val="single" w:color="000000" w:sz="6" w:space="0"/>
              <w:left w:val="single" w:color="000000" w:sz="6" w:space="0"/>
              <w:bottom w:val="single" w:color="000000" w:sz="6" w:space="0"/>
              <w:right w:val="single" w:color="000000" w:sz="6" w:space="0"/>
            </w:tcBorders>
            <w:noWrap w:val="0"/>
          </w:tcPr>
          <w:p w14:paraId="4DBC415F">
            <w:pPr>
              <w:tabs>
                <w:tab w:val="left" w:pos="9765"/>
              </w:tabs>
              <w:spacing w:line="360" w:lineRule="auto"/>
              <w:rPr>
                <w:rFonts w:ascii="宋体" w:hAnsi="宋体" w:cs="宋体"/>
                <w:color w:val="auto"/>
                <w:sz w:val="24"/>
              </w:rPr>
            </w:pPr>
          </w:p>
        </w:tc>
        <w:tc>
          <w:tcPr>
            <w:tcW w:w="1521" w:type="dxa"/>
            <w:tcBorders>
              <w:top w:val="single" w:color="000000" w:sz="6" w:space="0"/>
              <w:left w:val="single" w:color="000000" w:sz="6" w:space="0"/>
              <w:bottom w:val="single" w:color="000000" w:sz="6" w:space="0"/>
              <w:right w:val="single" w:color="000000" w:sz="6" w:space="0"/>
            </w:tcBorders>
            <w:noWrap w:val="0"/>
          </w:tcPr>
          <w:p w14:paraId="49A12551">
            <w:pPr>
              <w:tabs>
                <w:tab w:val="left" w:pos="9765"/>
              </w:tabs>
              <w:spacing w:line="360" w:lineRule="auto"/>
              <w:rPr>
                <w:rFonts w:ascii="宋体" w:hAnsi="宋体" w:cs="宋体"/>
                <w:color w:val="auto"/>
                <w:sz w:val="24"/>
              </w:rPr>
            </w:pPr>
          </w:p>
        </w:tc>
        <w:tc>
          <w:tcPr>
            <w:tcW w:w="1198" w:type="dxa"/>
            <w:tcBorders>
              <w:top w:val="single" w:color="000000" w:sz="6" w:space="0"/>
              <w:left w:val="single" w:color="000000" w:sz="6" w:space="0"/>
              <w:bottom w:val="single" w:color="000000" w:sz="6" w:space="0"/>
              <w:right w:val="single" w:color="000000" w:sz="6" w:space="0"/>
            </w:tcBorders>
            <w:noWrap w:val="0"/>
          </w:tcPr>
          <w:p w14:paraId="459EEED2">
            <w:pPr>
              <w:tabs>
                <w:tab w:val="left" w:pos="9765"/>
              </w:tabs>
              <w:spacing w:line="360" w:lineRule="auto"/>
              <w:rPr>
                <w:rFonts w:ascii="宋体" w:hAnsi="宋体" w:cs="宋体"/>
                <w:color w:val="auto"/>
                <w:sz w:val="24"/>
              </w:rPr>
            </w:pPr>
          </w:p>
        </w:tc>
        <w:tc>
          <w:tcPr>
            <w:tcW w:w="1730" w:type="dxa"/>
            <w:tcBorders>
              <w:top w:val="single" w:color="000000" w:sz="6" w:space="0"/>
              <w:left w:val="single" w:color="000000" w:sz="6" w:space="0"/>
              <w:bottom w:val="single" w:color="000000" w:sz="6" w:space="0"/>
              <w:right w:val="single" w:color="000000" w:sz="6" w:space="0"/>
            </w:tcBorders>
            <w:noWrap w:val="0"/>
          </w:tcPr>
          <w:p w14:paraId="5E7D9F1B">
            <w:pPr>
              <w:tabs>
                <w:tab w:val="left" w:pos="9765"/>
              </w:tabs>
              <w:spacing w:line="360" w:lineRule="auto"/>
              <w:rPr>
                <w:rFonts w:ascii="宋体" w:hAnsi="宋体" w:cs="宋体"/>
                <w:color w:val="auto"/>
                <w:sz w:val="24"/>
              </w:rPr>
            </w:pPr>
          </w:p>
        </w:tc>
        <w:tc>
          <w:tcPr>
            <w:tcW w:w="1597" w:type="dxa"/>
            <w:tcBorders>
              <w:top w:val="single" w:color="000000" w:sz="6" w:space="0"/>
              <w:left w:val="single" w:color="000000" w:sz="6" w:space="0"/>
              <w:bottom w:val="single" w:color="000000" w:sz="6" w:space="0"/>
              <w:right w:val="single" w:color="000000" w:sz="6" w:space="0"/>
            </w:tcBorders>
            <w:noWrap w:val="0"/>
          </w:tcPr>
          <w:p w14:paraId="6DB56E21">
            <w:pPr>
              <w:tabs>
                <w:tab w:val="left" w:pos="9765"/>
              </w:tabs>
              <w:spacing w:line="360" w:lineRule="auto"/>
              <w:rPr>
                <w:rFonts w:ascii="宋体" w:hAnsi="宋体" w:cs="宋体"/>
                <w:color w:val="auto"/>
                <w:sz w:val="24"/>
              </w:rPr>
            </w:pPr>
          </w:p>
        </w:tc>
      </w:tr>
      <w:tr w14:paraId="63BE89D0">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37A55B2E">
            <w:pPr>
              <w:tabs>
                <w:tab w:val="left" w:pos="9765"/>
              </w:tabs>
              <w:spacing w:line="360" w:lineRule="auto"/>
              <w:rPr>
                <w:rFonts w:ascii="宋体" w:hAnsi="宋体" w:cs="宋体"/>
                <w:color w:val="auto"/>
                <w:sz w:val="24"/>
              </w:rPr>
            </w:pPr>
          </w:p>
        </w:tc>
        <w:tc>
          <w:tcPr>
            <w:tcW w:w="1681" w:type="dxa"/>
            <w:tcBorders>
              <w:top w:val="single" w:color="000000" w:sz="6" w:space="0"/>
              <w:left w:val="single" w:color="000000" w:sz="6" w:space="0"/>
              <w:bottom w:val="single" w:color="000000" w:sz="6" w:space="0"/>
              <w:right w:val="single" w:color="000000" w:sz="6" w:space="0"/>
            </w:tcBorders>
            <w:noWrap w:val="0"/>
          </w:tcPr>
          <w:p w14:paraId="205A8ED4">
            <w:pPr>
              <w:tabs>
                <w:tab w:val="left" w:pos="9765"/>
              </w:tabs>
              <w:spacing w:line="360" w:lineRule="auto"/>
              <w:rPr>
                <w:rFonts w:ascii="宋体" w:hAnsi="宋体" w:cs="宋体"/>
                <w:color w:val="auto"/>
                <w:sz w:val="24"/>
              </w:rPr>
            </w:pPr>
          </w:p>
        </w:tc>
        <w:tc>
          <w:tcPr>
            <w:tcW w:w="1521" w:type="dxa"/>
            <w:tcBorders>
              <w:top w:val="single" w:color="000000" w:sz="6" w:space="0"/>
              <w:left w:val="single" w:color="000000" w:sz="6" w:space="0"/>
              <w:bottom w:val="single" w:color="000000" w:sz="6" w:space="0"/>
              <w:right w:val="single" w:color="000000" w:sz="6" w:space="0"/>
            </w:tcBorders>
            <w:noWrap w:val="0"/>
          </w:tcPr>
          <w:p w14:paraId="34FE78D1">
            <w:pPr>
              <w:tabs>
                <w:tab w:val="left" w:pos="9765"/>
              </w:tabs>
              <w:spacing w:line="360" w:lineRule="auto"/>
              <w:rPr>
                <w:rFonts w:ascii="宋体" w:hAnsi="宋体" w:cs="宋体"/>
                <w:color w:val="auto"/>
                <w:sz w:val="24"/>
              </w:rPr>
            </w:pPr>
          </w:p>
        </w:tc>
        <w:tc>
          <w:tcPr>
            <w:tcW w:w="1198" w:type="dxa"/>
            <w:tcBorders>
              <w:top w:val="single" w:color="000000" w:sz="6" w:space="0"/>
              <w:left w:val="single" w:color="000000" w:sz="6" w:space="0"/>
              <w:bottom w:val="single" w:color="000000" w:sz="6" w:space="0"/>
              <w:right w:val="single" w:color="000000" w:sz="6" w:space="0"/>
            </w:tcBorders>
            <w:noWrap w:val="0"/>
          </w:tcPr>
          <w:p w14:paraId="239CC034">
            <w:pPr>
              <w:tabs>
                <w:tab w:val="left" w:pos="9765"/>
              </w:tabs>
              <w:spacing w:line="360" w:lineRule="auto"/>
              <w:rPr>
                <w:rFonts w:ascii="宋体" w:hAnsi="宋体" w:cs="宋体"/>
                <w:color w:val="auto"/>
                <w:sz w:val="24"/>
              </w:rPr>
            </w:pPr>
          </w:p>
        </w:tc>
        <w:tc>
          <w:tcPr>
            <w:tcW w:w="1730" w:type="dxa"/>
            <w:tcBorders>
              <w:top w:val="single" w:color="000000" w:sz="6" w:space="0"/>
              <w:left w:val="single" w:color="000000" w:sz="6" w:space="0"/>
              <w:bottom w:val="single" w:color="000000" w:sz="6" w:space="0"/>
              <w:right w:val="single" w:color="000000" w:sz="6" w:space="0"/>
            </w:tcBorders>
            <w:noWrap w:val="0"/>
          </w:tcPr>
          <w:p w14:paraId="4DAA6136">
            <w:pPr>
              <w:tabs>
                <w:tab w:val="left" w:pos="9765"/>
              </w:tabs>
              <w:spacing w:line="360" w:lineRule="auto"/>
              <w:rPr>
                <w:rFonts w:ascii="宋体" w:hAnsi="宋体" w:cs="宋体"/>
                <w:color w:val="auto"/>
                <w:sz w:val="24"/>
              </w:rPr>
            </w:pPr>
          </w:p>
        </w:tc>
        <w:tc>
          <w:tcPr>
            <w:tcW w:w="1597" w:type="dxa"/>
            <w:tcBorders>
              <w:top w:val="single" w:color="000000" w:sz="6" w:space="0"/>
              <w:left w:val="single" w:color="000000" w:sz="6" w:space="0"/>
              <w:bottom w:val="single" w:color="000000" w:sz="6" w:space="0"/>
              <w:right w:val="single" w:color="000000" w:sz="6" w:space="0"/>
            </w:tcBorders>
            <w:noWrap w:val="0"/>
          </w:tcPr>
          <w:p w14:paraId="0932F1EA">
            <w:pPr>
              <w:tabs>
                <w:tab w:val="left" w:pos="9765"/>
              </w:tabs>
              <w:spacing w:line="360" w:lineRule="auto"/>
              <w:rPr>
                <w:rFonts w:ascii="宋体" w:hAnsi="宋体" w:cs="宋体"/>
                <w:color w:val="auto"/>
                <w:sz w:val="24"/>
              </w:rPr>
            </w:pPr>
          </w:p>
        </w:tc>
      </w:tr>
      <w:tr w14:paraId="1C1331DB">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158A8DA5">
            <w:pPr>
              <w:tabs>
                <w:tab w:val="left" w:pos="9765"/>
              </w:tabs>
              <w:spacing w:line="360" w:lineRule="auto"/>
              <w:rPr>
                <w:rFonts w:ascii="宋体" w:hAnsi="宋体" w:cs="宋体"/>
                <w:color w:val="auto"/>
                <w:sz w:val="24"/>
              </w:rPr>
            </w:pPr>
          </w:p>
        </w:tc>
        <w:tc>
          <w:tcPr>
            <w:tcW w:w="1681" w:type="dxa"/>
            <w:tcBorders>
              <w:top w:val="single" w:color="000000" w:sz="6" w:space="0"/>
              <w:left w:val="single" w:color="000000" w:sz="6" w:space="0"/>
              <w:bottom w:val="single" w:color="000000" w:sz="6" w:space="0"/>
              <w:right w:val="single" w:color="000000" w:sz="6" w:space="0"/>
            </w:tcBorders>
            <w:noWrap w:val="0"/>
          </w:tcPr>
          <w:p w14:paraId="6B93D07A">
            <w:pPr>
              <w:tabs>
                <w:tab w:val="left" w:pos="9765"/>
              </w:tabs>
              <w:spacing w:line="360" w:lineRule="auto"/>
              <w:rPr>
                <w:rFonts w:ascii="宋体" w:hAnsi="宋体" w:cs="宋体"/>
                <w:color w:val="auto"/>
                <w:sz w:val="24"/>
              </w:rPr>
            </w:pPr>
          </w:p>
        </w:tc>
        <w:tc>
          <w:tcPr>
            <w:tcW w:w="1521" w:type="dxa"/>
            <w:tcBorders>
              <w:top w:val="single" w:color="000000" w:sz="6" w:space="0"/>
              <w:left w:val="single" w:color="000000" w:sz="6" w:space="0"/>
              <w:bottom w:val="single" w:color="000000" w:sz="6" w:space="0"/>
              <w:right w:val="single" w:color="000000" w:sz="6" w:space="0"/>
            </w:tcBorders>
            <w:noWrap w:val="0"/>
          </w:tcPr>
          <w:p w14:paraId="1733DE60">
            <w:pPr>
              <w:tabs>
                <w:tab w:val="left" w:pos="9765"/>
              </w:tabs>
              <w:spacing w:line="360" w:lineRule="auto"/>
              <w:rPr>
                <w:rFonts w:ascii="宋体" w:hAnsi="宋体" w:cs="宋体"/>
                <w:color w:val="auto"/>
                <w:sz w:val="24"/>
              </w:rPr>
            </w:pPr>
          </w:p>
        </w:tc>
        <w:tc>
          <w:tcPr>
            <w:tcW w:w="1198" w:type="dxa"/>
            <w:tcBorders>
              <w:top w:val="single" w:color="000000" w:sz="6" w:space="0"/>
              <w:left w:val="single" w:color="000000" w:sz="6" w:space="0"/>
              <w:bottom w:val="single" w:color="000000" w:sz="6" w:space="0"/>
              <w:right w:val="single" w:color="000000" w:sz="6" w:space="0"/>
            </w:tcBorders>
            <w:noWrap w:val="0"/>
          </w:tcPr>
          <w:p w14:paraId="76ADFFE6">
            <w:pPr>
              <w:tabs>
                <w:tab w:val="left" w:pos="9765"/>
              </w:tabs>
              <w:spacing w:line="360" w:lineRule="auto"/>
              <w:rPr>
                <w:rFonts w:ascii="宋体" w:hAnsi="宋体" w:cs="宋体"/>
                <w:color w:val="auto"/>
                <w:sz w:val="24"/>
              </w:rPr>
            </w:pPr>
          </w:p>
        </w:tc>
        <w:tc>
          <w:tcPr>
            <w:tcW w:w="1730" w:type="dxa"/>
            <w:tcBorders>
              <w:top w:val="single" w:color="000000" w:sz="6" w:space="0"/>
              <w:left w:val="single" w:color="000000" w:sz="6" w:space="0"/>
              <w:bottom w:val="single" w:color="000000" w:sz="6" w:space="0"/>
              <w:right w:val="single" w:color="000000" w:sz="6" w:space="0"/>
            </w:tcBorders>
            <w:noWrap w:val="0"/>
          </w:tcPr>
          <w:p w14:paraId="1F355AA9">
            <w:pPr>
              <w:tabs>
                <w:tab w:val="left" w:pos="9765"/>
              </w:tabs>
              <w:spacing w:line="360" w:lineRule="auto"/>
              <w:rPr>
                <w:rFonts w:ascii="宋体" w:hAnsi="宋体" w:cs="宋体"/>
                <w:color w:val="auto"/>
                <w:sz w:val="24"/>
              </w:rPr>
            </w:pPr>
          </w:p>
        </w:tc>
        <w:tc>
          <w:tcPr>
            <w:tcW w:w="1597" w:type="dxa"/>
            <w:tcBorders>
              <w:top w:val="single" w:color="000000" w:sz="6" w:space="0"/>
              <w:left w:val="single" w:color="000000" w:sz="6" w:space="0"/>
              <w:bottom w:val="single" w:color="000000" w:sz="6" w:space="0"/>
              <w:right w:val="single" w:color="000000" w:sz="6" w:space="0"/>
            </w:tcBorders>
            <w:noWrap w:val="0"/>
          </w:tcPr>
          <w:p w14:paraId="531DD8E1">
            <w:pPr>
              <w:tabs>
                <w:tab w:val="left" w:pos="9765"/>
              </w:tabs>
              <w:spacing w:line="360" w:lineRule="auto"/>
              <w:rPr>
                <w:rFonts w:ascii="宋体" w:hAnsi="宋体" w:cs="宋体"/>
                <w:color w:val="auto"/>
                <w:sz w:val="24"/>
              </w:rPr>
            </w:pPr>
          </w:p>
        </w:tc>
      </w:tr>
      <w:tr w14:paraId="6F38E581">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4FEF1F92">
            <w:pPr>
              <w:tabs>
                <w:tab w:val="left" w:pos="9765"/>
              </w:tabs>
              <w:spacing w:line="360" w:lineRule="auto"/>
              <w:rPr>
                <w:rFonts w:ascii="宋体" w:hAnsi="宋体" w:cs="宋体"/>
                <w:color w:val="auto"/>
                <w:sz w:val="24"/>
              </w:rPr>
            </w:pPr>
          </w:p>
        </w:tc>
        <w:tc>
          <w:tcPr>
            <w:tcW w:w="1681" w:type="dxa"/>
            <w:tcBorders>
              <w:top w:val="single" w:color="000000" w:sz="6" w:space="0"/>
              <w:left w:val="single" w:color="000000" w:sz="6" w:space="0"/>
              <w:bottom w:val="single" w:color="000000" w:sz="6" w:space="0"/>
              <w:right w:val="single" w:color="000000" w:sz="6" w:space="0"/>
            </w:tcBorders>
            <w:noWrap w:val="0"/>
          </w:tcPr>
          <w:p w14:paraId="1DD298A3">
            <w:pPr>
              <w:tabs>
                <w:tab w:val="left" w:pos="9765"/>
              </w:tabs>
              <w:spacing w:line="360" w:lineRule="auto"/>
              <w:rPr>
                <w:rFonts w:ascii="宋体" w:hAnsi="宋体" w:cs="宋体"/>
                <w:color w:val="auto"/>
                <w:sz w:val="24"/>
              </w:rPr>
            </w:pPr>
          </w:p>
        </w:tc>
        <w:tc>
          <w:tcPr>
            <w:tcW w:w="1521" w:type="dxa"/>
            <w:tcBorders>
              <w:top w:val="single" w:color="000000" w:sz="6" w:space="0"/>
              <w:left w:val="single" w:color="000000" w:sz="6" w:space="0"/>
              <w:bottom w:val="single" w:color="000000" w:sz="6" w:space="0"/>
              <w:right w:val="single" w:color="000000" w:sz="6" w:space="0"/>
            </w:tcBorders>
            <w:noWrap w:val="0"/>
          </w:tcPr>
          <w:p w14:paraId="6DAF9275">
            <w:pPr>
              <w:tabs>
                <w:tab w:val="left" w:pos="9765"/>
              </w:tabs>
              <w:spacing w:line="360" w:lineRule="auto"/>
              <w:rPr>
                <w:rFonts w:ascii="宋体" w:hAnsi="宋体" w:cs="宋体"/>
                <w:color w:val="auto"/>
                <w:sz w:val="24"/>
              </w:rPr>
            </w:pPr>
          </w:p>
        </w:tc>
        <w:tc>
          <w:tcPr>
            <w:tcW w:w="1198" w:type="dxa"/>
            <w:tcBorders>
              <w:top w:val="single" w:color="000000" w:sz="6" w:space="0"/>
              <w:left w:val="single" w:color="000000" w:sz="6" w:space="0"/>
              <w:bottom w:val="single" w:color="000000" w:sz="6" w:space="0"/>
              <w:right w:val="single" w:color="000000" w:sz="6" w:space="0"/>
            </w:tcBorders>
            <w:noWrap w:val="0"/>
          </w:tcPr>
          <w:p w14:paraId="54B999E5">
            <w:pPr>
              <w:tabs>
                <w:tab w:val="left" w:pos="9765"/>
              </w:tabs>
              <w:spacing w:line="360" w:lineRule="auto"/>
              <w:rPr>
                <w:rFonts w:ascii="宋体" w:hAnsi="宋体" w:cs="宋体"/>
                <w:color w:val="auto"/>
                <w:sz w:val="24"/>
              </w:rPr>
            </w:pPr>
          </w:p>
        </w:tc>
        <w:tc>
          <w:tcPr>
            <w:tcW w:w="1730" w:type="dxa"/>
            <w:tcBorders>
              <w:top w:val="single" w:color="000000" w:sz="6" w:space="0"/>
              <w:left w:val="single" w:color="000000" w:sz="6" w:space="0"/>
              <w:bottom w:val="single" w:color="000000" w:sz="6" w:space="0"/>
              <w:right w:val="single" w:color="000000" w:sz="6" w:space="0"/>
            </w:tcBorders>
            <w:noWrap w:val="0"/>
          </w:tcPr>
          <w:p w14:paraId="18D255E2">
            <w:pPr>
              <w:tabs>
                <w:tab w:val="left" w:pos="9765"/>
              </w:tabs>
              <w:spacing w:line="360" w:lineRule="auto"/>
              <w:rPr>
                <w:rFonts w:ascii="宋体" w:hAnsi="宋体" w:cs="宋体"/>
                <w:color w:val="auto"/>
                <w:sz w:val="24"/>
              </w:rPr>
            </w:pPr>
          </w:p>
        </w:tc>
        <w:tc>
          <w:tcPr>
            <w:tcW w:w="1597" w:type="dxa"/>
            <w:tcBorders>
              <w:top w:val="single" w:color="000000" w:sz="6" w:space="0"/>
              <w:left w:val="single" w:color="000000" w:sz="6" w:space="0"/>
              <w:bottom w:val="single" w:color="000000" w:sz="6" w:space="0"/>
              <w:right w:val="single" w:color="000000" w:sz="6" w:space="0"/>
            </w:tcBorders>
            <w:noWrap w:val="0"/>
          </w:tcPr>
          <w:p w14:paraId="668087EC">
            <w:pPr>
              <w:tabs>
                <w:tab w:val="left" w:pos="9765"/>
              </w:tabs>
              <w:spacing w:line="360" w:lineRule="auto"/>
              <w:rPr>
                <w:rFonts w:ascii="宋体" w:hAnsi="宋体" w:cs="宋体"/>
                <w:color w:val="auto"/>
                <w:sz w:val="24"/>
              </w:rPr>
            </w:pPr>
          </w:p>
        </w:tc>
      </w:tr>
      <w:tr w14:paraId="7FEAF0B9">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4C1991AC">
            <w:pPr>
              <w:tabs>
                <w:tab w:val="left" w:pos="9765"/>
              </w:tabs>
              <w:spacing w:line="360" w:lineRule="auto"/>
              <w:rPr>
                <w:rFonts w:ascii="宋体" w:hAnsi="宋体" w:cs="宋体"/>
                <w:color w:val="auto"/>
                <w:sz w:val="24"/>
              </w:rPr>
            </w:pPr>
          </w:p>
        </w:tc>
        <w:tc>
          <w:tcPr>
            <w:tcW w:w="1681" w:type="dxa"/>
            <w:tcBorders>
              <w:top w:val="single" w:color="000000" w:sz="6" w:space="0"/>
              <w:left w:val="single" w:color="000000" w:sz="6" w:space="0"/>
              <w:bottom w:val="single" w:color="000000" w:sz="6" w:space="0"/>
              <w:right w:val="single" w:color="000000" w:sz="6" w:space="0"/>
            </w:tcBorders>
            <w:noWrap w:val="0"/>
          </w:tcPr>
          <w:p w14:paraId="7A3FD037">
            <w:pPr>
              <w:tabs>
                <w:tab w:val="left" w:pos="9765"/>
              </w:tabs>
              <w:spacing w:line="360" w:lineRule="auto"/>
              <w:rPr>
                <w:rFonts w:ascii="宋体" w:hAnsi="宋体" w:cs="宋体"/>
                <w:color w:val="auto"/>
                <w:sz w:val="24"/>
              </w:rPr>
            </w:pPr>
          </w:p>
        </w:tc>
        <w:tc>
          <w:tcPr>
            <w:tcW w:w="1521" w:type="dxa"/>
            <w:tcBorders>
              <w:top w:val="single" w:color="000000" w:sz="6" w:space="0"/>
              <w:left w:val="single" w:color="000000" w:sz="6" w:space="0"/>
              <w:bottom w:val="single" w:color="000000" w:sz="6" w:space="0"/>
              <w:right w:val="single" w:color="000000" w:sz="6" w:space="0"/>
            </w:tcBorders>
            <w:noWrap w:val="0"/>
          </w:tcPr>
          <w:p w14:paraId="3BA0F17E">
            <w:pPr>
              <w:tabs>
                <w:tab w:val="left" w:pos="9765"/>
              </w:tabs>
              <w:spacing w:line="360" w:lineRule="auto"/>
              <w:rPr>
                <w:rFonts w:ascii="宋体" w:hAnsi="宋体" w:cs="宋体"/>
                <w:color w:val="auto"/>
                <w:sz w:val="24"/>
              </w:rPr>
            </w:pPr>
          </w:p>
        </w:tc>
        <w:tc>
          <w:tcPr>
            <w:tcW w:w="1198" w:type="dxa"/>
            <w:tcBorders>
              <w:top w:val="single" w:color="000000" w:sz="6" w:space="0"/>
              <w:left w:val="single" w:color="000000" w:sz="6" w:space="0"/>
              <w:bottom w:val="single" w:color="000000" w:sz="6" w:space="0"/>
              <w:right w:val="single" w:color="000000" w:sz="6" w:space="0"/>
            </w:tcBorders>
            <w:noWrap w:val="0"/>
          </w:tcPr>
          <w:p w14:paraId="27430885">
            <w:pPr>
              <w:tabs>
                <w:tab w:val="left" w:pos="9765"/>
              </w:tabs>
              <w:spacing w:line="360" w:lineRule="auto"/>
              <w:rPr>
                <w:rFonts w:ascii="宋体" w:hAnsi="宋体" w:cs="宋体"/>
                <w:color w:val="auto"/>
                <w:sz w:val="24"/>
              </w:rPr>
            </w:pPr>
          </w:p>
        </w:tc>
        <w:tc>
          <w:tcPr>
            <w:tcW w:w="1730" w:type="dxa"/>
            <w:tcBorders>
              <w:top w:val="single" w:color="000000" w:sz="6" w:space="0"/>
              <w:left w:val="single" w:color="000000" w:sz="6" w:space="0"/>
              <w:bottom w:val="single" w:color="000000" w:sz="6" w:space="0"/>
              <w:right w:val="single" w:color="000000" w:sz="6" w:space="0"/>
            </w:tcBorders>
            <w:noWrap w:val="0"/>
          </w:tcPr>
          <w:p w14:paraId="1255D1AF">
            <w:pPr>
              <w:tabs>
                <w:tab w:val="left" w:pos="9765"/>
              </w:tabs>
              <w:spacing w:line="360" w:lineRule="auto"/>
              <w:rPr>
                <w:rFonts w:ascii="宋体" w:hAnsi="宋体" w:cs="宋体"/>
                <w:color w:val="auto"/>
                <w:sz w:val="24"/>
              </w:rPr>
            </w:pPr>
          </w:p>
        </w:tc>
        <w:tc>
          <w:tcPr>
            <w:tcW w:w="1597" w:type="dxa"/>
            <w:tcBorders>
              <w:top w:val="single" w:color="000000" w:sz="6" w:space="0"/>
              <w:left w:val="single" w:color="000000" w:sz="6" w:space="0"/>
              <w:bottom w:val="single" w:color="000000" w:sz="6" w:space="0"/>
              <w:right w:val="single" w:color="000000" w:sz="6" w:space="0"/>
            </w:tcBorders>
            <w:noWrap w:val="0"/>
          </w:tcPr>
          <w:p w14:paraId="07FCF81D">
            <w:pPr>
              <w:tabs>
                <w:tab w:val="left" w:pos="9765"/>
              </w:tabs>
              <w:spacing w:line="360" w:lineRule="auto"/>
              <w:rPr>
                <w:rFonts w:ascii="宋体" w:hAnsi="宋体" w:cs="宋体"/>
                <w:color w:val="auto"/>
                <w:sz w:val="24"/>
              </w:rPr>
            </w:pPr>
          </w:p>
        </w:tc>
      </w:tr>
      <w:tr w14:paraId="70FCDCEA">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76ED0199">
            <w:pPr>
              <w:tabs>
                <w:tab w:val="left" w:pos="9765"/>
              </w:tabs>
              <w:spacing w:line="360" w:lineRule="auto"/>
              <w:rPr>
                <w:rFonts w:ascii="宋体" w:hAnsi="宋体" w:cs="宋体"/>
                <w:color w:val="auto"/>
                <w:sz w:val="24"/>
              </w:rPr>
            </w:pPr>
          </w:p>
        </w:tc>
        <w:tc>
          <w:tcPr>
            <w:tcW w:w="1681" w:type="dxa"/>
            <w:tcBorders>
              <w:top w:val="single" w:color="000000" w:sz="6" w:space="0"/>
              <w:left w:val="single" w:color="000000" w:sz="6" w:space="0"/>
              <w:bottom w:val="single" w:color="000000" w:sz="6" w:space="0"/>
              <w:right w:val="single" w:color="000000" w:sz="6" w:space="0"/>
            </w:tcBorders>
            <w:noWrap w:val="0"/>
          </w:tcPr>
          <w:p w14:paraId="60535EA6">
            <w:pPr>
              <w:tabs>
                <w:tab w:val="left" w:pos="9765"/>
              </w:tabs>
              <w:spacing w:line="360" w:lineRule="auto"/>
              <w:rPr>
                <w:rFonts w:ascii="宋体" w:hAnsi="宋体" w:cs="宋体"/>
                <w:color w:val="auto"/>
                <w:sz w:val="24"/>
              </w:rPr>
            </w:pPr>
          </w:p>
        </w:tc>
        <w:tc>
          <w:tcPr>
            <w:tcW w:w="1521" w:type="dxa"/>
            <w:tcBorders>
              <w:top w:val="single" w:color="000000" w:sz="6" w:space="0"/>
              <w:left w:val="single" w:color="000000" w:sz="6" w:space="0"/>
              <w:bottom w:val="single" w:color="000000" w:sz="6" w:space="0"/>
              <w:right w:val="single" w:color="000000" w:sz="6" w:space="0"/>
            </w:tcBorders>
            <w:noWrap w:val="0"/>
          </w:tcPr>
          <w:p w14:paraId="38D09C08">
            <w:pPr>
              <w:tabs>
                <w:tab w:val="left" w:pos="9765"/>
              </w:tabs>
              <w:spacing w:line="360" w:lineRule="auto"/>
              <w:rPr>
                <w:rFonts w:ascii="宋体" w:hAnsi="宋体" w:cs="宋体"/>
                <w:color w:val="auto"/>
                <w:sz w:val="24"/>
              </w:rPr>
            </w:pPr>
          </w:p>
        </w:tc>
        <w:tc>
          <w:tcPr>
            <w:tcW w:w="1198" w:type="dxa"/>
            <w:tcBorders>
              <w:top w:val="single" w:color="000000" w:sz="6" w:space="0"/>
              <w:left w:val="single" w:color="000000" w:sz="6" w:space="0"/>
              <w:bottom w:val="single" w:color="000000" w:sz="6" w:space="0"/>
              <w:right w:val="single" w:color="000000" w:sz="6" w:space="0"/>
            </w:tcBorders>
            <w:noWrap w:val="0"/>
          </w:tcPr>
          <w:p w14:paraId="42DE92A8">
            <w:pPr>
              <w:tabs>
                <w:tab w:val="left" w:pos="9765"/>
              </w:tabs>
              <w:spacing w:line="360" w:lineRule="auto"/>
              <w:rPr>
                <w:rFonts w:ascii="宋体" w:hAnsi="宋体" w:cs="宋体"/>
                <w:color w:val="auto"/>
                <w:sz w:val="24"/>
              </w:rPr>
            </w:pPr>
          </w:p>
        </w:tc>
        <w:tc>
          <w:tcPr>
            <w:tcW w:w="1730" w:type="dxa"/>
            <w:tcBorders>
              <w:top w:val="single" w:color="000000" w:sz="6" w:space="0"/>
              <w:left w:val="single" w:color="000000" w:sz="6" w:space="0"/>
              <w:bottom w:val="single" w:color="000000" w:sz="6" w:space="0"/>
              <w:right w:val="single" w:color="000000" w:sz="6" w:space="0"/>
            </w:tcBorders>
            <w:noWrap w:val="0"/>
          </w:tcPr>
          <w:p w14:paraId="45DA4B1F">
            <w:pPr>
              <w:tabs>
                <w:tab w:val="left" w:pos="9765"/>
              </w:tabs>
              <w:spacing w:line="360" w:lineRule="auto"/>
              <w:rPr>
                <w:rFonts w:ascii="宋体" w:hAnsi="宋体" w:cs="宋体"/>
                <w:color w:val="auto"/>
                <w:sz w:val="24"/>
              </w:rPr>
            </w:pPr>
          </w:p>
        </w:tc>
        <w:tc>
          <w:tcPr>
            <w:tcW w:w="1597" w:type="dxa"/>
            <w:tcBorders>
              <w:top w:val="single" w:color="000000" w:sz="6" w:space="0"/>
              <w:left w:val="single" w:color="000000" w:sz="6" w:space="0"/>
              <w:bottom w:val="single" w:color="000000" w:sz="6" w:space="0"/>
              <w:right w:val="single" w:color="000000" w:sz="6" w:space="0"/>
            </w:tcBorders>
            <w:noWrap w:val="0"/>
          </w:tcPr>
          <w:p w14:paraId="1CC60F59">
            <w:pPr>
              <w:tabs>
                <w:tab w:val="left" w:pos="9765"/>
              </w:tabs>
              <w:spacing w:line="360" w:lineRule="auto"/>
              <w:rPr>
                <w:rFonts w:ascii="宋体" w:hAnsi="宋体" w:cs="宋体"/>
                <w:color w:val="auto"/>
                <w:sz w:val="24"/>
              </w:rPr>
            </w:pPr>
          </w:p>
        </w:tc>
      </w:tr>
      <w:tr w14:paraId="61A52585">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16A4C5C1">
            <w:pPr>
              <w:tabs>
                <w:tab w:val="left" w:pos="9765"/>
              </w:tabs>
              <w:spacing w:line="360" w:lineRule="auto"/>
              <w:rPr>
                <w:rFonts w:ascii="宋体" w:hAnsi="宋体" w:cs="宋体"/>
                <w:color w:val="auto"/>
                <w:sz w:val="24"/>
              </w:rPr>
            </w:pPr>
          </w:p>
        </w:tc>
        <w:tc>
          <w:tcPr>
            <w:tcW w:w="1681" w:type="dxa"/>
            <w:tcBorders>
              <w:top w:val="single" w:color="000000" w:sz="6" w:space="0"/>
              <w:left w:val="single" w:color="000000" w:sz="6" w:space="0"/>
              <w:bottom w:val="single" w:color="000000" w:sz="6" w:space="0"/>
              <w:right w:val="single" w:color="000000" w:sz="6" w:space="0"/>
            </w:tcBorders>
            <w:noWrap w:val="0"/>
          </w:tcPr>
          <w:p w14:paraId="2B5B2E9B">
            <w:pPr>
              <w:tabs>
                <w:tab w:val="left" w:pos="9765"/>
              </w:tabs>
              <w:spacing w:line="360" w:lineRule="auto"/>
              <w:rPr>
                <w:rFonts w:ascii="宋体" w:hAnsi="宋体" w:cs="宋体"/>
                <w:color w:val="auto"/>
                <w:sz w:val="24"/>
              </w:rPr>
            </w:pPr>
          </w:p>
        </w:tc>
        <w:tc>
          <w:tcPr>
            <w:tcW w:w="1521" w:type="dxa"/>
            <w:tcBorders>
              <w:top w:val="single" w:color="000000" w:sz="6" w:space="0"/>
              <w:left w:val="single" w:color="000000" w:sz="6" w:space="0"/>
              <w:bottom w:val="single" w:color="000000" w:sz="6" w:space="0"/>
              <w:right w:val="single" w:color="000000" w:sz="6" w:space="0"/>
            </w:tcBorders>
            <w:noWrap w:val="0"/>
          </w:tcPr>
          <w:p w14:paraId="1088DFCA">
            <w:pPr>
              <w:tabs>
                <w:tab w:val="left" w:pos="9765"/>
              </w:tabs>
              <w:spacing w:line="360" w:lineRule="auto"/>
              <w:rPr>
                <w:rFonts w:ascii="宋体" w:hAnsi="宋体" w:cs="宋体"/>
                <w:color w:val="auto"/>
                <w:sz w:val="24"/>
              </w:rPr>
            </w:pPr>
          </w:p>
        </w:tc>
        <w:tc>
          <w:tcPr>
            <w:tcW w:w="1198" w:type="dxa"/>
            <w:tcBorders>
              <w:top w:val="single" w:color="000000" w:sz="6" w:space="0"/>
              <w:left w:val="single" w:color="000000" w:sz="6" w:space="0"/>
              <w:bottom w:val="single" w:color="000000" w:sz="6" w:space="0"/>
              <w:right w:val="single" w:color="000000" w:sz="6" w:space="0"/>
            </w:tcBorders>
            <w:noWrap w:val="0"/>
          </w:tcPr>
          <w:p w14:paraId="4CAEFD38">
            <w:pPr>
              <w:tabs>
                <w:tab w:val="left" w:pos="9765"/>
              </w:tabs>
              <w:spacing w:line="360" w:lineRule="auto"/>
              <w:rPr>
                <w:rFonts w:ascii="宋体" w:hAnsi="宋体" w:cs="宋体"/>
                <w:color w:val="auto"/>
                <w:sz w:val="24"/>
              </w:rPr>
            </w:pPr>
          </w:p>
        </w:tc>
        <w:tc>
          <w:tcPr>
            <w:tcW w:w="1730" w:type="dxa"/>
            <w:tcBorders>
              <w:top w:val="single" w:color="000000" w:sz="6" w:space="0"/>
              <w:left w:val="single" w:color="000000" w:sz="6" w:space="0"/>
              <w:bottom w:val="single" w:color="000000" w:sz="6" w:space="0"/>
              <w:right w:val="single" w:color="000000" w:sz="6" w:space="0"/>
            </w:tcBorders>
            <w:noWrap w:val="0"/>
          </w:tcPr>
          <w:p w14:paraId="65C3C257">
            <w:pPr>
              <w:tabs>
                <w:tab w:val="left" w:pos="9765"/>
              </w:tabs>
              <w:spacing w:line="360" w:lineRule="auto"/>
              <w:rPr>
                <w:rFonts w:ascii="宋体" w:hAnsi="宋体" w:cs="宋体"/>
                <w:color w:val="auto"/>
                <w:sz w:val="24"/>
              </w:rPr>
            </w:pPr>
          </w:p>
        </w:tc>
        <w:tc>
          <w:tcPr>
            <w:tcW w:w="1597" w:type="dxa"/>
            <w:tcBorders>
              <w:top w:val="single" w:color="000000" w:sz="6" w:space="0"/>
              <w:left w:val="single" w:color="000000" w:sz="6" w:space="0"/>
              <w:bottom w:val="single" w:color="000000" w:sz="6" w:space="0"/>
              <w:right w:val="single" w:color="000000" w:sz="6" w:space="0"/>
            </w:tcBorders>
            <w:noWrap w:val="0"/>
          </w:tcPr>
          <w:p w14:paraId="3A31A2BE">
            <w:pPr>
              <w:tabs>
                <w:tab w:val="left" w:pos="9765"/>
              </w:tabs>
              <w:spacing w:line="360" w:lineRule="auto"/>
              <w:rPr>
                <w:rFonts w:ascii="宋体" w:hAnsi="宋体" w:cs="宋体"/>
                <w:color w:val="auto"/>
                <w:sz w:val="24"/>
              </w:rPr>
            </w:pPr>
          </w:p>
        </w:tc>
      </w:tr>
    </w:tbl>
    <w:p w14:paraId="41223998">
      <w:pPr>
        <w:tabs>
          <w:tab w:val="left" w:pos="9765"/>
        </w:tabs>
        <w:rPr>
          <w:rFonts w:ascii="宋体" w:hAnsi="宋体" w:cs="宋体"/>
          <w:color w:val="auto"/>
          <w:sz w:val="24"/>
          <w:lang w:val="zh-CN"/>
        </w:rPr>
      </w:pPr>
    </w:p>
    <w:p w14:paraId="30790351">
      <w:pPr>
        <w:spacing w:line="360" w:lineRule="auto"/>
        <w:rPr>
          <w:rFonts w:ascii="宋体" w:hAnsi="宋体" w:cs="宋体"/>
          <w:color w:val="auto"/>
          <w:sz w:val="24"/>
        </w:rPr>
      </w:pPr>
    </w:p>
    <w:p w14:paraId="59CC6DE1">
      <w:pPr>
        <w:spacing w:before="25" w:after="25" w:line="360" w:lineRule="auto"/>
        <w:rPr>
          <w:rFonts w:ascii="宋体" w:hAnsi="宋体" w:cs="宋体"/>
          <w:color w:val="auto"/>
          <w:sz w:val="24"/>
          <w:lang w:val="zh-CN"/>
        </w:rPr>
      </w:pPr>
      <w:r>
        <w:rPr>
          <w:rFonts w:hint="eastAsia" w:ascii="宋体" w:hAnsi="宋体" w:cs="宋体"/>
          <w:color w:val="auto"/>
          <w:sz w:val="24"/>
        </w:rPr>
        <w:t>投标人名称（加盖公章）</w:t>
      </w:r>
      <w:r>
        <w:rPr>
          <w:rFonts w:hint="eastAsia" w:ascii="宋体" w:hAnsi="宋体" w:cs="宋体"/>
          <w:color w:val="auto"/>
          <w:sz w:val="24"/>
          <w:lang w:val="zh-CN"/>
        </w:rPr>
        <w:t>：____________</w:t>
      </w:r>
    </w:p>
    <w:p w14:paraId="63CDB08D">
      <w:pPr>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54D7525D">
      <w:pPr>
        <w:rPr>
          <w:rFonts w:ascii="宋体" w:hAnsi="宋体" w:cs="宋体"/>
          <w:color w:val="auto"/>
        </w:rPr>
      </w:pPr>
    </w:p>
    <w:p w14:paraId="69FFACE7">
      <w:pPr>
        <w:rPr>
          <w:rFonts w:ascii="宋体" w:hAnsi="宋体" w:cs="宋体"/>
          <w:color w:val="auto"/>
        </w:rPr>
      </w:pPr>
    </w:p>
    <w:p w14:paraId="097BB2B7">
      <w:pPr>
        <w:rPr>
          <w:rFonts w:ascii="宋体" w:hAnsi="宋体" w:cs="宋体"/>
          <w:color w:val="auto"/>
        </w:rPr>
      </w:pPr>
    </w:p>
    <w:p w14:paraId="7724B698">
      <w:pPr>
        <w:rPr>
          <w:rFonts w:ascii="宋体" w:hAnsi="宋体" w:cs="宋体"/>
          <w:color w:val="auto"/>
        </w:rPr>
      </w:pPr>
    </w:p>
    <w:p w14:paraId="7A9DFA33">
      <w:pPr>
        <w:rPr>
          <w:rFonts w:ascii="宋体" w:hAnsi="宋体" w:cs="宋体"/>
          <w:color w:val="auto"/>
        </w:rPr>
      </w:pPr>
    </w:p>
    <w:p w14:paraId="5D1E5ED6">
      <w:pPr>
        <w:spacing w:line="360" w:lineRule="auto"/>
        <w:outlineLvl w:val="2"/>
        <w:rPr>
          <w:rFonts w:ascii="宋体" w:hAnsi="宋体" w:cs="宋体"/>
          <w:color w:val="auto"/>
          <w:sz w:val="24"/>
          <w:szCs w:val="20"/>
        </w:rPr>
      </w:pPr>
    </w:p>
    <w:p w14:paraId="5914178F">
      <w:pPr>
        <w:spacing w:line="360" w:lineRule="auto"/>
        <w:outlineLvl w:val="2"/>
        <w:rPr>
          <w:rFonts w:ascii="宋体" w:hAnsi="宋体" w:cs="宋体"/>
          <w:color w:val="auto"/>
          <w:sz w:val="24"/>
          <w:szCs w:val="20"/>
        </w:rPr>
      </w:pPr>
    </w:p>
    <w:p w14:paraId="4BF96BA9">
      <w:pPr>
        <w:spacing w:line="360" w:lineRule="auto"/>
        <w:outlineLvl w:val="2"/>
        <w:rPr>
          <w:rFonts w:ascii="宋体" w:hAnsi="宋体" w:cs="宋体"/>
          <w:color w:val="auto"/>
          <w:sz w:val="24"/>
          <w:szCs w:val="20"/>
        </w:rPr>
      </w:pPr>
    </w:p>
    <w:p w14:paraId="6EBF15F6">
      <w:pPr>
        <w:spacing w:line="360" w:lineRule="auto"/>
        <w:outlineLvl w:val="2"/>
        <w:rPr>
          <w:rFonts w:ascii="宋体" w:hAnsi="宋体" w:cs="宋体"/>
          <w:color w:val="auto"/>
          <w:sz w:val="24"/>
          <w:szCs w:val="20"/>
        </w:rPr>
      </w:pPr>
    </w:p>
    <w:p w14:paraId="63C67F48">
      <w:pPr>
        <w:spacing w:line="360" w:lineRule="auto"/>
        <w:outlineLvl w:val="2"/>
        <w:rPr>
          <w:rFonts w:ascii="宋体" w:hAnsi="宋体" w:cs="宋体"/>
          <w:color w:val="auto"/>
          <w:sz w:val="24"/>
          <w:szCs w:val="20"/>
        </w:rPr>
      </w:pPr>
    </w:p>
    <w:p w14:paraId="50954129">
      <w:pPr>
        <w:spacing w:line="360" w:lineRule="auto"/>
        <w:outlineLvl w:val="2"/>
        <w:rPr>
          <w:rFonts w:ascii="宋体" w:hAnsi="宋体" w:cs="宋体"/>
          <w:color w:val="auto"/>
          <w:sz w:val="24"/>
          <w:szCs w:val="20"/>
        </w:rPr>
      </w:pPr>
    </w:p>
    <w:p w14:paraId="5226B555">
      <w:pPr>
        <w:rPr>
          <w:rFonts w:hint="eastAsia" w:ascii="宋体" w:hAnsi="宋体" w:cs="宋体"/>
          <w:color w:val="auto"/>
          <w:sz w:val="24"/>
          <w:lang w:bidi="ar"/>
        </w:rPr>
      </w:pPr>
    </w:p>
    <w:p w14:paraId="4C14A9DF">
      <w:pPr>
        <w:rPr>
          <w:rFonts w:ascii="宋体" w:hAnsi="宋体" w:cs="宋体"/>
          <w:color w:val="auto"/>
          <w:sz w:val="24"/>
        </w:rPr>
      </w:pPr>
      <w:r>
        <w:rPr>
          <w:rFonts w:hint="eastAsia" w:ascii="宋体" w:hAnsi="宋体" w:cs="宋体"/>
          <w:color w:val="auto"/>
          <w:sz w:val="24"/>
          <w:lang w:bidi="ar"/>
        </w:rPr>
        <w:t>1</w:t>
      </w:r>
      <w:r>
        <w:rPr>
          <w:rFonts w:hint="eastAsia" w:ascii="宋体" w:hAnsi="宋体" w:cs="宋体"/>
          <w:color w:val="auto"/>
          <w:sz w:val="24"/>
          <w:lang w:val="en-US" w:eastAsia="zh-CN" w:bidi="ar"/>
        </w:rPr>
        <w:t>0</w:t>
      </w:r>
      <w:r>
        <w:rPr>
          <w:rFonts w:hint="eastAsia" w:ascii="宋体" w:hAnsi="宋体" w:cs="宋体"/>
          <w:color w:val="auto"/>
          <w:sz w:val="24"/>
          <w:lang w:bidi="ar"/>
        </w:rPr>
        <w:t xml:space="preserve"> </w:t>
      </w:r>
      <w:r>
        <w:rPr>
          <w:rFonts w:hint="eastAsia" w:ascii="宋体" w:hAnsi="宋体" w:cs="宋体"/>
          <w:color w:val="auto"/>
          <w:sz w:val="24"/>
        </w:rPr>
        <w:t>参加本项目人员一览表</w:t>
      </w:r>
    </w:p>
    <w:p w14:paraId="361285A7">
      <w:pPr>
        <w:spacing w:line="360" w:lineRule="auto"/>
        <w:jc w:val="center"/>
        <w:rPr>
          <w:rFonts w:ascii="宋体" w:hAnsi="宋体" w:cs="宋体"/>
          <w:b/>
          <w:color w:val="auto"/>
          <w:sz w:val="32"/>
          <w:szCs w:val="32"/>
        </w:rPr>
      </w:pPr>
    </w:p>
    <w:p w14:paraId="5EDDF5C1">
      <w:pPr>
        <w:spacing w:line="360" w:lineRule="auto"/>
        <w:jc w:val="center"/>
        <w:rPr>
          <w:rFonts w:ascii="宋体" w:hAnsi="宋体" w:cs="宋体"/>
          <w:b/>
          <w:color w:val="auto"/>
          <w:sz w:val="32"/>
          <w:szCs w:val="32"/>
        </w:rPr>
      </w:pPr>
      <w:r>
        <w:rPr>
          <w:rFonts w:hint="eastAsia" w:ascii="宋体" w:hAnsi="宋体" w:cs="宋体"/>
          <w:b/>
          <w:color w:val="auto"/>
          <w:sz w:val="32"/>
          <w:szCs w:val="32"/>
        </w:rPr>
        <w:t>参加本项目人员一览表</w:t>
      </w:r>
    </w:p>
    <w:p w14:paraId="12C88A42">
      <w:pPr>
        <w:spacing w:line="360" w:lineRule="auto"/>
        <w:rPr>
          <w:rFonts w:ascii="宋体" w:hAnsi="宋体" w:cs="宋体"/>
          <w:color w:val="auto"/>
          <w:sz w:val="22"/>
        </w:rPr>
      </w:pPr>
    </w:p>
    <w:p w14:paraId="58226963">
      <w:pPr>
        <w:spacing w:line="360" w:lineRule="auto"/>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tbl>
      <w:tblPr>
        <w:tblStyle w:val="40"/>
        <w:tblW w:w="9450" w:type="dxa"/>
        <w:tblInd w:w="-357"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14:paraId="31C8252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9182B1">
            <w:pPr>
              <w:tabs>
                <w:tab w:val="left" w:pos="9765"/>
              </w:tabs>
              <w:spacing w:line="360" w:lineRule="auto"/>
              <w:jc w:val="center"/>
              <w:rPr>
                <w:rFonts w:ascii="宋体" w:hAnsi="宋体" w:cs="宋体"/>
                <w:color w:val="auto"/>
                <w:sz w:val="24"/>
              </w:rPr>
            </w:pPr>
            <w:r>
              <w:rPr>
                <w:rFonts w:hint="eastAsia" w:ascii="宋体" w:hAnsi="宋体" w:cs="宋体"/>
                <w:color w:val="auto"/>
                <w:sz w:val="24"/>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D8B24A">
            <w:pPr>
              <w:tabs>
                <w:tab w:val="left" w:pos="9765"/>
              </w:tabs>
              <w:spacing w:line="360" w:lineRule="auto"/>
              <w:jc w:val="center"/>
              <w:rPr>
                <w:rFonts w:ascii="宋体" w:hAnsi="宋体" w:cs="宋体"/>
                <w:color w:val="auto"/>
                <w:sz w:val="24"/>
              </w:rPr>
            </w:pPr>
            <w:r>
              <w:rPr>
                <w:rFonts w:hint="eastAsia" w:ascii="宋体" w:hAnsi="宋体" w:cs="宋体"/>
                <w:color w:val="auto"/>
                <w:sz w:val="24"/>
              </w:rPr>
              <w:t>姓名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A6F15B">
            <w:pPr>
              <w:tabs>
                <w:tab w:val="left" w:pos="9765"/>
              </w:tabs>
              <w:spacing w:line="360" w:lineRule="auto"/>
              <w:jc w:val="center"/>
              <w:rPr>
                <w:rFonts w:ascii="宋体" w:hAnsi="宋体" w:cs="宋体"/>
                <w:color w:val="auto"/>
                <w:sz w:val="24"/>
              </w:rPr>
            </w:pPr>
            <w:r>
              <w:rPr>
                <w:rFonts w:hint="eastAsia" w:ascii="宋体" w:hAnsi="宋体" w:cs="宋体"/>
                <w:color w:val="auto"/>
                <w:sz w:val="24"/>
              </w:rPr>
              <w:t>性别</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D813C04">
            <w:pPr>
              <w:tabs>
                <w:tab w:val="left" w:pos="9765"/>
              </w:tabs>
              <w:spacing w:line="360" w:lineRule="auto"/>
              <w:jc w:val="center"/>
              <w:rPr>
                <w:rFonts w:ascii="宋体" w:hAnsi="宋体" w:cs="宋体"/>
                <w:color w:val="auto"/>
                <w:sz w:val="24"/>
              </w:rPr>
            </w:pPr>
            <w:r>
              <w:rPr>
                <w:rFonts w:hint="eastAsia" w:ascii="宋体" w:hAnsi="宋体" w:cs="宋体"/>
                <w:color w:val="auto"/>
                <w:sz w:val="24"/>
              </w:rPr>
              <w:t>年龄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B5EDD1">
            <w:pPr>
              <w:tabs>
                <w:tab w:val="left" w:pos="9765"/>
              </w:tabs>
              <w:spacing w:line="360" w:lineRule="auto"/>
              <w:jc w:val="center"/>
              <w:rPr>
                <w:rFonts w:ascii="宋体" w:hAnsi="宋体" w:cs="宋体"/>
                <w:color w:val="auto"/>
                <w:sz w:val="24"/>
              </w:rPr>
            </w:pPr>
            <w:r>
              <w:rPr>
                <w:rFonts w:hint="eastAsia" w:ascii="宋体" w:hAnsi="宋体" w:cs="宋体"/>
                <w:color w:val="auto"/>
                <w:sz w:val="24"/>
              </w:rPr>
              <w:t>毕业学校和学历</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768FA48">
            <w:pPr>
              <w:tabs>
                <w:tab w:val="left" w:pos="9765"/>
              </w:tabs>
              <w:spacing w:line="360" w:lineRule="auto"/>
              <w:jc w:val="center"/>
              <w:rPr>
                <w:rFonts w:ascii="宋体" w:hAnsi="宋体" w:cs="宋体"/>
                <w:color w:val="auto"/>
                <w:sz w:val="24"/>
              </w:rPr>
            </w:pPr>
            <w:r>
              <w:rPr>
                <w:rFonts w:hint="eastAsia" w:ascii="宋体" w:hAnsi="宋体" w:cs="宋体"/>
                <w:color w:val="auto"/>
                <w:sz w:val="24"/>
              </w:rPr>
              <w:t>专业</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AC3B63A">
            <w:pPr>
              <w:tabs>
                <w:tab w:val="left" w:pos="9765"/>
              </w:tabs>
              <w:spacing w:line="360" w:lineRule="auto"/>
              <w:jc w:val="center"/>
              <w:rPr>
                <w:rFonts w:ascii="宋体" w:hAnsi="宋体" w:cs="宋体"/>
                <w:color w:val="auto"/>
                <w:sz w:val="24"/>
              </w:rPr>
            </w:pPr>
            <w:r>
              <w:rPr>
                <w:rFonts w:hint="eastAsia" w:ascii="宋体" w:hAnsi="宋体" w:cs="宋体"/>
                <w:color w:val="auto"/>
                <w:sz w:val="24"/>
              </w:rPr>
              <w:t>职称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7A46933">
            <w:pPr>
              <w:tabs>
                <w:tab w:val="left" w:pos="9765"/>
              </w:tabs>
              <w:spacing w:line="360" w:lineRule="auto"/>
              <w:jc w:val="center"/>
              <w:rPr>
                <w:rFonts w:ascii="宋体" w:hAnsi="宋体" w:cs="宋体"/>
                <w:color w:val="auto"/>
                <w:sz w:val="24"/>
              </w:rPr>
            </w:pPr>
            <w:r>
              <w:rPr>
                <w:rFonts w:hint="eastAsia" w:ascii="宋体" w:hAnsi="宋体" w:cs="宋体"/>
                <w:color w:val="auto"/>
                <w:sz w:val="24"/>
              </w:rPr>
              <w:t>专业培训及证书</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CF3029">
            <w:pPr>
              <w:tabs>
                <w:tab w:val="left" w:pos="9765"/>
              </w:tabs>
              <w:spacing w:line="360" w:lineRule="auto"/>
              <w:jc w:val="center"/>
              <w:rPr>
                <w:rFonts w:ascii="宋体" w:hAnsi="宋体" w:cs="宋体"/>
                <w:color w:val="auto"/>
                <w:sz w:val="24"/>
              </w:rPr>
            </w:pPr>
            <w:r>
              <w:rPr>
                <w:rFonts w:hint="eastAsia" w:ascii="宋体" w:hAnsi="宋体" w:cs="宋体"/>
                <w:color w:val="auto"/>
                <w:sz w:val="24"/>
              </w:rPr>
              <w:t>责任</w:t>
            </w:r>
          </w:p>
          <w:p w14:paraId="62D99D0D">
            <w:pPr>
              <w:tabs>
                <w:tab w:val="left" w:pos="9765"/>
              </w:tabs>
              <w:spacing w:line="360" w:lineRule="auto"/>
              <w:jc w:val="center"/>
              <w:rPr>
                <w:rFonts w:ascii="宋体" w:hAnsi="宋体" w:cs="宋体"/>
                <w:color w:val="auto"/>
                <w:sz w:val="24"/>
              </w:rPr>
            </w:pPr>
            <w:r>
              <w:rPr>
                <w:rFonts w:hint="eastAsia" w:ascii="宋体" w:hAnsi="宋体" w:cs="宋体"/>
                <w:color w:val="auto"/>
                <w:sz w:val="24"/>
              </w:rPr>
              <w:t>或分工</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2A3FDC1">
            <w:pPr>
              <w:tabs>
                <w:tab w:val="left" w:pos="9765"/>
              </w:tabs>
              <w:spacing w:line="360" w:lineRule="auto"/>
              <w:jc w:val="center"/>
              <w:rPr>
                <w:rFonts w:ascii="宋体" w:hAnsi="宋体" w:cs="宋体"/>
                <w:color w:val="auto"/>
                <w:sz w:val="24"/>
              </w:rPr>
            </w:pPr>
            <w:r>
              <w:rPr>
                <w:rFonts w:hint="eastAsia" w:ascii="宋体" w:hAnsi="宋体" w:cs="宋体"/>
                <w:color w:val="auto"/>
                <w:sz w:val="24"/>
              </w:rPr>
              <w:t>项目经历或主要工作</w:t>
            </w:r>
          </w:p>
          <w:p w14:paraId="4F6DD87E">
            <w:pPr>
              <w:tabs>
                <w:tab w:val="left" w:pos="9765"/>
              </w:tabs>
              <w:spacing w:line="360" w:lineRule="auto"/>
              <w:jc w:val="center"/>
              <w:rPr>
                <w:rFonts w:ascii="宋体" w:hAnsi="宋体" w:cs="宋体"/>
                <w:color w:val="auto"/>
                <w:sz w:val="24"/>
              </w:rPr>
            </w:pPr>
            <w:r>
              <w:rPr>
                <w:rFonts w:hint="eastAsia" w:ascii="宋体" w:hAnsi="宋体" w:cs="宋体"/>
                <w:color w:val="auto"/>
                <w:sz w:val="24"/>
              </w:rPr>
              <w:t>业绩</w:t>
            </w:r>
          </w:p>
        </w:tc>
      </w:tr>
      <w:tr w14:paraId="6CB8E65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945" w:type="dxa"/>
            <w:tcBorders>
              <w:top w:val="single" w:color="000000" w:sz="4" w:space="0"/>
              <w:left w:val="single" w:color="000000" w:sz="4" w:space="0"/>
              <w:bottom w:val="single" w:color="000000" w:sz="4" w:space="0"/>
              <w:right w:val="single" w:color="000000" w:sz="4" w:space="0"/>
            </w:tcBorders>
            <w:noWrap w:val="0"/>
          </w:tcPr>
          <w:p w14:paraId="633520FE">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2353ECE9">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2DEFEC90">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1916DA1C">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42014452">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22AB9303">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25FB24BE">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1EF52D80">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6D7A53BA">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5DF92632">
            <w:pPr>
              <w:tabs>
                <w:tab w:val="left" w:pos="9765"/>
              </w:tabs>
              <w:spacing w:line="360" w:lineRule="auto"/>
              <w:rPr>
                <w:rFonts w:ascii="宋体" w:hAnsi="宋体" w:cs="宋体"/>
                <w:color w:val="auto"/>
                <w:sz w:val="24"/>
              </w:rPr>
            </w:pPr>
            <w:r>
              <w:rPr>
                <w:rFonts w:hint="eastAsia" w:ascii="宋体" w:hAnsi="宋体" w:cs="宋体"/>
                <w:color w:val="auto"/>
                <w:sz w:val="24"/>
              </w:rPr>
              <w:t> </w:t>
            </w:r>
          </w:p>
        </w:tc>
      </w:tr>
      <w:tr w14:paraId="1A205D0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945" w:type="dxa"/>
            <w:tcBorders>
              <w:top w:val="single" w:color="000000" w:sz="4" w:space="0"/>
              <w:left w:val="single" w:color="000000" w:sz="4" w:space="0"/>
              <w:bottom w:val="single" w:color="000000" w:sz="4" w:space="0"/>
              <w:right w:val="single" w:color="000000" w:sz="4" w:space="0"/>
            </w:tcBorders>
            <w:noWrap w:val="0"/>
          </w:tcPr>
          <w:p w14:paraId="3FD7DCA9">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094496A9">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044F4F3F">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2C8459E9">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6E1A9523">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4E693FB2">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14F66E1A">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23E29C85">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27AD4661">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6FB78895">
            <w:pPr>
              <w:tabs>
                <w:tab w:val="left" w:pos="9765"/>
              </w:tabs>
              <w:spacing w:line="360" w:lineRule="auto"/>
              <w:rPr>
                <w:rFonts w:ascii="宋体" w:hAnsi="宋体" w:cs="宋体"/>
                <w:color w:val="auto"/>
                <w:sz w:val="24"/>
              </w:rPr>
            </w:pPr>
            <w:r>
              <w:rPr>
                <w:rFonts w:hint="eastAsia" w:ascii="宋体" w:hAnsi="宋体" w:cs="宋体"/>
                <w:color w:val="auto"/>
                <w:sz w:val="24"/>
              </w:rPr>
              <w:t> </w:t>
            </w:r>
          </w:p>
        </w:tc>
      </w:tr>
      <w:tr w14:paraId="0CFBE01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945" w:type="dxa"/>
            <w:tcBorders>
              <w:top w:val="single" w:color="000000" w:sz="4" w:space="0"/>
              <w:left w:val="single" w:color="000000" w:sz="4" w:space="0"/>
              <w:bottom w:val="single" w:color="000000" w:sz="4" w:space="0"/>
              <w:right w:val="single" w:color="000000" w:sz="4" w:space="0"/>
            </w:tcBorders>
            <w:noWrap w:val="0"/>
          </w:tcPr>
          <w:p w14:paraId="4003708F">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77FDD995">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503DB567">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3BE0B4CB">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3661B18A">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2AF70C62">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1DEC36C2">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30980D99">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3CC0DB8B">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6119363D">
            <w:pPr>
              <w:tabs>
                <w:tab w:val="left" w:pos="9765"/>
              </w:tabs>
              <w:spacing w:line="360" w:lineRule="auto"/>
              <w:rPr>
                <w:rFonts w:ascii="宋体" w:hAnsi="宋体" w:cs="宋体"/>
                <w:color w:val="auto"/>
                <w:sz w:val="24"/>
              </w:rPr>
            </w:pPr>
          </w:p>
        </w:tc>
      </w:tr>
      <w:tr w14:paraId="5B3B940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945" w:type="dxa"/>
            <w:tcBorders>
              <w:top w:val="single" w:color="000000" w:sz="4" w:space="0"/>
              <w:left w:val="single" w:color="000000" w:sz="4" w:space="0"/>
              <w:bottom w:val="single" w:color="000000" w:sz="4" w:space="0"/>
              <w:right w:val="single" w:color="000000" w:sz="4" w:space="0"/>
            </w:tcBorders>
            <w:noWrap w:val="0"/>
          </w:tcPr>
          <w:p w14:paraId="0978257A">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364FEFA4">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4AA77D95">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7415F44A">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0CB4665B">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51C9B889">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60703DCA">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7CB8057D">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4A5506BF">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4091A06C">
            <w:pPr>
              <w:tabs>
                <w:tab w:val="left" w:pos="9765"/>
              </w:tabs>
              <w:spacing w:line="360" w:lineRule="auto"/>
              <w:rPr>
                <w:rFonts w:ascii="宋体" w:hAnsi="宋体" w:cs="宋体"/>
                <w:color w:val="auto"/>
                <w:sz w:val="24"/>
              </w:rPr>
            </w:pPr>
          </w:p>
        </w:tc>
      </w:tr>
      <w:tr w14:paraId="3830D64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945" w:type="dxa"/>
            <w:tcBorders>
              <w:top w:val="single" w:color="000000" w:sz="4" w:space="0"/>
              <w:left w:val="single" w:color="000000" w:sz="4" w:space="0"/>
              <w:bottom w:val="single" w:color="000000" w:sz="4" w:space="0"/>
              <w:right w:val="single" w:color="000000" w:sz="4" w:space="0"/>
            </w:tcBorders>
            <w:noWrap w:val="0"/>
          </w:tcPr>
          <w:p w14:paraId="61617158">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6814150A">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33521FAB">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43FA467D">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44CAC85B">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0AA3F395">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518E7136">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03E2A8EB">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7B55AFD6">
            <w:pPr>
              <w:tabs>
                <w:tab w:val="left" w:pos="9765"/>
              </w:tabs>
              <w:spacing w:line="360" w:lineRule="auto"/>
              <w:rPr>
                <w:rFonts w:ascii="宋体" w:hAnsi="宋体" w:cs="宋体"/>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tcPr>
          <w:p w14:paraId="37F8D12E">
            <w:pPr>
              <w:tabs>
                <w:tab w:val="left" w:pos="9765"/>
              </w:tabs>
              <w:spacing w:line="360" w:lineRule="auto"/>
              <w:rPr>
                <w:rFonts w:ascii="宋体" w:hAnsi="宋体" w:cs="宋体"/>
                <w:color w:val="auto"/>
                <w:sz w:val="24"/>
              </w:rPr>
            </w:pPr>
          </w:p>
        </w:tc>
      </w:tr>
      <w:tr w14:paraId="43BF9F0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945" w:type="dxa"/>
            <w:tcBorders>
              <w:top w:val="single" w:color="000000" w:sz="4" w:space="0"/>
              <w:left w:val="single" w:color="000000" w:sz="4" w:space="0"/>
              <w:bottom w:val="single" w:color="000000" w:sz="4" w:space="0"/>
              <w:right w:val="single" w:color="000000" w:sz="4" w:space="0"/>
            </w:tcBorders>
            <w:noWrap w:val="0"/>
          </w:tcPr>
          <w:p w14:paraId="77336CD7">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679B565B">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0138F776">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770767D6">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2E48E6DB">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19F9B274">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1DB47C99">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4F78771D">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71224D68">
            <w:pPr>
              <w:tabs>
                <w:tab w:val="left" w:pos="9765"/>
              </w:tabs>
              <w:spacing w:line="360" w:lineRule="auto"/>
              <w:rPr>
                <w:rFonts w:ascii="宋体" w:hAnsi="宋体" w:cs="宋体"/>
                <w:color w:val="auto"/>
                <w:sz w:val="24"/>
              </w:rPr>
            </w:pPr>
            <w:r>
              <w:rPr>
                <w:rFonts w:hint="eastAsia" w:ascii="宋体" w:hAnsi="宋体" w:cs="宋体"/>
                <w:color w:val="auto"/>
                <w:sz w:val="24"/>
              </w:rPr>
              <w:t> </w:t>
            </w:r>
          </w:p>
        </w:tc>
        <w:tc>
          <w:tcPr>
            <w:tcW w:w="945" w:type="dxa"/>
            <w:tcBorders>
              <w:top w:val="single" w:color="000000" w:sz="4" w:space="0"/>
              <w:left w:val="single" w:color="000000" w:sz="4" w:space="0"/>
              <w:bottom w:val="single" w:color="000000" w:sz="4" w:space="0"/>
              <w:right w:val="single" w:color="000000" w:sz="4" w:space="0"/>
            </w:tcBorders>
            <w:noWrap w:val="0"/>
          </w:tcPr>
          <w:p w14:paraId="29A22002">
            <w:pPr>
              <w:tabs>
                <w:tab w:val="left" w:pos="9765"/>
              </w:tabs>
              <w:spacing w:line="360" w:lineRule="auto"/>
              <w:rPr>
                <w:rFonts w:ascii="宋体" w:hAnsi="宋体" w:cs="宋体"/>
                <w:color w:val="auto"/>
                <w:sz w:val="24"/>
              </w:rPr>
            </w:pPr>
            <w:r>
              <w:rPr>
                <w:rFonts w:hint="eastAsia" w:ascii="宋体" w:hAnsi="宋体" w:cs="宋体"/>
                <w:color w:val="auto"/>
                <w:sz w:val="24"/>
              </w:rPr>
              <w:t> </w:t>
            </w:r>
          </w:p>
        </w:tc>
      </w:tr>
    </w:tbl>
    <w:p w14:paraId="65764B95">
      <w:pPr>
        <w:tabs>
          <w:tab w:val="left" w:pos="9765"/>
        </w:tabs>
        <w:rPr>
          <w:rFonts w:ascii="宋体" w:hAnsi="宋体" w:cs="宋体"/>
          <w:b/>
          <w:color w:val="auto"/>
          <w:sz w:val="24"/>
          <w:lang w:val="zh-CN"/>
        </w:rPr>
      </w:pPr>
    </w:p>
    <w:p w14:paraId="29DCB1EC">
      <w:pPr>
        <w:tabs>
          <w:tab w:val="left" w:pos="9765"/>
        </w:tabs>
        <w:spacing w:line="360" w:lineRule="auto"/>
        <w:rPr>
          <w:rFonts w:ascii="宋体" w:hAnsi="宋体" w:cs="宋体"/>
          <w:b/>
          <w:color w:val="auto"/>
          <w:sz w:val="24"/>
        </w:rPr>
      </w:pPr>
      <w:r>
        <w:rPr>
          <w:rFonts w:hint="eastAsia" w:ascii="宋体" w:hAnsi="宋体" w:cs="宋体"/>
          <w:b/>
          <w:color w:val="auto"/>
          <w:sz w:val="24"/>
          <w:lang w:val="zh-CN"/>
        </w:rPr>
        <w:t>注：参加本项目人员须是供应商正式职工。</w:t>
      </w:r>
    </w:p>
    <w:p w14:paraId="5C5C70AE">
      <w:pPr>
        <w:spacing w:line="360" w:lineRule="auto"/>
        <w:rPr>
          <w:rFonts w:ascii="宋体" w:hAnsi="宋体" w:cs="宋体"/>
          <w:color w:val="auto"/>
          <w:sz w:val="24"/>
        </w:rPr>
      </w:pPr>
    </w:p>
    <w:p w14:paraId="60DE03D0">
      <w:pPr>
        <w:spacing w:before="25" w:after="25" w:line="360" w:lineRule="auto"/>
        <w:rPr>
          <w:rFonts w:ascii="宋体" w:hAnsi="宋体" w:cs="宋体"/>
          <w:color w:val="auto"/>
          <w:sz w:val="24"/>
          <w:lang w:val="zh-CN"/>
        </w:rPr>
      </w:pPr>
      <w:r>
        <w:rPr>
          <w:rFonts w:hint="eastAsia" w:ascii="宋体" w:hAnsi="宋体" w:cs="宋体"/>
          <w:color w:val="auto"/>
          <w:sz w:val="24"/>
        </w:rPr>
        <w:t>供应商名称（加盖公章）</w:t>
      </w:r>
      <w:r>
        <w:rPr>
          <w:rFonts w:hint="eastAsia" w:ascii="宋体" w:hAnsi="宋体" w:cs="宋体"/>
          <w:color w:val="auto"/>
          <w:sz w:val="24"/>
          <w:lang w:val="zh-CN"/>
        </w:rPr>
        <w:t>：____________</w:t>
      </w:r>
    </w:p>
    <w:p w14:paraId="21B53C2F">
      <w:pPr>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41DA6523">
      <w:pPr>
        <w:rPr>
          <w:rFonts w:ascii="宋体" w:hAnsi="宋体" w:cs="宋体"/>
          <w:color w:val="auto"/>
          <w:szCs w:val="21"/>
          <w:lang w:bidi="ar"/>
        </w:rPr>
      </w:pPr>
    </w:p>
    <w:p w14:paraId="451D88CB">
      <w:pPr>
        <w:pStyle w:val="2"/>
        <w:rPr>
          <w:rFonts w:ascii="宋体" w:hAnsi="宋体" w:cs="宋体"/>
          <w:color w:val="auto"/>
          <w:szCs w:val="21"/>
          <w:lang w:bidi="ar"/>
        </w:rPr>
      </w:pPr>
    </w:p>
    <w:p w14:paraId="73B522E0">
      <w:pPr>
        <w:rPr>
          <w:rFonts w:ascii="宋体" w:hAnsi="宋体" w:cs="宋体"/>
          <w:color w:val="auto"/>
        </w:rPr>
      </w:pPr>
    </w:p>
    <w:p w14:paraId="111CDCAC">
      <w:pPr>
        <w:pStyle w:val="2"/>
        <w:rPr>
          <w:rFonts w:ascii="宋体" w:hAnsi="宋体" w:cs="宋体"/>
          <w:color w:val="auto"/>
        </w:rPr>
      </w:pPr>
    </w:p>
    <w:p w14:paraId="6ED9D042">
      <w:pPr>
        <w:rPr>
          <w:rFonts w:ascii="宋体" w:hAnsi="宋体" w:cs="宋体"/>
          <w:color w:val="auto"/>
        </w:rPr>
      </w:pPr>
    </w:p>
    <w:p w14:paraId="2DC2B1A4">
      <w:pPr>
        <w:rPr>
          <w:rFonts w:ascii="宋体" w:hAnsi="宋体" w:cs="宋体"/>
          <w:color w:val="auto"/>
          <w:sz w:val="24"/>
          <w:szCs w:val="20"/>
        </w:rPr>
      </w:pPr>
    </w:p>
    <w:sectPr>
      <w:headerReference r:id="rId11" w:type="default"/>
      <w:footerReference r:id="rId12" w:type="default"/>
      <w:pgSz w:w="11906" w:h="16838"/>
      <w:pgMar w:top="1417" w:right="1134" w:bottom="1134" w:left="1134" w:header="680"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64E4F6-444A-4690-A97F-03150DE4E2A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PMingLiU">
    <w:panose1 w:val="02020500000000000000"/>
    <w:charset w:val="88"/>
    <w:family w:val="auto"/>
    <w:pitch w:val="default"/>
    <w:sig w:usb0="A00002FF" w:usb1="28CFFCFA" w:usb2="00000016" w:usb3="00000000" w:csb0="00100001" w:csb1="00000000"/>
  </w:font>
  <w:font w:name="Arial Narrow">
    <w:panose1 w:val="020B0606020202030204"/>
    <w:charset w:val="00"/>
    <w:family w:val="auto"/>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2C4CBED8-CEE1-4A0E-BBE9-CD0D5AB67BB9}"/>
  </w:font>
  <w:font w:name="Segoe UI Symbol">
    <w:panose1 w:val="020B0502040204020203"/>
    <w:charset w:val="00"/>
    <w:family w:val="auto"/>
    <w:pitch w:val="default"/>
    <w:sig w:usb0="800001E3" w:usb1="1200FFEF" w:usb2="00040000" w:usb3="04000000" w:csb0="00000001" w:csb1="40000000"/>
    <w:embedRegular r:id="rId3" w:fontKey="{473664E7-D6D8-4B51-9176-8826E7C35C5C}"/>
  </w:font>
  <w:font w:name="等线">
    <w:panose1 w:val="02010600030101010101"/>
    <w:charset w:val="86"/>
    <w:family w:val="auto"/>
    <w:pitch w:val="default"/>
    <w:sig w:usb0="A00002BF" w:usb1="38CF7CFA" w:usb2="00000016" w:usb3="00000000" w:csb0="0004000F" w:csb1="00000000"/>
    <w:embedRegular r:id="rId4" w:fontKey="{A63A7B98-0B16-409C-B6FB-C5B4BE01B3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FE16">
    <w:pPr>
      <w:pStyle w:val="26"/>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FEDEC">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14FEDEC">
                    <w:pPr>
                      <w:pStyle w:val="2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5"/>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15FC3BF5"/>
                      </w:txbxContent>
                    </wps:txbx>
                    <wps:bodyPr wrap="none" lIns="0" tIns="0" rIns="0" bIns="0" anchor="t" anchorCtr="0" upright="1">
                      <a:spAutoFit/>
                    </wps:bodyPr>
                  </wps:wsp>
                </a:graphicData>
              </a:graphic>
            </wp:anchor>
          </w:drawing>
        </mc:Choice>
        <mc:Fallback>
          <w:pict>
            <v:shape id="Text Box 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kTmD7VAQAAvAMAAA4AAABkcnMvZTJvRG9jLnhtbK1TTW/bMAy9D9h/&#10;EHRfHHfNWhhxim1BhgH7Atr9AFmWYwGSKIhK7Pz7UbKdbd2lh10EiqIf33uktw+jNeysAmpwNS9X&#10;a86Uk9Bqd6z5z6fDm3vOMArXCgNO1fyikD/sXr/aDr5SN9CDaVVgBOKwGnzN+xh9VRQoe2UFrsAr&#10;R48dBCsiXcOxaIMYCN2a4ma9flcMEFofQCpEyu6nRz4jhpcAQtdpqfYgT1a5OKEGZUQkSdhrj3yX&#10;2XadkvF716GKzNSclMZ8UhOKm3QWu62ojkH4XsuZgngJhWearNCOml6h9iIKdgr6HyirZQCELq4k&#10;2GISkh0hFeX6mTePvfAqayGr0V9Nx/8HK7+dfwSmW9oEzpywNPAnNUb2AUa2Se4MHisqevRUFkdK&#10;p8o5jynZDF+hpc/EKUK2YOyCTVaQOEbV5PTl6nSClpTc3N3dbziT9FK+LW9vc6tCVMu3PmD8pMCy&#10;FNQ80Bwztjh/wUjdqXQpSa0cHLQxeZbG/ZWgwpQpkoxEdxIUx2acNTTQXkjFQCtQc0cbz5n57Mjh&#10;tC1LEJagWQLhZA+0R5GzKfwYp606+aCPPXEuM2H078mXg86kE4mp38yIhpq1zAuYtubPe676/dP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i91E0AAAAAIBAAAPAAAAAAAAAAEAIAAAACIAAABk&#10;cnMvZG93bnJldi54bWxQSwECFAAUAAAACACHTuJAGROYPtUBAAC8AwAADgAAAAAAAAABACAAAAAf&#10;AQAAZHJzL2Uyb0RvYy54bWxQSwUGAAAAAAYABgBZAQAAZgUAAAAA&#10;">
              <v:fill on="f" focussize="0,0"/>
              <v:stroke on="f"/>
              <v:imagedata o:title=""/>
              <o:lock v:ext="edit" aspectratio="f"/>
              <v:textbox inset="0mm,0mm,0mm,0mm" style="mso-fit-shape-to-text:t;">
                <w:txbxContent>
                  <w:p w14:paraId="15FC3BF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067E">
    <w:pPr>
      <w:pStyle w:val="26"/>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98364">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1398364">
                    <w:pPr>
                      <w:pStyle w:val="26"/>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3"/>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778ECC4A"/>
                      </w:txbxContent>
                    </wps:txbx>
                    <wps:bodyPr wrap="none" lIns="0" tIns="0" rIns="0" bIns="0" anchor="t" anchorCtr="0" upright="1">
                      <a:spAutoFit/>
                    </wps:bodyPr>
                  </wps:wsp>
                </a:graphicData>
              </a:graphic>
            </wp:anchor>
          </w:drawing>
        </mc:Choice>
        <mc:Fallback>
          <w:pict>
            <v:shape id="Text Box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A/lKzVAQAAvAMAAA4AAABkcnMvZTJvRG9jLnhtbK1TwY7TMBC9I/EP&#10;lu80bXfLrqKmK6AqQgIWaZcPcBynsWR7LHvapH/P2EkKLJc9cLHG48mb995Mtg+DNeysQtTgKr5a&#10;LDlTTkKj3bHiP58P7+45iyhcIww4VfGLivxh9/bNtvelWkMHplGBEYiLZe8r3iH6siii7JQVcQFe&#10;OXpsIViBdA3HogmiJ3RrivVy+b7oITQ+gFQxUnY/PvIJMbwGENpWS7UHebLK4YgalBFIkmKnfeS7&#10;zLZtlcTHto0Kmak4KcV8UhOK63QWu60oj0H4TsuJgngNhRearNCOml6h9gIFOwX9D5TVMkCEFhcS&#10;bDEKyY6QitXyhTdPnfAqayGro7+aHv8frPx+/hGYbiq+5swJSwN/VgOyjzCwm+RO72NJRU+eynCg&#10;NO3MnI8pWfffoKHPxAkhWzC0wSYrSByjanL6cnU6QUtKbu7u7jecSXpZ3axubzcJshDl/K0PET8r&#10;sCwFFQ80x4wtzl8jjqVzSWrl4KCNybM07q8EYaZMkWQkuqMgHOph0lZDcyEVPa1AxR1tPGfmiyOH&#10;07bMQZiDeg6Ekx3QHiFnY/gJx606+aCPHXFeZcLRfyBfDjqTTiTGfhMjGmqWPS1g2po/77nq90+3&#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i91E0AAAAAIBAAAPAAAAAAAAAAEAIAAAACIAAABk&#10;cnMvZG93bnJldi54bWxQSwECFAAUAAAACACHTuJAID+UrNUBAAC8AwAADgAAAAAAAAABACAAAAAf&#10;AQAAZHJzL2Uyb0RvYy54bWxQSwUGAAAAAAYABgBZAQAAZgUAAAAA&#10;">
              <v:fill on="f" focussize="0,0"/>
              <v:stroke on="f"/>
              <v:imagedata o:title=""/>
              <o:lock v:ext="edit" aspectratio="f"/>
              <v:textbox inset="0mm,0mm,0mm,0mm" style="mso-fit-shape-to-text:t;">
                <w:txbxContent>
                  <w:p w14:paraId="778ECC4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A3EFC">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1"/>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14:paraId="60EF4E48">
                          <w:pPr>
                            <w:pStyle w:val="26"/>
                            <w:rPr>
                              <w:rFonts w:eastAsia="等线"/>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p w14:paraId="315DFFF4"/>
                      </w:txbxContent>
                    </wps:txbx>
                    <wps:bodyPr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fbb93VAQAAvAMAAA4AAABkcnMvZTJvRG9jLnhtbK1TwW7bMAy9D9g/&#10;CLovjttmLYw4xbYgw4BtHdDuAxRZjgVIoiAqsfP3o2Q729pLD70IFEU/vvdIr+8Ha9hJBdTgal4u&#10;lpwpJ6HR7lDz30+7D3ecYRSuEQacqvlZIb/fvH+37n2lrqAD06jACMRh1fuadzH6qihQdsoKXIBX&#10;jh5bCFZEuoZD0QTRE7o1xdVy+bHoITQ+gFSIlN2Oj3xCDK8BhLbVUm1BHq1ycUQNyohIkrDTHvkm&#10;s21bJeND26KKzNSclMZ8UhOK9+ksNmtRHYLwnZYTBfEaCs80WaEdNb1AbUUU7Bj0CyirZQCENi4k&#10;2GIUkh0hFeXymTePnfAqayGr0V9Mx7eDlT9PvwLTTc2vOXPC0sCf1BDZZxhYmdzpPVZU9OipLA6U&#10;pp2Z85iS+/4HNPSZOEbIFgxtsMkKEseompw+X5xO0JKSq9vbuxVnkl7K6/LmZpUgC1HN3/qA8asC&#10;y1JQ80BzzNji9B3jWDqXpFYOdtqYPEvj/ksQZsoUSUaiOwqKw36YtO2hOZOKnlag5o42njPzzZHD&#10;aVvmIMzBfg6Ekx3QHkXOxvBLHLfq6IM+dMS5zITRfyJfdjqTTiTGfhMjGmqWPS1g2pp/77nq70+3&#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i91E0AAAAAIBAAAPAAAAAAAAAAEAIAAAACIAAABk&#10;cnMvZG93bnJldi54bWxQSwECFAAUAAAACACHTuJAN9tv3dUBAAC8AwAADgAAAAAAAAABACAAAAAf&#10;AQAAZHJzL2Uyb0RvYy54bWxQSwUGAAAAAAYABgBZAQAAZgUAAAAA&#10;">
              <v:fill on="f" focussize="0,0"/>
              <v:stroke on="f"/>
              <v:imagedata o:title=""/>
              <o:lock v:ext="edit" aspectratio="f"/>
              <v:textbox inset="0mm,0mm,0mm,0mm" style="mso-fit-shape-to-text:t;">
                <w:txbxContent>
                  <w:p w14:paraId="60EF4E48">
                    <w:pPr>
                      <w:pStyle w:val="26"/>
                      <w:rPr>
                        <w:rFonts w:eastAsia="等线"/>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p w14:paraId="315DFFF4"/>
                </w:txbxContent>
              </v:textbox>
            </v:shape>
          </w:pict>
        </mc:Fallback>
      </mc:AlternateContent>
    </w:r>
    <w:r>
      <w:rPr>
        <w:szCs w:val="21"/>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D628">
    <w:pPr>
      <w:pStyle w:val="2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8740" cy="294005"/>
              <wp:effectExtent l="0" t="0" r="0" b="0"/>
              <wp:wrapNone/>
              <wp:docPr id="4" name="Text Box 4"/>
              <wp:cNvGraphicFramePr/>
              <a:graphic xmlns:a="http://schemas.openxmlformats.org/drawingml/2006/main">
                <a:graphicData uri="http://schemas.microsoft.com/office/word/2010/wordprocessingShape">
                  <wps:wsp>
                    <wps:cNvSpPr txBox="1"/>
                    <wps:spPr bwMode="auto">
                      <a:xfrm>
                        <a:off x="0" y="0"/>
                        <a:ext cx="78740" cy="294005"/>
                      </a:xfrm>
                      <a:prstGeom prst="rect">
                        <a:avLst/>
                      </a:prstGeom>
                      <a:noFill/>
                      <a:ln>
                        <a:noFill/>
                      </a:ln>
                    </wps:spPr>
                    <wps:txbx>
                      <w:txbxContent>
                        <w:p w14:paraId="4F389C88">
                          <w:pPr>
                            <w:pStyle w:val="26"/>
                            <w:rPr>
                              <w:rFonts w:eastAsia="等线"/>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p w14:paraId="06BDB9A9"/>
                      </w:txbxContent>
                    </wps:txbx>
                    <wps:bodyPr wrap="none" lIns="0" tIns="0" rIns="0" bIns="0" anchor="t" anchorCtr="0" upright="1">
                      <a:spAutoFit/>
                    </wps:bodyPr>
                  </wps:wsp>
                </a:graphicData>
              </a:graphic>
            </wp:anchor>
          </w:drawing>
        </mc:Choice>
        <mc:Fallback>
          <w:pict>
            <v:shape id="Text Box 4" o:spid="_x0000_s1026" o:spt="202" type="#_x0000_t202" style="position:absolute;left:0pt;margin-top:0pt;height:23.15pt;width:6.2pt;mso-position-horizontal:center;mso-position-horizontal-relative:margin;mso-wrap-style:none;z-index:251662336;mso-width-relative:page;mso-height-relative:page;" filled="f" stroked="f" coordsize="21600,21600" o:gfxdata="UEsDBAoAAAAAAIdO4kAAAAAAAAAAAAAAAAAEAAAAZHJzL1BLAwQUAAAACACHTuJAZBIB09EAAAAD&#10;AQAADwAAAGRycy9kb3ducmV2LnhtbE2PwWrDMBBE74X+g9hCbo2cNKTB9TqHQC65NS2F3hRrY5lK&#10;KyMpjv33UXppLwvDDDNvq+3orBgoxM4zwmJegCBuvO64Rfj82D9vQMSkWCvrmRAmirCtHx8qVWp/&#10;5XcajqkVuYRjqRBMSn0pZWwMORXnvifO3tkHp1KWoZU6qGsud1Yui2Itneo4LxjV085Q83O8OITX&#10;8ctTH2lH3+ehCaabNvYwIc6eFsUbiERj+gvDHT+jQ52ZTv7COgqLkB9Jv/fuLVcgTgir9QvIupL/&#10;2esbUEsDBBQAAAAIAIdO4kAjzTQP1AEAALwDAAAOAAAAZHJzL2Uyb0RvYy54bWytU8GO0zAQvSPx&#10;D5bvNGlV2CVqugKqIiRgkXb5ANdxGku2x7KnTfr3jJ2kwO5lD3uxxjOTN+89TzZ3gzXsrELU4Gq+&#10;XJScKSeh0e5Y89+P+3e3nEUUrhEGnKr5RUV+t337ZtP7Sq2gA9OowAjExar3Ne8QfVUUUXbKirgA&#10;rxwVWwhWIF3DsWiC6AndmmJVlh+KHkLjA0gVI2V3Y5FPiOElgNC2WqodyJNVDkfUoIxAkhQ77SPf&#10;ZrZtqyTet21UyEzNSSnmk4ZQfEhnsd2I6hiE77ScKIiXUHiiyQrtaOgVaidQsFPQz6CslgEitLiQ&#10;YItRSHaEVCzLJ948dMKrrIWsjv5qenw9WPnz/Csw3dR8zZkTlh78UQ3IPsPA1smd3seKmh48teFA&#10;adqZOR9T8tD/gIY+EyeEbMHQBpusIHGMusnpy9XpBC0peXN7s6aCpMrq47os3yfIQlTztz5E/KrA&#10;shTUPNA7Zmxx/h5xbJ1b0igHe21Mfkvj/ksQZsoUSUaiOwrC4TBM2g7QXEhFTytQc0cbz5n55sjh&#10;tC1zEObgMAfCyQ5oj5CzMfyC41adfNDHjjgvM+HoP5Eve51JJxLjvIkRPWqWPS1g2pp/77nr70+3&#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EgHT0QAAAAMBAAAPAAAAAAAAAAEAIAAAACIAAABk&#10;cnMvZG93bnJldi54bWxQSwECFAAUAAAACACHTuJAI800D9QBAAC8AwAADgAAAAAAAAABACAAAAAg&#10;AQAAZHJzL2Uyb0RvYy54bWxQSwUGAAAAAAYABgBZAQAAZgUAAAAA&#10;">
              <v:fill on="f" focussize="0,0"/>
              <v:stroke on="f"/>
              <v:imagedata o:title=""/>
              <o:lock v:ext="edit" aspectratio="f"/>
              <v:textbox inset="0mm,0mm,0mm,0mm" style="mso-fit-shape-to-text:t;">
                <w:txbxContent>
                  <w:p w14:paraId="4F389C88">
                    <w:pPr>
                      <w:pStyle w:val="26"/>
                      <w:rPr>
                        <w:rFonts w:eastAsia="等线"/>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p w14:paraId="06BDB9A9"/>
                </w:txbxContent>
              </v:textbox>
            </v:shape>
          </w:pict>
        </mc:Fallback>
      </mc:AlternateContent>
    </w:r>
    <w:r>
      <w:rPr>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E6957">
    <w:pPr>
      <w:pBdr>
        <w:top w:val="none" w:color="000000" w:sz="0" w:space="1"/>
        <w:left w:val="none" w:color="000000" w:sz="0" w:space="4"/>
        <w:bottom w:val="single" w:color="000000" w:sz="4" w:space="1"/>
        <w:right w:val="none" w:color="000000" w:sz="0" w:space="4"/>
      </w:pBdr>
      <w:rPr>
        <w:rFonts w:ascii="Times New Roman" w:hAnsi="Times New Roman"/>
        <w:sz w:val="18"/>
        <w:szCs w:val="20"/>
      </w:rPr>
    </w:pPr>
  </w:p>
  <w:p w14:paraId="63ADB511">
    <w:pPr>
      <w:pBdr>
        <w:top w:val="none" w:color="000000" w:sz="0" w:space="1"/>
        <w:left w:val="none" w:color="000000" w:sz="0" w:space="4"/>
        <w:bottom w:val="single" w:color="000000" w:sz="4" w:space="1"/>
        <w:right w:val="none" w:color="000000" w:sz="0" w:space="4"/>
      </w:pBdr>
      <w:rPr>
        <w:rFonts w:ascii="Times New Roman" w:hAnsi="Times New Roman"/>
        <w:sz w:val="18"/>
        <w:szCs w:val="20"/>
      </w:rPr>
    </w:pPr>
  </w:p>
  <w:p w14:paraId="63ADF32A">
    <w:pPr>
      <w:pBdr>
        <w:top w:val="none" w:color="000000" w:sz="0" w:space="1"/>
        <w:left w:val="none" w:color="000000" w:sz="0" w:space="4"/>
        <w:bottom w:val="single" w:color="000000" w:sz="4" w:space="1"/>
        <w:right w:val="none" w:color="000000" w:sz="0" w:space="4"/>
      </w:pBdr>
      <w:rPr>
        <w:rFonts w:ascii="Times New Roman" w:hAnsi="Times New Roman"/>
        <w:sz w:val="18"/>
        <w:szCs w:val="20"/>
      </w:rPr>
    </w:pPr>
  </w:p>
  <w:p w14:paraId="0E03805D">
    <w:pPr>
      <w:pBdr>
        <w:top w:val="none" w:color="000000" w:sz="0" w:space="1"/>
        <w:left w:val="none" w:color="000000" w:sz="0" w:space="4"/>
        <w:bottom w:val="single" w:color="000000" w:sz="4" w:space="1"/>
        <w:right w:val="none" w:color="000000" w:sz="0" w:space="4"/>
      </w:pBdr>
      <w:rPr>
        <w:rFonts w:ascii="Times New Roman" w:hAnsi="Times New Roman"/>
        <w:sz w:val="18"/>
        <w:szCs w:val="20"/>
      </w:rPr>
    </w:pPr>
    <w:r>
      <w:rPr>
        <w:rFonts w:hint="eastAsia"/>
        <w:sz w:val="18"/>
      </w:rPr>
      <w:t>溧阳市政府采购中心</w:t>
    </w:r>
    <w:r>
      <w:rPr>
        <w:rFonts w:hint="eastAsia" w:ascii="Times New Roman" w:hAnsi="Times New Roman"/>
        <w:sz w:val="18"/>
        <w:szCs w:val="20"/>
      </w:rPr>
      <w:tab/>
    </w:r>
    <w:r>
      <w:rPr>
        <w:rFonts w:hint="eastAsia" w:ascii="Times New Roman" w:hAnsi="Times New Roman"/>
        <w:sz w:val="18"/>
        <w:szCs w:val="20"/>
      </w:rPr>
      <w:tab/>
    </w:r>
    <w:r>
      <w:rPr>
        <w:rFonts w:hint="eastAsia" w:ascii="Times New Roman" w:hAnsi="Times New Roman"/>
        <w:sz w:val="18"/>
        <w:szCs w:val="20"/>
      </w:rPr>
      <w:t xml:space="preserve">                                                                   征集文件-框架协议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1D5D">
    <w:pPr>
      <w:pBdr>
        <w:top w:val="none" w:color="000000" w:sz="0" w:space="1"/>
        <w:left w:val="none" w:color="000000" w:sz="0" w:space="4"/>
        <w:bottom w:val="single" w:color="000000" w:sz="4" w:space="1"/>
        <w:right w:val="none" w:color="000000" w:sz="0" w:space="4"/>
      </w:pBdr>
      <w:rPr>
        <w:rFonts w:ascii="Times New Roman" w:hAnsi="Times New Roman"/>
        <w:sz w:val="18"/>
        <w:szCs w:val="20"/>
      </w:rPr>
    </w:pPr>
  </w:p>
  <w:p w14:paraId="482BF528">
    <w:pPr>
      <w:pBdr>
        <w:top w:val="none" w:color="000000" w:sz="0" w:space="1"/>
        <w:left w:val="none" w:color="000000" w:sz="0" w:space="4"/>
        <w:bottom w:val="single" w:color="000000" w:sz="4" w:space="1"/>
        <w:right w:val="none" w:color="000000" w:sz="0" w:space="4"/>
      </w:pBdr>
      <w:rPr>
        <w:rFonts w:ascii="Times New Roman" w:hAnsi="Times New Roman"/>
        <w:sz w:val="18"/>
        <w:szCs w:val="20"/>
      </w:rPr>
    </w:pPr>
  </w:p>
  <w:p w14:paraId="31BDFA8B">
    <w:pPr>
      <w:pBdr>
        <w:top w:val="none" w:color="000000" w:sz="0" w:space="1"/>
        <w:left w:val="none" w:color="000000" w:sz="0" w:space="4"/>
        <w:bottom w:val="single" w:color="000000" w:sz="4" w:space="1"/>
        <w:right w:val="none" w:color="000000" w:sz="0" w:space="4"/>
      </w:pBdr>
      <w:rPr>
        <w:rFonts w:ascii="Times New Roman" w:hAnsi="Times New Roman"/>
        <w:sz w:val="18"/>
        <w:szCs w:val="20"/>
      </w:rPr>
    </w:pPr>
    <w:r>
      <w:rPr>
        <w:rFonts w:hint="eastAsia"/>
        <w:sz w:val="18"/>
      </w:rPr>
      <w:t>溧阳市政府采购中心</w:t>
    </w:r>
    <w:r>
      <w:rPr>
        <w:rFonts w:hint="eastAsia" w:ascii="Times New Roman" w:hAnsi="Times New Roman"/>
        <w:sz w:val="18"/>
        <w:szCs w:val="20"/>
      </w:rPr>
      <w:tab/>
    </w:r>
    <w:r>
      <w:rPr>
        <w:rFonts w:hint="eastAsia" w:ascii="Times New Roman" w:hAnsi="Times New Roman"/>
        <w:sz w:val="18"/>
        <w:szCs w:val="20"/>
      </w:rPr>
      <w:tab/>
    </w:r>
    <w:r>
      <w:rPr>
        <w:rFonts w:hint="eastAsia" w:ascii="Times New Roman" w:hAnsi="Times New Roman"/>
        <w:sz w:val="18"/>
        <w:szCs w:val="20"/>
      </w:rPr>
      <w:t xml:space="preserve">                                                                  征集文件-框架协议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78D8">
    <w:pPr>
      <w:pBdr>
        <w:top w:val="none" w:color="000000" w:sz="0" w:space="1"/>
        <w:left w:val="none" w:color="000000" w:sz="0" w:space="4"/>
        <w:bottom w:val="single" w:color="000000" w:sz="4" w:space="1"/>
        <w:right w:val="none" w:color="000000" w:sz="0" w:space="4"/>
      </w:pBdr>
      <w:rPr>
        <w:rFonts w:ascii="Times New Roman" w:hAnsi="Times New Roman"/>
        <w:sz w:val="18"/>
        <w:szCs w:val="20"/>
      </w:rPr>
    </w:pPr>
  </w:p>
  <w:p w14:paraId="382E3CA4">
    <w:pPr>
      <w:pBdr>
        <w:top w:val="none" w:color="000000" w:sz="0" w:space="1"/>
        <w:left w:val="none" w:color="000000" w:sz="0" w:space="4"/>
        <w:bottom w:val="single" w:color="000000" w:sz="4" w:space="1"/>
        <w:right w:val="none" w:color="000000" w:sz="0" w:space="4"/>
      </w:pBdr>
      <w:rPr>
        <w:rFonts w:ascii="Times New Roman" w:hAnsi="Times New Roman"/>
        <w:sz w:val="18"/>
        <w:szCs w:val="20"/>
      </w:rPr>
    </w:pPr>
  </w:p>
  <w:p w14:paraId="0FB936FB">
    <w:pPr>
      <w:pBdr>
        <w:top w:val="none" w:color="000000" w:sz="0" w:space="1"/>
        <w:left w:val="none" w:color="000000" w:sz="0" w:space="4"/>
        <w:bottom w:val="single" w:color="000000" w:sz="4" w:space="1"/>
        <w:right w:val="none" w:color="000000" w:sz="0" w:space="4"/>
      </w:pBdr>
      <w:rPr>
        <w:rFonts w:ascii="Times New Roman" w:hAnsi="Times New Roman"/>
        <w:sz w:val="18"/>
        <w:szCs w:val="20"/>
      </w:rPr>
    </w:pPr>
    <w:r>
      <w:rPr>
        <w:rFonts w:hint="eastAsia"/>
        <w:sz w:val="18"/>
      </w:rPr>
      <w:t>溧阳市政府采购中心</w:t>
    </w:r>
    <w:r>
      <w:rPr>
        <w:rFonts w:hint="eastAsia" w:ascii="Times New Roman" w:hAnsi="Times New Roman"/>
        <w:sz w:val="18"/>
        <w:szCs w:val="20"/>
      </w:rPr>
      <w:tab/>
    </w:r>
    <w:r>
      <w:rPr>
        <w:rFonts w:hint="eastAsia" w:ascii="Times New Roman" w:hAnsi="Times New Roman"/>
        <w:sz w:val="18"/>
        <w:szCs w:val="20"/>
      </w:rPr>
      <w:tab/>
    </w:r>
    <w:r>
      <w:rPr>
        <w:rFonts w:hint="eastAsia" w:ascii="Times New Roman" w:hAnsi="Times New Roman"/>
        <w:sz w:val="18"/>
        <w:szCs w:val="20"/>
      </w:rPr>
      <w:t xml:space="preserve">                                                                   征集文件-框架协议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1374">
    <w:pPr>
      <w:pBdr>
        <w:top w:val="none" w:color="000000" w:sz="0" w:space="1"/>
        <w:left w:val="none" w:color="000000" w:sz="0" w:space="4"/>
        <w:bottom w:val="single" w:color="000000" w:sz="4" w:space="1"/>
        <w:right w:val="none" w:color="000000" w:sz="0" w:space="4"/>
      </w:pBdr>
      <w:rPr>
        <w:rFonts w:ascii="Times New Roman" w:hAnsi="Times New Roman"/>
        <w:sz w:val="18"/>
        <w:szCs w:val="20"/>
      </w:rPr>
    </w:pPr>
  </w:p>
  <w:p w14:paraId="46AD5111">
    <w:pPr>
      <w:pBdr>
        <w:top w:val="none" w:color="000000" w:sz="0" w:space="1"/>
        <w:left w:val="none" w:color="000000" w:sz="0" w:space="4"/>
        <w:bottom w:val="single" w:color="000000" w:sz="4" w:space="1"/>
        <w:right w:val="none" w:color="000000" w:sz="0" w:space="4"/>
      </w:pBdr>
      <w:rPr>
        <w:rFonts w:ascii="Times New Roman" w:hAnsi="Times New Roman"/>
        <w:sz w:val="18"/>
        <w:szCs w:val="20"/>
      </w:rPr>
    </w:pPr>
  </w:p>
  <w:p w14:paraId="6632BCE1">
    <w:pPr>
      <w:pBdr>
        <w:top w:val="none" w:color="000000" w:sz="0" w:space="1"/>
        <w:left w:val="none" w:color="000000" w:sz="0" w:space="4"/>
        <w:bottom w:val="single" w:color="000000" w:sz="4" w:space="1"/>
        <w:right w:val="none" w:color="000000" w:sz="0" w:space="4"/>
      </w:pBdr>
      <w:rPr>
        <w:rFonts w:ascii="Times New Roman" w:hAnsi="Times New Roman"/>
        <w:sz w:val="18"/>
        <w:szCs w:val="20"/>
      </w:rPr>
    </w:pPr>
    <w:r>
      <w:rPr>
        <w:rFonts w:hint="eastAsia"/>
        <w:sz w:val="18"/>
      </w:rPr>
      <w:t>溧阳市政府采购中心</w:t>
    </w:r>
    <w:r>
      <w:rPr>
        <w:rFonts w:hint="eastAsia" w:ascii="Times New Roman" w:hAnsi="Times New Roman"/>
        <w:sz w:val="18"/>
        <w:szCs w:val="20"/>
      </w:rPr>
      <w:tab/>
    </w:r>
    <w:r>
      <w:rPr>
        <w:rFonts w:hint="eastAsia" w:ascii="Times New Roman" w:hAnsi="Times New Roman"/>
        <w:sz w:val="18"/>
        <w:szCs w:val="20"/>
      </w:rPr>
      <w:tab/>
    </w:r>
    <w:r>
      <w:rPr>
        <w:rFonts w:hint="eastAsia" w:ascii="Times New Roman" w:hAnsi="Times New Roman"/>
        <w:sz w:val="18"/>
        <w:szCs w:val="20"/>
      </w:rPr>
      <w:t xml:space="preserve">                                                                   征集文件-框架协议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0E256">
    <w:pPr>
      <w:pStyle w:val="28"/>
    </w:pPr>
  </w:p>
  <w:p w14:paraId="52723E05">
    <w:pPr>
      <w:pStyle w:val="28"/>
    </w:pPr>
  </w:p>
  <w:p w14:paraId="327A44FC">
    <w:pPr>
      <w:pStyle w:val="28"/>
      <w:pBdr>
        <w:bottom w:val="single" w:color="000000" w:sz="4" w:space="1"/>
      </w:pBdr>
    </w:pPr>
    <w:r>
      <w:rPr>
        <w:rFonts w:hint="eastAsia"/>
      </w:rPr>
      <w:t>溧阳市政府采购中心</w:t>
    </w:r>
    <w:r>
      <w:rPr>
        <w:rFonts w:hint="eastAsia"/>
      </w:rPr>
      <w:tab/>
    </w:r>
    <w:r>
      <w:rPr>
        <w:rFonts w:hint="eastAsia"/>
      </w:rPr>
      <w:tab/>
    </w:r>
    <w:r>
      <w:rPr>
        <w:rFonts w:hint="eastAsia"/>
      </w:rPr>
      <w:t xml:space="preserve">                                            征集文件-框架协议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1D8E">
    <w:pPr>
      <w:pStyle w:val="28"/>
    </w:pPr>
  </w:p>
  <w:p w14:paraId="0D062456">
    <w:pPr>
      <w:pStyle w:val="28"/>
    </w:pPr>
  </w:p>
  <w:p w14:paraId="5584D232">
    <w:pPr>
      <w:pStyle w:val="28"/>
      <w:pBdr>
        <w:bottom w:val="single" w:color="000000" w:sz="4" w:space="1"/>
      </w:pBdr>
    </w:pPr>
    <w:r>
      <w:rPr>
        <w:rFonts w:hint="eastAsia"/>
      </w:rPr>
      <w:t>溧阳市政府采购中心</w:t>
    </w:r>
    <w:r>
      <w:rPr>
        <w:rFonts w:hint="eastAsia"/>
      </w:rPr>
      <w:tab/>
    </w:r>
    <w:r>
      <w:rPr>
        <w:rFonts w:hint="eastAsia"/>
      </w:rPr>
      <w:tab/>
    </w:r>
    <w:r>
      <w:rPr>
        <w:rFonts w:hint="eastAsia"/>
      </w:rPr>
      <w:t xml:space="preserve">                                            征集文件-框架协议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japaneseCounting"/>
      <w:lvlText w:val="%1、"/>
      <w:lvlJc w:val="left"/>
      <w:pPr>
        <w:ind w:left="780" w:hanging="42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BF205925"/>
    <w:multiLevelType w:val="multilevel"/>
    <w:tmpl w:val="BF20592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ED469B52"/>
    <w:multiLevelType w:val="singleLevel"/>
    <w:tmpl w:val="ED469B52"/>
    <w:lvl w:ilvl="0" w:tentative="0">
      <w:start w:val="1"/>
      <w:numFmt w:val="decimal"/>
      <w:suff w:val="nothing"/>
      <w:lvlText w:val="（%1）"/>
      <w:lvlJc w:val="left"/>
    </w:lvl>
  </w:abstractNum>
  <w:abstractNum w:abstractNumId="3">
    <w:nsid w:val="0053208E"/>
    <w:multiLevelType w:val="multilevel"/>
    <w:tmpl w:val="0053208E"/>
    <w:lvl w:ilvl="0" w:tentative="0">
      <w:start w:val="1"/>
      <w:numFmt w:val="decimal"/>
      <w:pStyle w:val="33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3D62ECE"/>
    <w:multiLevelType w:val="multilevel"/>
    <w:tmpl w:val="03D62ECE"/>
    <w:lvl w:ilvl="0" w:tentative="0">
      <w:start w:val="1"/>
      <w:numFmt w:val="decimal"/>
      <w:lvlText w:val="%1．"/>
      <w:lvlJc w:val="left"/>
      <w:pPr>
        <w:ind w:left="599" w:hanging="360"/>
      </w:pPr>
      <w:rPr>
        <w:rFonts w:hint="default"/>
      </w:rPr>
    </w:lvl>
    <w:lvl w:ilvl="1" w:tentative="0">
      <w:start w:val="1"/>
      <w:numFmt w:val="lowerLetter"/>
      <w:lvlText w:val="%2."/>
      <w:lvlJc w:val="left"/>
      <w:pPr>
        <w:ind w:left="1319" w:hanging="360"/>
      </w:pPr>
    </w:lvl>
    <w:lvl w:ilvl="2" w:tentative="0">
      <w:start w:val="1"/>
      <w:numFmt w:val="lowerRoman"/>
      <w:lvlText w:val="%3."/>
      <w:lvlJc w:val="right"/>
      <w:pPr>
        <w:ind w:left="2039" w:hanging="180"/>
      </w:pPr>
    </w:lvl>
    <w:lvl w:ilvl="3" w:tentative="0">
      <w:start w:val="1"/>
      <w:numFmt w:val="decimal"/>
      <w:lvlText w:val="%4."/>
      <w:lvlJc w:val="left"/>
      <w:pPr>
        <w:ind w:left="2759" w:hanging="360"/>
      </w:pPr>
    </w:lvl>
    <w:lvl w:ilvl="4" w:tentative="0">
      <w:start w:val="1"/>
      <w:numFmt w:val="lowerLetter"/>
      <w:lvlText w:val="%5."/>
      <w:lvlJc w:val="left"/>
      <w:pPr>
        <w:ind w:left="3479" w:hanging="360"/>
      </w:pPr>
    </w:lvl>
    <w:lvl w:ilvl="5" w:tentative="0">
      <w:start w:val="1"/>
      <w:numFmt w:val="lowerRoman"/>
      <w:lvlText w:val="%6."/>
      <w:lvlJc w:val="right"/>
      <w:pPr>
        <w:ind w:left="4199" w:hanging="180"/>
      </w:pPr>
    </w:lvl>
    <w:lvl w:ilvl="6" w:tentative="0">
      <w:start w:val="1"/>
      <w:numFmt w:val="decimal"/>
      <w:lvlText w:val="%7."/>
      <w:lvlJc w:val="left"/>
      <w:pPr>
        <w:ind w:left="4919" w:hanging="360"/>
      </w:pPr>
    </w:lvl>
    <w:lvl w:ilvl="7" w:tentative="0">
      <w:start w:val="1"/>
      <w:numFmt w:val="lowerLetter"/>
      <w:lvlText w:val="%8."/>
      <w:lvlJc w:val="left"/>
      <w:pPr>
        <w:ind w:left="5639" w:hanging="360"/>
      </w:pPr>
    </w:lvl>
    <w:lvl w:ilvl="8" w:tentative="0">
      <w:start w:val="1"/>
      <w:numFmt w:val="lowerRoman"/>
      <w:lvlText w:val="%9."/>
      <w:lvlJc w:val="right"/>
      <w:pPr>
        <w:ind w:left="6359" w:hanging="180"/>
      </w:pPr>
    </w:lvl>
  </w:abstractNum>
  <w:abstractNum w:abstractNumId="5">
    <w:nsid w:val="25B654F3"/>
    <w:multiLevelType w:val="multilevel"/>
    <w:tmpl w:val="25B654F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59ADCABA"/>
    <w:multiLevelType w:val="multilevel"/>
    <w:tmpl w:val="59ADCAB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75FA"/>
    <w:rsid w:val="01F1594A"/>
    <w:rsid w:val="03A70453"/>
    <w:rsid w:val="03E17840"/>
    <w:rsid w:val="046B5540"/>
    <w:rsid w:val="063A492F"/>
    <w:rsid w:val="06B156A8"/>
    <w:rsid w:val="06C21663"/>
    <w:rsid w:val="07791560"/>
    <w:rsid w:val="07D72EEC"/>
    <w:rsid w:val="098D5F59"/>
    <w:rsid w:val="0AEC4F01"/>
    <w:rsid w:val="0D3D37F2"/>
    <w:rsid w:val="0E5E4367"/>
    <w:rsid w:val="0ED71A24"/>
    <w:rsid w:val="0F0441AD"/>
    <w:rsid w:val="0F9F7483"/>
    <w:rsid w:val="101A606C"/>
    <w:rsid w:val="103A7125"/>
    <w:rsid w:val="10EC68B7"/>
    <w:rsid w:val="11531836"/>
    <w:rsid w:val="12413D84"/>
    <w:rsid w:val="12892D04"/>
    <w:rsid w:val="13F84916"/>
    <w:rsid w:val="14587163"/>
    <w:rsid w:val="15063063"/>
    <w:rsid w:val="15C251DC"/>
    <w:rsid w:val="19151AC7"/>
    <w:rsid w:val="1B3D7186"/>
    <w:rsid w:val="1C4325CC"/>
    <w:rsid w:val="1CD001DE"/>
    <w:rsid w:val="1D4F1961"/>
    <w:rsid w:val="1DB07D27"/>
    <w:rsid w:val="208745CC"/>
    <w:rsid w:val="21584C46"/>
    <w:rsid w:val="2197576F"/>
    <w:rsid w:val="22462CF1"/>
    <w:rsid w:val="22EA7B20"/>
    <w:rsid w:val="247955FF"/>
    <w:rsid w:val="249441E7"/>
    <w:rsid w:val="24F95938"/>
    <w:rsid w:val="2519649B"/>
    <w:rsid w:val="278D3ED3"/>
    <w:rsid w:val="28B95E36"/>
    <w:rsid w:val="28BB6E33"/>
    <w:rsid w:val="28D948BF"/>
    <w:rsid w:val="29183639"/>
    <w:rsid w:val="296248B4"/>
    <w:rsid w:val="2A73489F"/>
    <w:rsid w:val="2B4D5CAD"/>
    <w:rsid w:val="2BF474B4"/>
    <w:rsid w:val="2C504E98"/>
    <w:rsid w:val="2C520C10"/>
    <w:rsid w:val="2E3B3926"/>
    <w:rsid w:val="2E677CA5"/>
    <w:rsid w:val="2EAA1167"/>
    <w:rsid w:val="303C0100"/>
    <w:rsid w:val="315C7E3B"/>
    <w:rsid w:val="31DC3098"/>
    <w:rsid w:val="3231578F"/>
    <w:rsid w:val="356E2833"/>
    <w:rsid w:val="35C44C2D"/>
    <w:rsid w:val="367774C5"/>
    <w:rsid w:val="36C46BAE"/>
    <w:rsid w:val="36C801F0"/>
    <w:rsid w:val="378B147A"/>
    <w:rsid w:val="38797524"/>
    <w:rsid w:val="3AB42A96"/>
    <w:rsid w:val="3B005CDB"/>
    <w:rsid w:val="3D7725CE"/>
    <w:rsid w:val="3F283A52"/>
    <w:rsid w:val="3FEB6F5A"/>
    <w:rsid w:val="3FF12096"/>
    <w:rsid w:val="40190A28"/>
    <w:rsid w:val="40CD665F"/>
    <w:rsid w:val="41B42358"/>
    <w:rsid w:val="421C4450"/>
    <w:rsid w:val="42ED2FE9"/>
    <w:rsid w:val="43106CD1"/>
    <w:rsid w:val="445A645C"/>
    <w:rsid w:val="44920E8F"/>
    <w:rsid w:val="45352A25"/>
    <w:rsid w:val="453829FB"/>
    <w:rsid w:val="45A20737"/>
    <w:rsid w:val="45C855E0"/>
    <w:rsid w:val="46115240"/>
    <w:rsid w:val="461940F5"/>
    <w:rsid w:val="463D7DE3"/>
    <w:rsid w:val="464C69A7"/>
    <w:rsid w:val="468772B0"/>
    <w:rsid w:val="473A07C7"/>
    <w:rsid w:val="47E80223"/>
    <w:rsid w:val="48194C26"/>
    <w:rsid w:val="49891591"/>
    <w:rsid w:val="49F74838"/>
    <w:rsid w:val="4A0C187D"/>
    <w:rsid w:val="4ABA08D2"/>
    <w:rsid w:val="4AC26CEB"/>
    <w:rsid w:val="4CCD30EB"/>
    <w:rsid w:val="4D984E36"/>
    <w:rsid w:val="4ED36436"/>
    <w:rsid w:val="4FA17635"/>
    <w:rsid w:val="4FAC7D88"/>
    <w:rsid w:val="51226553"/>
    <w:rsid w:val="5167040A"/>
    <w:rsid w:val="52EF46BE"/>
    <w:rsid w:val="53C9715A"/>
    <w:rsid w:val="55BE25C3"/>
    <w:rsid w:val="576138E0"/>
    <w:rsid w:val="59674AFC"/>
    <w:rsid w:val="5A47702B"/>
    <w:rsid w:val="5AB3021C"/>
    <w:rsid w:val="5B022F52"/>
    <w:rsid w:val="5B155DE7"/>
    <w:rsid w:val="5B2335F4"/>
    <w:rsid w:val="5D8A795A"/>
    <w:rsid w:val="5D982BFD"/>
    <w:rsid w:val="5E2F1F21"/>
    <w:rsid w:val="5E316028"/>
    <w:rsid w:val="5F526256"/>
    <w:rsid w:val="5FA65249"/>
    <w:rsid w:val="5FCE4357"/>
    <w:rsid w:val="5FD37367"/>
    <w:rsid w:val="60673F83"/>
    <w:rsid w:val="60B575F5"/>
    <w:rsid w:val="60EA6962"/>
    <w:rsid w:val="61862512"/>
    <w:rsid w:val="61FA38A4"/>
    <w:rsid w:val="62000F0A"/>
    <w:rsid w:val="62807CCE"/>
    <w:rsid w:val="64504D2E"/>
    <w:rsid w:val="65366619"/>
    <w:rsid w:val="660E4375"/>
    <w:rsid w:val="66B21CD0"/>
    <w:rsid w:val="673426E5"/>
    <w:rsid w:val="67EE31DB"/>
    <w:rsid w:val="68A35D74"/>
    <w:rsid w:val="696B4D95"/>
    <w:rsid w:val="6A6D6639"/>
    <w:rsid w:val="6AAB7162"/>
    <w:rsid w:val="6BBD714D"/>
    <w:rsid w:val="6BE70AE8"/>
    <w:rsid w:val="6C984FF0"/>
    <w:rsid w:val="6CFA7CA3"/>
    <w:rsid w:val="6D753421"/>
    <w:rsid w:val="6DA73C10"/>
    <w:rsid w:val="6EB34837"/>
    <w:rsid w:val="6F0137F4"/>
    <w:rsid w:val="6F1C77E1"/>
    <w:rsid w:val="7036127C"/>
    <w:rsid w:val="70BD199D"/>
    <w:rsid w:val="70C0317D"/>
    <w:rsid w:val="7187244B"/>
    <w:rsid w:val="72364740"/>
    <w:rsid w:val="724A6027"/>
    <w:rsid w:val="728E35F1"/>
    <w:rsid w:val="72E35118"/>
    <w:rsid w:val="73C60B68"/>
    <w:rsid w:val="73FE6554"/>
    <w:rsid w:val="74DA48CB"/>
    <w:rsid w:val="76650B0D"/>
    <w:rsid w:val="77780061"/>
    <w:rsid w:val="79332CB1"/>
    <w:rsid w:val="798E2CBF"/>
    <w:rsid w:val="7AF91823"/>
    <w:rsid w:val="7C8810B1"/>
    <w:rsid w:val="7D344D95"/>
    <w:rsid w:val="7EF003A3"/>
    <w:rsid w:val="7F1B7EAB"/>
    <w:rsid w:val="7F25708B"/>
    <w:rsid w:val="7FFB7DEC"/>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4"/>
    </w:rPr>
  </w:style>
  <w:style w:type="paragraph" w:styleId="3">
    <w:name w:val="heading 1"/>
    <w:basedOn w:val="1"/>
    <w:next w:val="1"/>
    <w:link w:val="314"/>
    <w:qFormat/>
    <w:uiPriority w:val="9"/>
    <w:pPr>
      <w:keepNext/>
      <w:tabs>
        <w:tab w:val="left" w:pos="200"/>
      </w:tabs>
      <w:jc w:val="center"/>
      <w:outlineLvl w:val="0"/>
    </w:pPr>
    <w:rPr>
      <w:rFonts w:ascii="宋体" w:hAnsi="宋体"/>
      <w:b/>
      <w:sz w:val="36"/>
      <w:szCs w:val="20"/>
    </w:rPr>
  </w:style>
  <w:style w:type="paragraph" w:styleId="4">
    <w:name w:val="heading 2"/>
    <w:basedOn w:val="1"/>
    <w:next w:val="5"/>
    <w:link w:val="168"/>
    <w:qFormat/>
    <w:uiPriority w:val="9"/>
    <w:pPr>
      <w:keepNext/>
      <w:jc w:val="center"/>
      <w:outlineLvl w:val="1"/>
    </w:pPr>
    <w:rPr>
      <w:rFonts w:ascii="Times New Roman" w:hAnsi="Times New Roman" w:eastAsia="楷体_GB2312"/>
      <w:b/>
      <w:bCs/>
      <w:sz w:val="28"/>
      <w:szCs w:val="28"/>
    </w:rPr>
  </w:style>
  <w:style w:type="paragraph" w:styleId="2">
    <w:name w:val="heading 3"/>
    <w:basedOn w:val="1"/>
    <w:next w:val="1"/>
    <w:link w:val="169"/>
    <w:qFormat/>
    <w:uiPriority w:val="0"/>
    <w:pPr>
      <w:keepNext/>
      <w:keepLines/>
      <w:spacing w:before="260" w:after="260" w:line="416" w:lineRule="auto"/>
      <w:outlineLvl w:val="2"/>
    </w:pPr>
    <w:rPr>
      <w:rFonts w:ascii="Times New Roman" w:hAnsi="Times New Roman"/>
      <w:b/>
      <w:bCs/>
      <w:sz w:val="32"/>
      <w:szCs w:val="32"/>
      <w:lang w:val="zh-CN"/>
    </w:rPr>
  </w:style>
  <w:style w:type="paragraph" w:styleId="6">
    <w:name w:val="heading 4"/>
    <w:basedOn w:val="1"/>
    <w:next w:val="1"/>
    <w:link w:val="170"/>
    <w:qFormat/>
    <w:uiPriority w:val="9"/>
    <w:pPr>
      <w:keepNext/>
      <w:keepLines/>
      <w:spacing w:before="280" w:after="290" w:line="376" w:lineRule="auto"/>
      <w:outlineLvl w:val="3"/>
    </w:pPr>
    <w:rPr>
      <w:rFonts w:ascii="Cambria" w:hAnsi="Cambria"/>
      <w:b/>
      <w:bCs/>
      <w:sz w:val="28"/>
      <w:szCs w:val="28"/>
      <w:lang w:val="zh-CN"/>
    </w:rPr>
  </w:style>
  <w:style w:type="paragraph" w:styleId="7">
    <w:name w:val="heading 5"/>
    <w:basedOn w:val="1"/>
    <w:next w:val="1"/>
    <w:link w:val="171"/>
    <w:unhideWhenUsed/>
    <w:qFormat/>
    <w:uiPriority w:val="9"/>
    <w:pPr>
      <w:keepNext/>
      <w:keepLines/>
      <w:spacing w:before="320" w:after="200"/>
      <w:outlineLvl w:val="4"/>
    </w:pPr>
    <w:rPr>
      <w:rFonts w:ascii="Arial" w:hAnsi="Arial" w:eastAsia="Arial" w:cs="Arial"/>
      <w:b/>
      <w:bCs/>
      <w:sz w:val="24"/>
    </w:rPr>
  </w:style>
  <w:style w:type="paragraph" w:styleId="8">
    <w:name w:val="heading 6"/>
    <w:basedOn w:val="1"/>
    <w:next w:val="1"/>
    <w:link w:val="172"/>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173"/>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174"/>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175"/>
    <w:unhideWhenUsed/>
    <w:qFormat/>
    <w:uiPriority w:val="9"/>
    <w:pPr>
      <w:keepNext/>
      <w:keepLines/>
      <w:spacing w:before="320" w:after="200"/>
      <w:outlineLvl w:val="8"/>
    </w:pPr>
    <w:rPr>
      <w:rFonts w:ascii="Arial" w:hAnsi="Arial" w:eastAsia="Arial" w:cs="Arial"/>
      <w:i/>
      <w:iCs/>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 w:val="24"/>
      <w:szCs w:val="20"/>
    </w:rPr>
  </w:style>
  <w:style w:type="paragraph" w:styleId="12">
    <w:name w:val="toc 7"/>
    <w:basedOn w:val="1"/>
    <w:next w:val="1"/>
    <w:unhideWhenUsed/>
    <w:qFormat/>
    <w:uiPriority w:val="39"/>
    <w:pPr>
      <w:spacing w:after="57"/>
      <w:ind w:left="1701"/>
    </w:pPr>
  </w:style>
  <w:style w:type="paragraph" w:styleId="13">
    <w:name w:val="table of authorities"/>
    <w:basedOn w:val="1"/>
    <w:next w:val="1"/>
    <w:qFormat/>
    <w:uiPriority w:val="99"/>
    <w:pPr>
      <w:ind w:left="420"/>
    </w:pPr>
    <w:rPr>
      <w:szCs w:val="20"/>
    </w:rPr>
  </w:style>
  <w:style w:type="paragraph" w:styleId="14">
    <w:name w:val="caption"/>
    <w:basedOn w:val="1"/>
    <w:next w:val="1"/>
    <w:semiHidden/>
    <w:unhideWhenUsed/>
    <w:qFormat/>
    <w:uiPriority w:val="35"/>
    <w:pPr>
      <w:spacing w:line="276" w:lineRule="auto"/>
    </w:pPr>
    <w:rPr>
      <w:b/>
      <w:bCs/>
      <w:color w:val="4F81BD"/>
      <w:sz w:val="18"/>
      <w:szCs w:val="18"/>
    </w:rPr>
  </w:style>
  <w:style w:type="paragraph" w:styleId="15">
    <w:name w:val="annotation text"/>
    <w:basedOn w:val="1"/>
    <w:qFormat/>
    <w:uiPriority w:val="99"/>
    <w:pPr>
      <w:widowControl/>
      <w:tabs>
        <w:tab w:val="left" w:pos="1134"/>
      </w:tabs>
      <w:spacing w:line="280" w:lineRule="atLeast"/>
      <w:jc w:val="left"/>
    </w:pPr>
    <w:rPr>
      <w:rFonts w:eastAsia="PMingLiU"/>
      <w:sz w:val="24"/>
      <w:szCs w:val="20"/>
      <w:lang w:eastAsia="zh-TW"/>
    </w:rPr>
  </w:style>
  <w:style w:type="paragraph" w:styleId="16">
    <w:name w:val="Body Text"/>
    <w:basedOn w:val="1"/>
    <w:next w:val="1"/>
    <w:qFormat/>
    <w:uiPriority w:val="0"/>
    <w:rPr>
      <w:rFonts w:ascii="楷体_GB2312" w:hAnsi="Arial" w:eastAsia="楷体_GB2312"/>
      <w:sz w:val="28"/>
      <w:szCs w:val="20"/>
    </w:rPr>
  </w:style>
  <w:style w:type="paragraph" w:styleId="17">
    <w:name w:val="Body Text Indent"/>
    <w:basedOn w:val="1"/>
    <w:next w:val="1"/>
    <w:qFormat/>
    <w:uiPriority w:val="99"/>
    <w:pPr>
      <w:spacing w:line="700" w:lineRule="exact"/>
      <w:ind w:left="960"/>
    </w:pPr>
    <w:rPr>
      <w:sz w:val="44"/>
    </w:rPr>
  </w:style>
  <w:style w:type="paragraph" w:styleId="18">
    <w:name w:val="Block Text"/>
    <w:basedOn w:val="1"/>
    <w:qFormat/>
    <w:uiPriority w:val="0"/>
    <w:pPr>
      <w:spacing w:after="120"/>
      <w:ind w:left="1440" w:right="1440"/>
    </w:p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Plain Text"/>
    <w:basedOn w:val="1"/>
    <w:next w:val="5"/>
    <w:link w:val="347"/>
    <w:qFormat/>
    <w:uiPriority w:val="99"/>
    <w:rPr>
      <w:rFonts w:ascii="宋体" w:hAnsi="Courier New"/>
      <w:sz w:val="20"/>
      <w:szCs w:val="20"/>
    </w:rPr>
  </w:style>
  <w:style w:type="paragraph" w:styleId="22">
    <w:name w:val="toc 8"/>
    <w:basedOn w:val="1"/>
    <w:next w:val="1"/>
    <w:unhideWhenUsed/>
    <w:qFormat/>
    <w:uiPriority w:val="39"/>
    <w:pPr>
      <w:spacing w:after="57"/>
      <w:ind w:left="1984"/>
    </w:pPr>
  </w:style>
  <w:style w:type="paragraph" w:styleId="23">
    <w:name w:val="Date"/>
    <w:basedOn w:val="1"/>
    <w:next w:val="1"/>
    <w:qFormat/>
    <w:uiPriority w:val="0"/>
    <w:rPr>
      <w:rFonts w:ascii="Times New Roman" w:hAnsi="Times New Roman"/>
      <w:szCs w:val="20"/>
    </w:rPr>
  </w:style>
  <w:style w:type="paragraph" w:styleId="24">
    <w:name w:val="Body Text Indent 2"/>
    <w:basedOn w:val="1"/>
    <w:qFormat/>
    <w:uiPriority w:val="0"/>
    <w:pPr>
      <w:spacing w:line="360" w:lineRule="exact"/>
      <w:ind w:firstLine="480"/>
    </w:pPr>
    <w:rPr>
      <w:rFonts w:ascii="宋体" w:hAnsi="宋体" w:cs="宋体"/>
      <w:sz w:val="24"/>
    </w:rPr>
  </w:style>
  <w:style w:type="paragraph" w:styleId="25">
    <w:name w:val="endnote text"/>
    <w:basedOn w:val="1"/>
    <w:link w:val="312"/>
    <w:semiHidden/>
    <w:unhideWhenUsed/>
    <w:qFormat/>
    <w:uiPriority w:val="99"/>
    <w:rPr>
      <w:sz w:val="20"/>
    </w:rPr>
  </w:style>
  <w:style w:type="paragraph" w:styleId="26">
    <w:name w:val="footer"/>
    <w:basedOn w:val="1"/>
    <w:link w:val="185"/>
    <w:qFormat/>
    <w:uiPriority w:val="0"/>
    <w:pPr>
      <w:tabs>
        <w:tab w:val="center" w:pos="4153"/>
        <w:tab w:val="right" w:pos="8306"/>
      </w:tabs>
      <w:jc w:val="left"/>
    </w:pPr>
    <w:rPr>
      <w:rFonts w:ascii="Times New Roman" w:hAnsi="Times New Roman"/>
      <w:sz w:val="18"/>
      <w:szCs w:val="20"/>
    </w:rPr>
  </w:style>
  <w:style w:type="paragraph" w:styleId="27">
    <w:name w:val="envelope return"/>
    <w:basedOn w:val="1"/>
    <w:qFormat/>
    <w:uiPriority w:val="0"/>
    <w:pPr>
      <w:widowControl w:val="0"/>
      <w:snapToGrid w:val="0"/>
      <w:jc w:val="both"/>
    </w:pPr>
    <w:rPr>
      <w:rFonts w:ascii="Arial" w:hAnsi="Arial" w:eastAsia="宋体" w:cs="Times New Roman"/>
      <w:kern w:val="2"/>
      <w:sz w:val="21"/>
      <w:szCs w:val="24"/>
      <w:lang w:val="en-US" w:eastAsia="zh-CN" w:bidi="ar-SA"/>
    </w:rPr>
  </w:style>
  <w:style w:type="paragraph" w:styleId="28">
    <w:name w:val="header"/>
    <w:basedOn w:val="1"/>
    <w:link w:val="183"/>
    <w:qFormat/>
    <w:uiPriority w:val="0"/>
    <w:pPr>
      <w:pBdr>
        <w:top w:val="none" w:color="000000" w:sz="0" w:space="1"/>
        <w:left w:val="none" w:color="000000" w:sz="0" w:space="4"/>
        <w:bottom w:val="none" w:color="000000" w:sz="0" w:space="1"/>
        <w:right w:val="none" w:color="000000" w:sz="0" w:space="4"/>
      </w:pBdr>
      <w:tabs>
        <w:tab w:val="center" w:pos="4153"/>
        <w:tab w:val="right" w:pos="8306"/>
      </w:tabs>
    </w:pPr>
    <w:rPr>
      <w:rFonts w:ascii="Times New Roman" w:hAnsi="Times New Roman"/>
      <w:sz w:val="18"/>
      <w:szCs w:val="20"/>
    </w:rPr>
  </w:style>
  <w:style w:type="paragraph" w:styleId="29">
    <w:name w:val="toc 1"/>
    <w:basedOn w:val="1"/>
    <w:next w:val="1"/>
    <w:qFormat/>
    <w:uiPriority w:val="0"/>
    <w:pPr>
      <w:spacing w:line="300" w:lineRule="exact"/>
    </w:pPr>
    <w:rPr>
      <w:rFonts w:ascii="宋体" w:hAnsi="宋体"/>
      <w:szCs w:val="21"/>
    </w:rPr>
  </w:style>
  <w:style w:type="paragraph" w:styleId="30">
    <w:name w:val="toc 4"/>
    <w:basedOn w:val="1"/>
    <w:next w:val="1"/>
    <w:unhideWhenUsed/>
    <w:qFormat/>
    <w:uiPriority w:val="39"/>
    <w:pPr>
      <w:spacing w:after="57"/>
      <w:ind w:left="850"/>
    </w:pPr>
  </w:style>
  <w:style w:type="paragraph" w:styleId="31">
    <w:name w:val="Subtitle"/>
    <w:basedOn w:val="1"/>
    <w:next w:val="1"/>
    <w:link w:val="178"/>
    <w:qFormat/>
    <w:uiPriority w:val="11"/>
    <w:pPr>
      <w:spacing w:before="200" w:after="200"/>
    </w:pPr>
    <w:rPr>
      <w:sz w:val="24"/>
    </w:rPr>
  </w:style>
  <w:style w:type="paragraph" w:styleId="32">
    <w:name w:val="footnote text"/>
    <w:basedOn w:val="1"/>
    <w:link w:val="311"/>
    <w:semiHidden/>
    <w:unhideWhenUsed/>
    <w:qFormat/>
    <w:uiPriority w:val="99"/>
    <w:pPr>
      <w:spacing w:after="40"/>
    </w:pPr>
    <w:rPr>
      <w:sz w:val="18"/>
    </w:rPr>
  </w:style>
  <w:style w:type="paragraph" w:styleId="33">
    <w:name w:val="toc 6"/>
    <w:basedOn w:val="1"/>
    <w:next w:val="1"/>
    <w:unhideWhenUsed/>
    <w:qFormat/>
    <w:uiPriority w:val="39"/>
    <w:pPr>
      <w:spacing w:after="57"/>
      <w:ind w:left="1417"/>
    </w:pPr>
  </w:style>
  <w:style w:type="paragraph" w:styleId="34">
    <w:name w:val="table of figures"/>
    <w:basedOn w:val="1"/>
    <w:next w:val="1"/>
    <w:unhideWhenUsed/>
    <w:qFormat/>
    <w:uiPriority w:val="99"/>
  </w:style>
  <w:style w:type="paragraph" w:styleId="35">
    <w:name w:val="toc 2"/>
    <w:basedOn w:val="1"/>
    <w:next w:val="1"/>
    <w:unhideWhenUsed/>
    <w:qFormat/>
    <w:uiPriority w:val="39"/>
    <w:pPr>
      <w:spacing w:after="57"/>
      <w:ind w:left="283"/>
    </w:pPr>
  </w:style>
  <w:style w:type="paragraph" w:styleId="36">
    <w:name w:val="toc 9"/>
    <w:basedOn w:val="1"/>
    <w:next w:val="1"/>
    <w:unhideWhenUsed/>
    <w:qFormat/>
    <w:uiPriority w:val="39"/>
    <w:pPr>
      <w:spacing w:after="57"/>
      <w:ind w:left="2268"/>
    </w:pPr>
  </w:style>
  <w:style w:type="paragraph" w:styleId="37">
    <w:name w:val="Normal (Web)"/>
    <w:basedOn w:val="1"/>
    <w:unhideWhenUsed/>
    <w:qFormat/>
    <w:uiPriority w:val="99"/>
    <w:pPr>
      <w:widowControl/>
      <w:spacing w:before="100" w:beforeAutospacing="1" w:after="100" w:afterAutospacing="1"/>
      <w:jc w:val="left"/>
    </w:pPr>
    <w:rPr>
      <w:rFonts w:ascii="宋体" w:hAnsi="宋体"/>
      <w:sz w:val="24"/>
    </w:rPr>
  </w:style>
  <w:style w:type="paragraph" w:styleId="38">
    <w:name w:val="Title"/>
    <w:basedOn w:val="1"/>
    <w:next w:val="1"/>
    <w:link w:val="177"/>
    <w:qFormat/>
    <w:uiPriority w:val="99"/>
    <w:pPr>
      <w:spacing w:before="240" w:after="60"/>
      <w:jc w:val="center"/>
      <w:outlineLvl w:val="0"/>
    </w:pPr>
    <w:rPr>
      <w:rFonts w:ascii="Cambria" w:hAnsi="Cambria"/>
      <w:b/>
      <w:bCs/>
      <w:sz w:val="32"/>
      <w:szCs w:val="32"/>
    </w:rPr>
  </w:style>
  <w:style w:type="paragraph" w:styleId="39">
    <w:name w:val="Body Text First Indent 2"/>
    <w:basedOn w:val="17"/>
    <w:next w:val="1"/>
    <w:qFormat/>
    <w:uiPriority w:val="0"/>
    <w:pPr>
      <w:spacing w:after="120" w:line="240" w:lineRule="auto"/>
      <w:ind w:left="420" w:firstLine="420"/>
    </w:pPr>
    <w:rPr>
      <w:sz w:val="21"/>
    </w:rPr>
  </w:style>
  <w:style w:type="table" w:styleId="41">
    <w:name w:val="Table Grid"/>
    <w:basedOn w:val="40"/>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endnote reference"/>
    <w:semiHidden/>
    <w:unhideWhenUsed/>
    <w:qFormat/>
    <w:uiPriority w:val="99"/>
    <w:rPr>
      <w:vertAlign w:val="superscript"/>
    </w:rPr>
  </w:style>
  <w:style w:type="character" w:styleId="44">
    <w:name w:val="page number"/>
    <w:qFormat/>
    <w:uiPriority w:val="0"/>
    <w:rPr>
      <w:rFonts w:ascii="Times New Roman" w:hAnsi="Times New Roman" w:eastAsia="宋体" w:cs="Times New Roman"/>
    </w:rPr>
  </w:style>
  <w:style w:type="character" w:styleId="45">
    <w:name w:val="FollowedHyperlink"/>
    <w:qFormat/>
    <w:uiPriority w:val="0"/>
    <w:rPr>
      <w:color w:val="333333"/>
      <w:u w:val="none"/>
    </w:rPr>
  </w:style>
  <w:style w:type="character" w:styleId="46">
    <w:name w:val="Hyperlink"/>
    <w:unhideWhenUsed/>
    <w:qFormat/>
    <w:uiPriority w:val="99"/>
    <w:rPr>
      <w:color w:val="333333"/>
      <w:u w:val="none"/>
    </w:rPr>
  </w:style>
  <w:style w:type="character" w:styleId="47">
    <w:name w:val="footnote reference"/>
    <w:unhideWhenUsed/>
    <w:qFormat/>
    <w:uiPriority w:val="99"/>
    <w:rPr>
      <w:vertAlign w:val="superscript"/>
    </w:rPr>
  </w:style>
  <w:style w:type="character" w:customStyle="1" w:styleId="48">
    <w:name w:val="Heading 1 Char"/>
    <w:basedOn w:val="42"/>
    <w:qFormat/>
    <w:uiPriority w:val="9"/>
    <w:rPr>
      <w:rFonts w:ascii="Arial" w:hAnsi="Arial" w:eastAsia="Arial" w:cs="Arial"/>
      <w:sz w:val="40"/>
      <w:szCs w:val="40"/>
    </w:rPr>
  </w:style>
  <w:style w:type="character" w:customStyle="1" w:styleId="49">
    <w:name w:val="Heading 2 Char"/>
    <w:basedOn w:val="42"/>
    <w:qFormat/>
    <w:uiPriority w:val="9"/>
    <w:rPr>
      <w:rFonts w:ascii="Arial" w:hAnsi="Arial" w:eastAsia="Arial" w:cs="Arial"/>
      <w:sz w:val="34"/>
    </w:rPr>
  </w:style>
  <w:style w:type="character" w:customStyle="1" w:styleId="50">
    <w:name w:val="Heading 3 Char"/>
    <w:basedOn w:val="42"/>
    <w:qFormat/>
    <w:uiPriority w:val="9"/>
    <w:rPr>
      <w:rFonts w:ascii="Arial" w:hAnsi="Arial" w:eastAsia="Arial" w:cs="Arial"/>
      <w:sz w:val="30"/>
      <w:szCs w:val="30"/>
    </w:rPr>
  </w:style>
  <w:style w:type="character" w:customStyle="1" w:styleId="51">
    <w:name w:val="Heading 4 Char"/>
    <w:basedOn w:val="42"/>
    <w:qFormat/>
    <w:uiPriority w:val="9"/>
    <w:rPr>
      <w:rFonts w:ascii="Arial" w:hAnsi="Arial" w:eastAsia="Arial" w:cs="Arial"/>
      <w:b/>
      <w:bCs/>
      <w:sz w:val="26"/>
      <w:szCs w:val="26"/>
    </w:rPr>
  </w:style>
  <w:style w:type="character" w:customStyle="1" w:styleId="52">
    <w:name w:val="Heading 5 Char"/>
    <w:basedOn w:val="42"/>
    <w:qFormat/>
    <w:uiPriority w:val="9"/>
    <w:rPr>
      <w:rFonts w:ascii="Arial" w:hAnsi="Arial" w:eastAsia="Arial" w:cs="Arial"/>
      <w:b/>
      <w:bCs/>
      <w:sz w:val="24"/>
      <w:szCs w:val="24"/>
    </w:rPr>
  </w:style>
  <w:style w:type="character" w:customStyle="1" w:styleId="53">
    <w:name w:val="Heading 6 Char"/>
    <w:basedOn w:val="42"/>
    <w:qFormat/>
    <w:uiPriority w:val="9"/>
    <w:rPr>
      <w:rFonts w:ascii="Arial" w:hAnsi="Arial" w:eastAsia="Arial" w:cs="Arial"/>
      <w:b/>
      <w:bCs/>
      <w:sz w:val="22"/>
      <w:szCs w:val="22"/>
    </w:rPr>
  </w:style>
  <w:style w:type="character" w:customStyle="1" w:styleId="54">
    <w:name w:val="Heading 7 Char"/>
    <w:basedOn w:val="42"/>
    <w:qFormat/>
    <w:uiPriority w:val="9"/>
    <w:rPr>
      <w:rFonts w:ascii="Arial" w:hAnsi="Arial" w:eastAsia="Arial" w:cs="Arial"/>
      <w:b/>
      <w:bCs/>
      <w:i/>
      <w:iCs/>
      <w:sz w:val="22"/>
      <w:szCs w:val="22"/>
    </w:rPr>
  </w:style>
  <w:style w:type="character" w:customStyle="1" w:styleId="55">
    <w:name w:val="Heading 8 Char"/>
    <w:basedOn w:val="42"/>
    <w:qFormat/>
    <w:uiPriority w:val="9"/>
    <w:rPr>
      <w:rFonts w:ascii="Arial" w:hAnsi="Arial" w:eastAsia="Arial" w:cs="Arial"/>
      <w:i/>
      <w:iCs/>
      <w:sz w:val="22"/>
      <w:szCs w:val="22"/>
    </w:rPr>
  </w:style>
  <w:style w:type="character" w:customStyle="1" w:styleId="56">
    <w:name w:val="Heading 9 Char"/>
    <w:basedOn w:val="42"/>
    <w:qFormat/>
    <w:uiPriority w:val="9"/>
    <w:rPr>
      <w:rFonts w:ascii="Arial" w:hAnsi="Arial" w:eastAsia="Arial" w:cs="Arial"/>
      <w:i/>
      <w:iCs/>
      <w:sz w:val="21"/>
      <w:szCs w:val="21"/>
    </w:rPr>
  </w:style>
  <w:style w:type="character" w:customStyle="1" w:styleId="57">
    <w:name w:val="Title Char"/>
    <w:basedOn w:val="42"/>
    <w:qFormat/>
    <w:uiPriority w:val="10"/>
    <w:rPr>
      <w:sz w:val="48"/>
      <w:szCs w:val="48"/>
    </w:rPr>
  </w:style>
  <w:style w:type="character" w:customStyle="1" w:styleId="58">
    <w:name w:val="Subtitle Char"/>
    <w:basedOn w:val="42"/>
    <w:qFormat/>
    <w:uiPriority w:val="11"/>
    <w:rPr>
      <w:sz w:val="24"/>
      <w:szCs w:val="24"/>
    </w:rPr>
  </w:style>
  <w:style w:type="character" w:customStyle="1" w:styleId="59">
    <w:name w:val="Quote Char"/>
    <w:qFormat/>
    <w:uiPriority w:val="29"/>
    <w:rPr>
      <w:i/>
    </w:rPr>
  </w:style>
  <w:style w:type="character" w:customStyle="1" w:styleId="60">
    <w:name w:val="Intense Quote Char"/>
    <w:qFormat/>
    <w:uiPriority w:val="30"/>
    <w:rPr>
      <w:i/>
    </w:rPr>
  </w:style>
  <w:style w:type="character" w:customStyle="1" w:styleId="61">
    <w:name w:val="Header Char"/>
    <w:basedOn w:val="42"/>
    <w:qFormat/>
    <w:uiPriority w:val="99"/>
  </w:style>
  <w:style w:type="character" w:customStyle="1" w:styleId="62">
    <w:name w:val="Caption Char"/>
    <w:qFormat/>
    <w:uiPriority w:val="99"/>
  </w:style>
  <w:style w:type="table" w:customStyle="1" w:styleId="63">
    <w:name w:val="Table Grid Light"/>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4">
    <w:name w:val="Plain Table 1"/>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5">
    <w:name w:val="Plain Table 2"/>
    <w:basedOn w:val="4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6">
    <w:name w:val="Plain Table 3"/>
    <w:basedOn w:val="40"/>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4"/>
    <w:basedOn w:val="4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5"/>
    <w:basedOn w:val="40"/>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Grid Table 1 Light"/>
    <w:basedOn w:val="4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0">
    <w:name w:val="Grid Table 1 Light - Accent 1"/>
    <w:basedOn w:val="40"/>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1">
    <w:name w:val="Grid Table 1 Light - Accent 2"/>
    <w:basedOn w:val="40"/>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2">
    <w:name w:val="Grid Table 1 Light - Accent 3"/>
    <w:basedOn w:val="40"/>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3">
    <w:name w:val="Grid Table 1 Light - Accent 4"/>
    <w:basedOn w:val="40"/>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4">
    <w:name w:val="Grid Table 1 Light - Accent 5"/>
    <w:basedOn w:val="40"/>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5">
    <w:name w:val="Grid Table 1 Light - Accent 6"/>
    <w:basedOn w:val="40"/>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6">
    <w:name w:val="Grid Table 2"/>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2 - Accent 1"/>
    <w:basedOn w:val="4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2 - Accent 2"/>
    <w:basedOn w:val="4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2 - Accent 3"/>
    <w:basedOn w:val="4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2 - Accent 4"/>
    <w:basedOn w:val="4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2 - Accent 5"/>
    <w:basedOn w:val="4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2 - Accent 6"/>
    <w:basedOn w:val="4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3"/>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3 - Accent 1"/>
    <w:basedOn w:val="4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3 - Accent 2"/>
    <w:basedOn w:val="4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3 - Accent 3"/>
    <w:basedOn w:val="4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3 - Accent 4"/>
    <w:basedOn w:val="4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3 - Accent 5"/>
    <w:basedOn w:val="4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3 - Accent 6"/>
    <w:basedOn w:val="4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4"/>
    <w:basedOn w:val="4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4 - Accent 1"/>
    <w:basedOn w:val="40"/>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2">
    <w:name w:val="Grid Table 4 - Accent 2"/>
    <w:basedOn w:val="40"/>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4 - Accent 3"/>
    <w:basedOn w:val="40"/>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4 - Accent 4"/>
    <w:basedOn w:val="40"/>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4 - Accent 5"/>
    <w:basedOn w:val="40"/>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4 - Accent 6"/>
    <w:basedOn w:val="40"/>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5 Dark"/>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8">
    <w:name w:val="Grid Table 5 Dark - Accent 2"/>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9">
    <w:name w:val="Grid Table 5 Dark - Accent 3"/>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0">
    <w:name w:val="Grid Table 5 Dark - Accent 5"/>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Grid Table 6 Colorful"/>
    <w:basedOn w:val="4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basedOn w:val="40"/>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basedOn w:val="40"/>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basedOn w:val="40"/>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basedOn w:val="4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basedOn w:val="40"/>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6 Colorful - Accent 6"/>
    <w:basedOn w:val="40"/>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9">
    <w:name w:val="Grid Table 7 Colorful"/>
    <w:basedOn w:val="4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basedOn w:val="40"/>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basedOn w:val="40"/>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basedOn w:val="40"/>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basedOn w:val="40"/>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basedOn w:val="40"/>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7 Colorful - Accent 6"/>
    <w:basedOn w:val="40"/>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6">
    <w:name w:val="List Table 1 Light"/>
    <w:basedOn w:val="40"/>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40"/>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basedOn w:val="40"/>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basedOn w:val="40"/>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basedOn w:val="40"/>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basedOn w:val="40"/>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basedOn w:val="40"/>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List Table 2"/>
    <w:basedOn w:val="4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40"/>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basedOn w:val="40"/>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basedOn w:val="40"/>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basedOn w:val="40"/>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basedOn w:val="40"/>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basedOn w:val="40"/>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List Table 3"/>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40"/>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basedOn w:val="40"/>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basedOn w:val="40"/>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basedOn w:val="4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basedOn w:val="40"/>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basedOn w:val="40"/>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List Table 4"/>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40"/>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basedOn w:val="40"/>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basedOn w:val="40"/>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basedOn w:val="40"/>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basedOn w:val="40"/>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basedOn w:val="40"/>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List Table 5 Dark"/>
    <w:basedOn w:val="4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40"/>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basedOn w:val="40"/>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basedOn w:val="40"/>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basedOn w:val="40"/>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basedOn w:val="40"/>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basedOn w:val="40"/>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List Table 6 Colorful"/>
    <w:basedOn w:val="40"/>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basedOn w:val="40"/>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6 Colorful - Accent 2"/>
    <w:basedOn w:val="40"/>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basedOn w:val="40"/>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basedOn w:val="40"/>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basedOn w:val="40"/>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basedOn w:val="40"/>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st Table 7 Colorful"/>
    <w:basedOn w:val="40"/>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basedOn w:val="40"/>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7 Colorful - Accent 2"/>
    <w:basedOn w:val="40"/>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basedOn w:val="40"/>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basedOn w:val="40"/>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basedOn w:val="40"/>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basedOn w:val="40"/>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character" w:customStyle="1" w:styleId="165">
    <w:name w:val="Footnote Text Char"/>
    <w:qFormat/>
    <w:uiPriority w:val="99"/>
    <w:rPr>
      <w:sz w:val="18"/>
    </w:rPr>
  </w:style>
  <w:style w:type="character" w:customStyle="1" w:styleId="166">
    <w:name w:val="Endnote Text Char"/>
    <w:qFormat/>
    <w:uiPriority w:val="99"/>
    <w:rPr>
      <w:sz w:val="20"/>
    </w:rPr>
  </w:style>
  <w:style w:type="paragraph" w:customStyle="1" w:styleId="167">
    <w:name w:val="TOC Heading"/>
    <w:unhideWhenUsed/>
    <w:qFormat/>
    <w:uiPriority w:val="39"/>
    <w:rPr>
      <w:rFonts w:hint="default" w:ascii="Times New Roman" w:hAnsi="Times New Roman" w:eastAsia="宋体" w:cs="Times New Roman"/>
    </w:rPr>
  </w:style>
  <w:style w:type="character" w:customStyle="1" w:styleId="168">
    <w:name w:val="标题 2 字符"/>
    <w:link w:val="4"/>
    <w:qFormat/>
    <w:uiPriority w:val="9"/>
    <w:rPr>
      <w:rFonts w:ascii="Arial" w:hAnsi="Arial" w:eastAsia="Arial" w:cs="Arial"/>
      <w:sz w:val="34"/>
    </w:rPr>
  </w:style>
  <w:style w:type="character" w:customStyle="1" w:styleId="169">
    <w:name w:val="标题 3 字符"/>
    <w:link w:val="2"/>
    <w:qFormat/>
    <w:uiPriority w:val="0"/>
    <w:rPr>
      <w:rFonts w:ascii="Arial" w:hAnsi="Arial" w:eastAsia="Arial" w:cs="Arial"/>
      <w:sz w:val="30"/>
      <w:szCs w:val="30"/>
    </w:rPr>
  </w:style>
  <w:style w:type="character" w:customStyle="1" w:styleId="170">
    <w:name w:val="标题 4 字符"/>
    <w:link w:val="6"/>
    <w:qFormat/>
    <w:uiPriority w:val="9"/>
    <w:rPr>
      <w:rFonts w:ascii="Arial" w:hAnsi="Arial" w:eastAsia="Arial" w:cs="Arial"/>
      <w:b/>
      <w:bCs/>
      <w:sz w:val="26"/>
      <w:szCs w:val="26"/>
    </w:rPr>
  </w:style>
  <w:style w:type="character" w:customStyle="1" w:styleId="171">
    <w:name w:val="标题 5 字符"/>
    <w:link w:val="7"/>
    <w:qFormat/>
    <w:uiPriority w:val="9"/>
    <w:rPr>
      <w:rFonts w:ascii="Arial" w:hAnsi="Arial" w:eastAsia="Arial" w:cs="Arial"/>
      <w:b/>
      <w:bCs/>
      <w:sz w:val="24"/>
      <w:szCs w:val="24"/>
    </w:rPr>
  </w:style>
  <w:style w:type="character" w:customStyle="1" w:styleId="172">
    <w:name w:val="标题 6 字符"/>
    <w:link w:val="8"/>
    <w:qFormat/>
    <w:uiPriority w:val="9"/>
    <w:rPr>
      <w:rFonts w:ascii="Arial" w:hAnsi="Arial" w:eastAsia="Arial" w:cs="Arial"/>
      <w:b/>
      <w:bCs/>
      <w:sz w:val="22"/>
      <w:szCs w:val="22"/>
    </w:rPr>
  </w:style>
  <w:style w:type="character" w:customStyle="1" w:styleId="173">
    <w:name w:val="标题 7 字符"/>
    <w:link w:val="9"/>
    <w:qFormat/>
    <w:uiPriority w:val="9"/>
    <w:rPr>
      <w:rFonts w:ascii="Arial" w:hAnsi="Arial" w:eastAsia="Arial" w:cs="Arial"/>
      <w:b/>
      <w:bCs/>
      <w:i/>
      <w:iCs/>
      <w:sz w:val="22"/>
      <w:szCs w:val="22"/>
    </w:rPr>
  </w:style>
  <w:style w:type="character" w:customStyle="1" w:styleId="174">
    <w:name w:val="标题 8 字符"/>
    <w:link w:val="10"/>
    <w:qFormat/>
    <w:uiPriority w:val="9"/>
    <w:rPr>
      <w:rFonts w:ascii="Arial" w:hAnsi="Arial" w:eastAsia="Arial" w:cs="Arial"/>
      <w:i/>
      <w:iCs/>
      <w:sz w:val="22"/>
      <w:szCs w:val="22"/>
    </w:rPr>
  </w:style>
  <w:style w:type="character" w:customStyle="1" w:styleId="175">
    <w:name w:val="标题 9 字符"/>
    <w:link w:val="11"/>
    <w:qFormat/>
    <w:uiPriority w:val="9"/>
    <w:rPr>
      <w:rFonts w:ascii="Arial" w:hAnsi="Arial" w:eastAsia="Arial" w:cs="Arial"/>
      <w:i/>
      <w:iCs/>
      <w:sz w:val="21"/>
      <w:szCs w:val="21"/>
    </w:rPr>
  </w:style>
  <w:style w:type="paragraph" w:styleId="176">
    <w:name w:val="No Spacing"/>
    <w:qFormat/>
    <w:uiPriority w:val="1"/>
    <w:rPr>
      <w:rFonts w:hint="default" w:ascii="Times New Roman" w:hAnsi="Times New Roman" w:eastAsia="宋体" w:cs="Times New Roman"/>
    </w:rPr>
  </w:style>
  <w:style w:type="character" w:customStyle="1" w:styleId="177">
    <w:name w:val="标题 字符"/>
    <w:link w:val="38"/>
    <w:qFormat/>
    <w:uiPriority w:val="10"/>
    <w:rPr>
      <w:sz w:val="48"/>
      <w:szCs w:val="48"/>
    </w:rPr>
  </w:style>
  <w:style w:type="character" w:customStyle="1" w:styleId="178">
    <w:name w:val="副标题 字符"/>
    <w:link w:val="31"/>
    <w:qFormat/>
    <w:uiPriority w:val="11"/>
    <w:rPr>
      <w:sz w:val="24"/>
      <w:szCs w:val="24"/>
    </w:rPr>
  </w:style>
  <w:style w:type="paragraph" w:styleId="179">
    <w:name w:val="Quote"/>
    <w:basedOn w:val="1"/>
    <w:next w:val="1"/>
    <w:link w:val="180"/>
    <w:qFormat/>
    <w:uiPriority w:val="29"/>
    <w:pPr>
      <w:ind w:left="720" w:right="720"/>
    </w:pPr>
    <w:rPr>
      <w:i/>
    </w:rPr>
  </w:style>
  <w:style w:type="character" w:customStyle="1" w:styleId="180">
    <w:name w:val="引用 字符"/>
    <w:link w:val="179"/>
    <w:qFormat/>
    <w:uiPriority w:val="29"/>
    <w:rPr>
      <w:i/>
    </w:rPr>
  </w:style>
  <w:style w:type="paragraph" w:styleId="181">
    <w:name w:val="Intense Quote"/>
    <w:basedOn w:val="1"/>
    <w:next w:val="1"/>
    <w:link w:val="18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82">
    <w:name w:val="明显引用 字符"/>
    <w:link w:val="181"/>
    <w:qFormat/>
    <w:uiPriority w:val="30"/>
    <w:rPr>
      <w:i/>
    </w:rPr>
  </w:style>
  <w:style w:type="character" w:customStyle="1" w:styleId="183">
    <w:name w:val="页眉 字符"/>
    <w:basedOn w:val="42"/>
    <w:link w:val="28"/>
    <w:qFormat/>
    <w:uiPriority w:val="99"/>
  </w:style>
  <w:style w:type="character" w:customStyle="1" w:styleId="184">
    <w:name w:val="Footer Char"/>
    <w:basedOn w:val="42"/>
    <w:qFormat/>
    <w:uiPriority w:val="99"/>
  </w:style>
  <w:style w:type="character" w:customStyle="1" w:styleId="185">
    <w:name w:val="页脚 字符"/>
    <w:link w:val="26"/>
    <w:qFormat/>
    <w:uiPriority w:val="99"/>
  </w:style>
  <w:style w:type="table" w:customStyle="1" w:styleId="186">
    <w:name w:val="Table Grid Light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87">
    <w:name w:val="Plain Table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88">
    <w:name w:val="Plain Table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89">
    <w:name w:val="Plain Table 31"/>
    <w:qFormat/>
    <w:uiPriority w:val="99"/>
    <w:tblPr>
      <w:tblCellMar>
        <w:top w:w="0" w:type="dxa"/>
        <w:left w:w="0" w:type="dxa"/>
        <w:bottom w:w="0" w:type="dxa"/>
        <w:right w:w="0" w:type="dxa"/>
      </w:tblCellMar>
    </w:tblPr>
  </w:style>
  <w:style w:type="table" w:customStyle="1" w:styleId="190">
    <w:name w:val="Plain Table 41"/>
    <w:qFormat/>
    <w:uiPriority w:val="99"/>
    <w:tblPr>
      <w:tblCellMar>
        <w:top w:w="0" w:type="dxa"/>
        <w:left w:w="0" w:type="dxa"/>
        <w:bottom w:w="0" w:type="dxa"/>
        <w:right w:w="0" w:type="dxa"/>
      </w:tblCellMar>
    </w:tblPr>
  </w:style>
  <w:style w:type="table" w:customStyle="1" w:styleId="191">
    <w:name w:val="Plain Table 51"/>
    <w:qFormat/>
    <w:uiPriority w:val="99"/>
    <w:tblPr>
      <w:tblCellMar>
        <w:top w:w="0" w:type="dxa"/>
        <w:left w:w="0" w:type="dxa"/>
        <w:bottom w:w="0" w:type="dxa"/>
        <w:right w:w="0" w:type="dxa"/>
      </w:tblCellMar>
    </w:tblPr>
  </w:style>
  <w:style w:type="table" w:customStyle="1" w:styleId="192">
    <w:name w:val="Grid Table 1 Light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93">
    <w:name w:val="Grid Table 1 Light - Accent 1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94">
    <w:name w:val="Grid Table 1 Light - Accent 21"/>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95">
    <w:name w:val="Grid Table 1 Light - Accent 31"/>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96">
    <w:name w:val="Grid Table 1 Light - Accent 41"/>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97">
    <w:name w:val="Grid Table 1 Light - Accent 51"/>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98">
    <w:name w:val="Grid Table 1 Light - Accent 61"/>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99">
    <w:name w:val="Grid Table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200">
    <w:name w:val="Grid Table 2 - Accent 1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201">
    <w:name w:val="Grid Table 2 - Accent 21"/>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202">
    <w:name w:val="Grid Table 2 - Accent 31"/>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203">
    <w:name w:val="Grid Table 2 - Accent 41"/>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204">
    <w:name w:val="Grid Table 2 - Accent 51"/>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205">
    <w:name w:val="Grid Table 2 - Accent 61"/>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206">
    <w:name w:val="Grid Table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207">
    <w:name w:val="Grid Table 3 - Accent 1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208">
    <w:name w:val="Grid Table 3 - Accent 21"/>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209">
    <w:name w:val="Grid Table 3 - Accent 31"/>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210">
    <w:name w:val="Grid Table 3 - Accent 41"/>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211">
    <w:name w:val="Grid Table 3 - Accent 51"/>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212">
    <w:name w:val="Grid Table 3 - Accent 61"/>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213">
    <w:name w:val="Grid Table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214">
    <w:name w:val="Grid Table 4 - Accent 1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215">
    <w:name w:val="Grid Table 4 - Accent 21"/>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216">
    <w:name w:val="Grid Table 4 - Accent 31"/>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217">
    <w:name w:val="Grid Table 4 - Accent 41"/>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218">
    <w:name w:val="Grid Table 4 - Accent 51"/>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219">
    <w:name w:val="Grid Table 4 - Accent 61"/>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220">
    <w:name w:val="Grid Table 5 Dark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221">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222">
    <w:name w:val="Grid Table 5 Dark - Accent 2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223">
    <w:name w:val="Grid Table 5 Dark - Accent 3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224">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225">
    <w:name w:val="Grid Table 5 Dark - Accent 5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226">
    <w:name w:val="Grid Table 5 Dark - Accent 6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227">
    <w:name w:val="Grid Table 6 Colorful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228">
    <w:name w:val="Grid Table 6 Colorful - Accent 1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229">
    <w:name w:val="Grid Table 6 Colorful - Accent 21"/>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230">
    <w:name w:val="Grid Table 6 Colorful - Accent 31"/>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231">
    <w:name w:val="Grid Table 6 Colorful - Accent 41"/>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232">
    <w:name w:val="Grid Table 6 Colorful - Accent 51"/>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233">
    <w:name w:val="Grid Table 6 Colorful - Accent 61"/>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234">
    <w:name w:val="Grid Table 7 Colorful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235">
    <w:name w:val="Grid Table 7 Colorful - Accent 1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236">
    <w:name w:val="Grid Table 7 Colorful - Accent 21"/>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237">
    <w:name w:val="Grid Table 7 Colorful - Accent 31"/>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238">
    <w:name w:val="Grid Table 7 Colorful - Accent 41"/>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239">
    <w:name w:val="Grid Table 7 Colorful - Accent 51"/>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240">
    <w:name w:val="Grid Table 7 Colorful - Accent 61"/>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241">
    <w:name w:val="List Table 1 Light1"/>
    <w:qFormat/>
    <w:uiPriority w:val="99"/>
    <w:tblPr>
      <w:tblCellMar>
        <w:top w:w="0" w:type="dxa"/>
        <w:left w:w="0" w:type="dxa"/>
        <w:bottom w:w="0" w:type="dxa"/>
        <w:right w:w="0" w:type="dxa"/>
      </w:tblCellMar>
    </w:tblPr>
  </w:style>
  <w:style w:type="table" w:customStyle="1" w:styleId="242">
    <w:name w:val="List Table 1 Light - Accent 11"/>
    <w:qFormat/>
    <w:uiPriority w:val="99"/>
    <w:tblPr>
      <w:tblCellMar>
        <w:top w:w="0" w:type="dxa"/>
        <w:left w:w="0" w:type="dxa"/>
        <w:bottom w:w="0" w:type="dxa"/>
        <w:right w:w="0" w:type="dxa"/>
      </w:tblCellMar>
    </w:tblPr>
  </w:style>
  <w:style w:type="table" w:customStyle="1" w:styleId="243">
    <w:name w:val="List Table 1 Light - Accent 21"/>
    <w:qFormat/>
    <w:uiPriority w:val="99"/>
    <w:tblPr>
      <w:tblCellMar>
        <w:top w:w="0" w:type="dxa"/>
        <w:left w:w="0" w:type="dxa"/>
        <w:bottom w:w="0" w:type="dxa"/>
        <w:right w:w="0" w:type="dxa"/>
      </w:tblCellMar>
    </w:tblPr>
  </w:style>
  <w:style w:type="table" w:customStyle="1" w:styleId="244">
    <w:name w:val="List Table 1 Light - Accent 31"/>
    <w:qFormat/>
    <w:uiPriority w:val="99"/>
    <w:tblPr>
      <w:tblCellMar>
        <w:top w:w="0" w:type="dxa"/>
        <w:left w:w="0" w:type="dxa"/>
        <w:bottom w:w="0" w:type="dxa"/>
        <w:right w:w="0" w:type="dxa"/>
      </w:tblCellMar>
    </w:tblPr>
  </w:style>
  <w:style w:type="table" w:customStyle="1" w:styleId="245">
    <w:name w:val="List Table 1 Light - Accent 41"/>
    <w:qFormat/>
    <w:uiPriority w:val="99"/>
    <w:tblPr>
      <w:tblCellMar>
        <w:top w:w="0" w:type="dxa"/>
        <w:left w:w="0" w:type="dxa"/>
        <w:bottom w:w="0" w:type="dxa"/>
        <w:right w:w="0" w:type="dxa"/>
      </w:tblCellMar>
    </w:tblPr>
  </w:style>
  <w:style w:type="table" w:customStyle="1" w:styleId="246">
    <w:name w:val="List Table 1 Light - Accent 51"/>
    <w:qFormat/>
    <w:uiPriority w:val="99"/>
    <w:tblPr>
      <w:tblCellMar>
        <w:top w:w="0" w:type="dxa"/>
        <w:left w:w="0" w:type="dxa"/>
        <w:bottom w:w="0" w:type="dxa"/>
        <w:right w:w="0" w:type="dxa"/>
      </w:tblCellMar>
    </w:tblPr>
  </w:style>
  <w:style w:type="table" w:customStyle="1" w:styleId="247">
    <w:name w:val="List Table 1 Light - Accent 61"/>
    <w:qFormat/>
    <w:uiPriority w:val="99"/>
    <w:tblPr>
      <w:tblCellMar>
        <w:top w:w="0" w:type="dxa"/>
        <w:left w:w="0" w:type="dxa"/>
        <w:bottom w:w="0" w:type="dxa"/>
        <w:right w:w="0" w:type="dxa"/>
      </w:tblCellMar>
    </w:tblPr>
  </w:style>
  <w:style w:type="table" w:customStyle="1" w:styleId="248">
    <w:name w:val="List Table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249">
    <w:name w:val="List Table 2 - Accent 1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250">
    <w:name w:val="List Table 2 - Accent 21"/>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251">
    <w:name w:val="List Table 2 - Accent 31"/>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252">
    <w:name w:val="List Table 2 - Accent 41"/>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253">
    <w:name w:val="List Table 2 - Accent 51"/>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254">
    <w:name w:val="List Table 2 - Accent 61"/>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255">
    <w:name w:val="List Table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256">
    <w:name w:val="List Table 3 - Accent 1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257">
    <w:name w:val="List Table 3 - Accent 21"/>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258">
    <w:name w:val="List Table 3 - Accent 31"/>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259">
    <w:name w:val="List Table 3 - Accent 41"/>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260">
    <w:name w:val="List Table 3 - Accent 51"/>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261">
    <w:name w:val="List Table 3 - Accent 61"/>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262">
    <w:name w:val="List Table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263">
    <w:name w:val="List Table 4 - Accent 1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264">
    <w:name w:val="List Table 4 - Accent 21"/>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265">
    <w:name w:val="List Table 4 - Accent 31"/>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266">
    <w:name w:val="List Table 4 - Accent 41"/>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267">
    <w:name w:val="List Table 4 - Accent 51"/>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268">
    <w:name w:val="List Table 4 - Accent 61"/>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269">
    <w:name w:val="List Table 5 Dark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270">
    <w:name w:val="List Table 5 Dark - Accent 1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271">
    <w:name w:val="List Table 5 Dark - Accent 21"/>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272">
    <w:name w:val="List Table 5 Dark - Accent 31"/>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273">
    <w:name w:val="List Table 5 Dark - Accent 41"/>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274">
    <w:name w:val="List Table 5 Dark - Accent 51"/>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275">
    <w:name w:val="List Table 5 Dark - Accent 61"/>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276">
    <w:name w:val="List Table 6 Colorful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277">
    <w:name w:val="List Table 6 Colorful - Accent 1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278">
    <w:name w:val="List Table 6 Colorful - Accent 21"/>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279">
    <w:name w:val="List Table 6 Colorful - Accent 31"/>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280">
    <w:name w:val="List Table 6 Colorful - Accent 41"/>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81">
    <w:name w:val="List Table 6 Colorful - Accent 51"/>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82">
    <w:name w:val="List Table 6 Colorful - Accent 61"/>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83">
    <w:name w:val="List Table 7 Colorful1"/>
    <w:qFormat/>
    <w:uiPriority w:val="99"/>
    <w:tblPr>
      <w:tblBorders>
        <w:right w:val="single" w:color="7F7F7F" w:sz="4" w:space="0"/>
      </w:tblBorders>
      <w:tblCellMar>
        <w:top w:w="0" w:type="dxa"/>
        <w:left w:w="0" w:type="dxa"/>
        <w:bottom w:w="0" w:type="dxa"/>
        <w:right w:w="0" w:type="dxa"/>
      </w:tblCellMar>
    </w:tblPr>
  </w:style>
  <w:style w:type="table" w:customStyle="1" w:styleId="284">
    <w:name w:val="List Table 7 Colorful - Accent 11"/>
    <w:qFormat/>
    <w:uiPriority w:val="99"/>
    <w:tblPr>
      <w:tblBorders>
        <w:right w:val="single" w:color="4F81BD" w:sz="4" w:space="0"/>
      </w:tblBorders>
      <w:tblCellMar>
        <w:top w:w="0" w:type="dxa"/>
        <w:left w:w="0" w:type="dxa"/>
        <w:bottom w:w="0" w:type="dxa"/>
        <w:right w:w="0" w:type="dxa"/>
      </w:tblCellMar>
    </w:tblPr>
  </w:style>
  <w:style w:type="table" w:customStyle="1" w:styleId="285">
    <w:name w:val="List Table 7 Colorful - Accent 21"/>
    <w:qFormat/>
    <w:uiPriority w:val="99"/>
    <w:tblPr>
      <w:tblBorders>
        <w:right w:val="single" w:color="D99695" w:sz="4" w:space="0"/>
      </w:tblBorders>
      <w:tblCellMar>
        <w:top w:w="0" w:type="dxa"/>
        <w:left w:w="0" w:type="dxa"/>
        <w:bottom w:w="0" w:type="dxa"/>
        <w:right w:w="0" w:type="dxa"/>
      </w:tblCellMar>
    </w:tblPr>
  </w:style>
  <w:style w:type="table" w:customStyle="1" w:styleId="286">
    <w:name w:val="List Table 7 Colorful - Accent 31"/>
    <w:qFormat/>
    <w:uiPriority w:val="99"/>
    <w:tblPr>
      <w:tblBorders>
        <w:right w:val="single" w:color="C3D69B" w:sz="4" w:space="0"/>
      </w:tblBorders>
      <w:tblCellMar>
        <w:top w:w="0" w:type="dxa"/>
        <w:left w:w="0" w:type="dxa"/>
        <w:bottom w:w="0" w:type="dxa"/>
        <w:right w:w="0" w:type="dxa"/>
      </w:tblCellMar>
    </w:tblPr>
  </w:style>
  <w:style w:type="table" w:customStyle="1" w:styleId="287">
    <w:name w:val="List Table 7 Colorful - Accent 41"/>
    <w:qFormat/>
    <w:uiPriority w:val="99"/>
    <w:tblPr>
      <w:tblBorders>
        <w:right w:val="single" w:color="B2A1C6" w:sz="4" w:space="0"/>
      </w:tblBorders>
      <w:tblCellMar>
        <w:top w:w="0" w:type="dxa"/>
        <w:left w:w="0" w:type="dxa"/>
        <w:bottom w:w="0" w:type="dxa"/>
        <w:right w:w="0" w:type="dxa"/>
      </w:tblCellMar>
    </w:tblPr>
  </w:style>
  <w:style w:type="table" w:customStyle="1" w:styleId="288">
    <w:name w:val="List Table 7 Colorful - Accent 51"/>
    <w:qFormat/>
    <w:uiPriority w:val="99"/>
    <w:tblPr>
      <w:tblBorders>
        <w:right w:val="single" w:color="92CCDC" w:sz="4" w:space="0"/>
      </w:tblBorders>
      <w:tblCellMar>
        <w:top w:w="0" w:type="dxa"/>
        <w:left w:w="0" w:type="dxa"/>
        <w:bottom w:w="0" w:type="dxa"/>
        <w:right w:w="0" w:type="dxa"/>
      </w:tblCellMar>
    </w:tblPr>
  </w:style>
  <w:style w:type="table" w:customStyle="1" w:styleId="289">
    <w:name w:val="List Table 7 Colorful - Accent 61"/>
    <w:qFormat/>
    <w:uiPriority w:val="99"/>
    <w:tblPr>
      <w:tblBorders>
        <w:right w:val="single" w:color="FAC090" w:sz="4" w:space="0"/>
      </w:tblBorders>
      <w:tblCellMar>
        <w:top w:w="0" w:type="dxa"/>
        <w:left w:w="0" w:type="dxa"/>
        <w:bottom w:w="0" w:type="dxa"/>
        <w:right w:w="0" w:type="dxa"/>
      </w:tblCellMar>
    </w:tblPr>
  </w:style>
  <w:style w:type="table" w:customStyle="1" w:styleId="290">
    <w:name w:val="Lined - Accent"/>
    <w:qFormat/>
    <w:uiPriority w:val="99"/>
    <w:rPr>
      <w:color w:val="404040"/>
    </w:rPr>
    <w:tblPr>
      <w:tblCellMar>
        <w:top w:w="0" w:type="dxa"/>
        <w:left w:w="0" w:type="dxa"/>
        <w:bottom w:w="0" w:type="dxa"/>
        <w:right w:w="0" w:type="dxa"/>
      </w:tblCellMar>
    </w:tblPr>
  </w:style>
  <w:style w:type="table" w:customStyle="1" w:styleId="291">
    <w:name w:val="Lined - Accent 1"/>
    <w:qFormat/>
    <w:uiPriority w:val="99"/>
    <w:rPr>
      <w:color w:val="404040"/>
    </w:rPr>
    <w:tblPr>
      <w:tblCellMar>
        <w:top w:w="0" w:type="dxa"/>
        <w:left w:w="0" w:type="dxa"/>
        <w:bottom w:w="0" w:type="dxa"/>
        <w:right w:w="0" w:type="dxa"/>
      </w:tblCellMar>
    </w:tblPr>
  </w:style>
  <w:style w:type="table" w:customStyle="1" w:styleId="292">
    <w:name w:val="Lined - Accent 2"/>
    <w:qFormat/>
    <w:uiPriority w:val="99"/>
    <w:rPr>
      <w:color w:val="404040"/>
    </w:rPr>
    <w:tblPr>
      <w:tblCellMar>
        <w:top w:w="0" w:type="dxa"/>
        <w:left w:w="0" w:type="dxa"/>
        <w:bottom w:w="0" w:type="dxa"/>
        <w:right w:w="0" w:type="dxa"/>
      </w:tblCellMar>
    </w:tblPr>
  </w:style>
  <w:style w:type="table" w:customStyle="1" w:styleId="293">
    <w:name w:val="Lined - Accent 3"/>
    <w:qFormat/>
    <w:uiPriority w:val="99"/>
    <w:rPr>
      <w:color w:val="404040"/>
    </w:rPr>
    <w:tblPr>
      <w:tblCellMar>
        <w:top w:w="0" w:type="dxa"/>
        <w:left w:w="0" w:type="dxa"/>
        <w:bottom w:w="0" w:type="dxa"/>
        <w:right w:w="0" w:type="dxa"/>
      </w:tblCellMar>
    </w:tblPr>
  </w:style>
  <w:style w:type="table" w:customStyle="1" w:styleId="294">
    <w:name w:val="Lined - Accent 4"/>
    <w:qFormat/>
    <w:uiPriority w:val="99"/>
    <w:rPr>
      <w:color w:val="404040"/>
    </w:rPr>
    <w:tblPr>
      <w:tblCellMar>
        <w:top w:w="0" w:type="dxa"/>
        <w:left w:w="0" w:type="dxa"/>
        <w:bottom w:w="0" w:type="dxa"/>
        <w:right w:w="0" w:type="dxa"/>
      </w:tblCellMar>
    </w:tblPr>
  </w:style>
  <w:style w:type="table" w:customStyle="1" w:styleId="295">
    <w:name w:val="Lined - Accent 5"/>
    <w:qFormat/>
    <w:uiPriority w:val="99"/>
    <w:rPr>
      <w:color w:val="404040"/>
    </w:rPr>
    <w:tblPr>
      <w:tblCellMar>
        <w:top w:w="0" w:type="dxa"/>
        <w:left w:w="0" w:type="dxa"/>
        <w:bottom w:w="0" w:type="dxa"/>
        <w:right w:w="0" w:type="dxa"/>
      </w:tblCellMar>
    </w:tblPr>
  </w:style>
  <w:style w:type="table" w:customStyle="1" w:styleId="296">
    <w:name w:val="Lined - Accent 6"/>
    <w:qFormat/>
    <w:uiPriority w:val="99"/>
    <w:rPr>
      <w:color w:val="404040"/>
    </w:rPr>
    <w:tblPr>
      <w:tblCellMar>
        <w:top w:w="0" w:type="dxa"/>
        <w:left w:w="0" w:type="dxa"/>
        <w:bottom w:w="0" w:type="dxa"/>
        <w:right w:w="0" w:type="dxa"/>
      </w:tblCellMar>
    </w:tblPr>
  </w:style>
  <w:style w:type="table" w:customStyle="1" w:styleId="297">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98">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99">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300">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301">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302">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303">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304">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305">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306">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307">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308">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309">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310">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311">
    <w:name w:val="脚注文本 字符"/>
    <w:link w:val="32"/>
    <w:qFormat/>
    <w:uiPriority w:val="99"/>
    <w:rPr>
      <w:sz w:val="18"/>
    </w:rPr>
  </w:style>
  <w:style w:type="character" w:customStyle="1" w:styleId="312">
    <w:name w:val="尾注文本 字符"/>
    <w:link w:val="25"/>
    <w:qFormat/>
    <w:uiPriority w:val="99"/>
    <w:rPr>
      <w:sz w:val="20"/>
    </w:rPr>
  </w:style>
  <w:style w:type="paragraph" w:customStyle="1" w:styleId="313">
    <w:name w:val="TOC Heading1"/>
    <w:unhideWhenUsed/>
    <w:qFormat/>
    <w:uiPriority w:val="39"/>
    <w:rPr>
      <w:rFonts w:hint="default" w:ascii="Times New Roman" w:hAnsi="Times New Roman" w:eastAsia="宋体" w:cs="Times New Roman"/>
    </w:rPr>
  </w:style>
  <w:style w:type="character" w:customStyle="1" w:styleId="314">
    <w:name w:val="标题 1 字符"/>
    <w:link w:val="3"/>
    <w:qFormat/>
    <w:uiPriority w:val="9"/>
    <w:rPr>
      <w:rFonts w:ascii="宋体" w:hAnsi="宋体" w:cs="Times New Roman"/>
      <w:b/>
      <w:sz w:val="36"/>
      <w:szCs w:val="20"/>
    </w:rPr>
  </w:style>
  <w:style w:type="character" w:customStyle="1" w:styleId="315">
    <w:name w:val="font41"/>
    <w:qFormat/>
    <w:uiPriority w:val="0"/>
    <w:rPr>
      <w:rFonts w:hint="eastAsia" w:ascii="宋体" w:hAnsi="宋体" w:eastAsia="宋体" w:cs="宋体"/>
      <w:b/>
      <w:color w:val="000000"/>
      <w:sz w:val="24"/>
      <w:szCs w:val="24"/>
      <w:u w:val="none"/>
    </w:rPr>
  </w:style>
  <w:style w:type="character" w:customStyle="1" w:styleId="316">
    <w:name w:val="font11"/>
    <w:qFormat/>
    <w:uiPriority w:val="0"/>
    <w:rPr>
      <w:rFonts w:hint="eastAsia" w:ascii="宋体" w:hAnsi="宋体" w:eastAsia="宋体" w:cs="宋体"/>
      <w:color w:val="000000"/>
      <w:sz w:val="18"/>
      <w:szCs w:val="18"/>
      <w:u w:val="none"/>
    </w:rPr>
  </w:style>
  <w:style w:type="character" w:customStyle="1" w:styleId="317">
    <w:name w:val="font21"/>
    <w:qFormat/>
    <w:uiPriority w:val="0"/>
    <w:rPr>
      <w:rFonts w:hint="eastAsia" w:ascii="宋体" w:hAnsi="宋体" w:eastAsia="宋体" w:cs="宋体"/>
      <w:color w:val="000000"/>
      <w:sz w:val="18"/>
      <w:szCs w:val="18"/>
      <w:u w:val="none"/>
    </w:rPr>
  </w:style>
  <w:style w:type="character" w:customStyle="1" w:styleId="318">
    <w:name w:val="Subtle Emphasis1"/>
    <w:qFormat/>
    <w:uiPriority w:val="19"/>
    <w:rPr>
      <w:i/>
      <w:iCs/>
      <w:color w:val="3F3F3F"/>
    </w:rPr>
  </w:style>
  <w:style w:type="character" w:customStyle="1" w:styleId="319">
    <w:name w:val="font31"/>
    <w:qFormat/>
    <w:uiPriority w:val="0"/>
    <w:rPr>
      <w:rFonts w:ascii="Arial Narrow" w:hAnsi="Arial Narrow" w:eastAsia="Arial Narrow" w:cs="Arial Narrow"/>
      <w:color w:val="000000"/>
      <w:sz w:val="18"/>
      <w:szCs w:val="18"/>
      <w:u w:val="none"/>
    </w:rPr>
  </w:style>
  <w:style w:type="character" w:customStyle="1" w:styleId="320">
    <w:name w:val="font71"/>
    <w:qFormat/>
    <w:uiPriority w:val="0"/>
    <w:rPr>
      <w:rFonts w:hint="eastAsia" w:ascii="宋体" w:hAnsi="宋体" w:eastAsia="宋体" w:cs="宋体"/>
      <w:color w:val="000000"/>
      <w:sz w:val="22"/>
      <w:szCs w:val="22"/>
      <w:u w:val="none"/>
    </w:rPr>
  </w:style>
  <w:style w:type="paragraph" w:customStyle="1" w:styleId="321">
    <w:name w:val="Char1"/>
    <w:basedOn w:val="1"/>
    <w:qFormat/>
    <w:uiPriority w:val="0"/>
    <w:pPr>
      <w:tabs>
        <w:tab w:val="left" w:pos="432"/>
      </w:tabs>
      <w:ind w:left="432" w:hanging="432"/>
    </w:pPr>
    <w:rPr>
      <w:rFonts w:ascii="仿宋_GB2312" w:hAnsi="Tahoma" w:eastAsia="仿宋_GB2312"/>
      <w:color w:val="000000"/>
      <w:sz w:val="30"/>
      <w:szCs w:val="30"/>
    </w:rPr>
  </w:style>
  <w:style w:type="paragraph" w:customStyle="1" w:styleId="322">
    <w:name w:val="Plain Text1"/>
    <w:basedOn w:val="1"/>
    <w:qFormat/>
    <w:uiPriority w:val="0"/>
    <w:rPr>
      <w:rFonts w:ascii="宋体" w:hAnsi="Courier New" w:eastAsia="楷体_GB2312"/>
      <w:sz w:val="28"/>
      <w:szCs w:val="20"/>
    </w:rPr>
  </w:style>
  <w:style w:type="paragraph" w:customStyle="1" w:styleId="323">
    <w:name w:val="样式 标题 1 + 宋体 居中 段前: 17 磅 段后: 16.5 磅"/>
    <w:basedOn w:val="3"/>
    <w:qFormat/>
    <w:uiPriority w:val="0"/>
    <w:pPr>
      <w:pageBreakBefore/>
      <w:widowControl/>
      <w:tabs>
        <w:tab w:val="left" w:pos="840"/>
      </w:tabs>
      <w:ind w:left="840" w:hanging="420"/>
    </w:pPr>
    <w:rPr>
      <w:rFonts w:ascii="华文中宋" w:hAnsi="华文中宋" w:eastAsia="华文中宋" w:cs="宋体"/>
      <w:sz w:val="28"/>
    </w:rPr>
  </w:style>
  <w:style w:type="paragraph" w:customStyle="1" w:styleId="324">
    <w:name w:val="正文字缩2字"/>
    <w:basedOn w:val="1"/>
    <w:qFormat/>
    <w:uiPriority w:val="0"/>
    <w:pPr>
      <w:spacing w:before="60" w:after="60" w:line="360" w:lineRule="auto"/>
      <w:ind w:left="200" w:firstLine="200"/>
    </w:pPr>
  </w:style>
  <w:style w:type="paragraph" w:styleId="325">
    <w:name w:val="List Paragraph"/>
    <w:basedOn w:val="1"/>
    <w:qFormat/>
    <w:uiPriority w:val="99"/>
    <w:pPr>
      <w:ind w:firstLine="420"/>
    </w:pPr>
    <w:rPr>
      <w:szCs w:val="22"/>
    </w:rPr>
  </w:style>
  <w:style w:type="paragraph" w:customStyle="1" w:styleId="326">
    <w:name w:val="列出段落1"/>
    <w:basedOn w:val="1"/>
    <w:qFormat/>
    <w:uiPriority w:val="0"/>
    <w:pPr>
      <w:ind w:firstLine="420"/>
    </w:pPr>
    <w:rPr>
      <w:color w:val="595959"/>
    </w:rPr>
  </w:style>
  <w:style w:type="paragraph" w:customStyle="1" w:styleId="327">
    <w:name w:val="Í¼¡À¡¡¡¡¡¡¨¬¬¬ªÕýÎÄ"/>
    <w:basedOn w:val="1"/>
    <w:next w:val="5"/>
    <w:qFormat/>
    <w:uiPriority w:val="99"/>
    <w:pPr>
      <w:ind w:firstLine="420"/>
    </w:pPr>
    <w:rPr>
      <w:rFonts w:ascii="Times New Roman" w:hAnsi="Times New Roman"/>
      <w:sz w:val="24"/>
      <w:szCs w:val="20"/>
    </w:rPr>
  </w:style>
  <w:style w:type="paragraph" w:customStyle="1" w:styleId="328">
    <w:name w:val="WPSOffice手动目录 1"/>
    <w:qFormat/>
    <w:uiPriority w:val="0"/>
    <w:rPr>
      <w:rFonts w:hint="default" w:ascii="Times New Roman" w:hAnsi="Times New Roman" w:eastAsia="宋体" w:cs="Times New Roman"/>
    </w:rPr>
  </w:style>
  <w:style w:type="paragraph" w:customStyle="1" w:styleId="329">
    <w:name w:val="Default"/>
    <w:next w:val="1"/>
    <w:qFormat/>
    <w:uiPriority w:val="99"/>
    <w:pPr>
      <w:widowControl w:val="0"/>
    </w:pPr>
    <w:rPr>
      <w:rFonts w:hint="default" w:ascii="宋体" w:hAnsi="Calibri" w:eastAsia="宋体" w:cs="宋体"/>
      <w:color w:val="000000"/>
      <w:sz w:val="24"/>
      <w:szCs w:val="24"/>
    </w:rPr>
  </w:style>
  <w:style w:type="paragraph" w:customStyle="1" w:styleId="330">
    <w:name w:val="Í¼±íÕýÎÄ"/>
    <w:basedOn w:val="1"/>
    <w:next w:val="5"/>
    <w:qFormat/>
    <w:uiPriority w:val="0"/>
    <w:pPr>
      <w:ind w:firstLine="420"/>
    </w:pPr>
    <w:rPr>
      <w:rFonts w:ascii="Times New Roman" w:hAnsi="Times New Roman"/>
      <w:sz w:val="24"/>
      <w:szCs w:val="20"/>
    </w:rPr>
  </w:style>
  <w:style w:type="paragraph" w:customStyle="1" w:styleId="331">
    <w:name w:val="纯文本1"/>
    <w:basedOn w:val="1"/>
    <w:qFormat/>
    <w:uiPriority w:val="0"/>
    <w:rPr>
      <w:rFonts w:ascii="宋体" w:hAnsi="Courier New" w:eastAsia="楷体_GB2312"/>
      <w:sz w:val="26"/>
    </w:rPr>
  </w:style>
  <w:style w:type="paragraph" w:customStyle="1" w:styleId="332">
    <w:name w:val="TOC Heading11"/>
    <w:basedOn w:val="3"/>
    <w:next w:val="1"/>
    <w:semiHidden/>
    <w:qFormat/>
    <w:uiPriority w:val="99"/>
    <w:pPr>
      <w:keepLines/>
      <w:widowControl/>
      <w:tabs>
        <w:tab w:val="clear" w:pos="200"/>
      </w:tabs>
      <w:spacing w:before="480" w:line="276" w:lineRule="auto"/>
      <w:jc w:val="left"/>
      <w:outlineLvl w:val="9"/>
    </w:pPr>
    <w:rPr>
      <w:rFonts w:ascii="Calibri Light" w:hAnsi="Calibri Light"/>
      <w:bCs/>
      <w:color w:val="2E74B5"/>
      <w:sz w:val="28"/>
      <w:szCs w:val="28"/>
    </w:rPr>
  </w:style>
  <w:style w:type="paragraph" w:customStyle="1" w:styleId="333">
    <w:name w:val="列出段落2"/>
    <w:basedOn w:val="1"/>
    <w:qFormat/>
    <w:uiPriority w:val="0"/>
    <w:pPr>
      <w:ind w:firstLine="420"/>
    </w:pPr>
  </w:style>
  <w:style w:type="paragraph" w:customStyle="1" w:styleId="334">
    <w:name w:val="表格标题"/>
    <w:basedOn w:val="1"/>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cs="Arial"/>
      <w:caps/>
      <w:color w:val="FFFFFF"/>
      <w:sz w:val="24"/>
    </w:rPr>
  </w:style>
  <w:style w:type="paragraph" w:customStyle="1" w:styleId="335">
    <w:name w:val="Í¼¡À¡¡¡¡ì¬ªÕýÎÄ"/>
    <w:basedOn w:val="1"/>
    <w:next w:val="5"/>
    <w:qFormat/>
    <w:uiPriority w:val="99"/>
    <w:pPr>
      <w:ind w:firstLine="420"/>
    </w:pPr>
    <w:rPr>
      <w:rFonts w:ascii="Times New Roman" w:hAnsi="Times New Roman"/>
      <w:sz w:val="24"/>
      <w:szCs w:val="20"/>
    </w:rPr>
  </w:style>
  <w:style w:type="paragraph" w:customStyle="1" w:styleId="336">
    <w:name w:val="样式1"/>
    <w:basedOn w:val="1"/>
    <w:qFormat/>
    <w:uiPriority w:val="0"/>
    <w:pPr>
      <w:numPr>
        <w:ilvl w:val="0"/>
        <w:numId w:val="1"/>
      </w:numPr>
    </w:pPr>
    <w:rPr>
      <w:rFonts w:ascii="宋体" w:hAnsi="宋体"/>
      <w:szCs w:val="21"/>
    </w:rPr>
  </w:style>
  <w:style w:type="paragraph" w:customStyle="1" w:styleId="337">
    <w:name w:val="样式 标题 4 + 段前: 5 磅 段后: 5 磅 行距: 单倍行距"/>
    <w:basedOn w:val="6"/>
    <w:qFormat/>
    <w:uiPriority w:val="0"/>
    <w:pPr>
      <w:spacing w:before="100" w:after="100" w:line="240" w:lineRule="auto"/>
    </w:pPr>
    <w:rPr>
      <w:rFonts w:cs="宋体"/>
      <w:szCs w:val="20"/>
    </w:rPr>
  </w:style>
  <w:style w:type="paragraph" w:customStyle="1" w:styleId="338">
    <w:name w:val="段标题"/>
    <w:basedOn w:val="1"/>
    <w:next w:val="5"/>
    <w:qFormat/>
    <w:uiPriority w:val="0"/>
    <w:pPr>
      <w:jc w:val="left"/>
    </w:pPr>
    <w:rPr>
      <w:rFonts w:ascii="黑体" w:hAnsi="宋体" w:eastAsia="黑体"/>
    </w:rPr>
  </w:style>
  <w:style w:type="paragraph" w:customStyle="1" w:styleId="339">
    <w:name w:val="附件栏"/>
    <w:qFormat/>
    <w:uiPriority w:val="0"/>
    <w:pPr>
      <w:widowControl w:val="0"/>
      <w:spacing w:line="590" w:lineRule="atLeast"/>
      <w:ind w:firstLine="624"/>
      <w:jc w:val="both"/>
    </w:pPr>
    <w:rPr>
      <w:rFonts w:hint="default" w:ascii="Times New Roman" w:hAnsi="Times New Roman" w:eastAsia="仿宋" w:cs="Times New Roman"/>
      <w:sz w:val="32"/>
    </w:rPr>
  </w:style>
  <w:style w:type="table" w:customStyle="1" w:styleId="340">
    <w:name w:val="网格型1"/>
    <w:basedOn w:val="40"/>
    <w:qFormat/>
    <w:uiPriority w:val="99"/>
    <w:pPr>
      <w:widowControl w:val="0"/>
      <w:jc w:val="both"/>
    </w:pPr>
  </w:style>
  <w:style w:type="paragraph" w:customStyle="1" w:styleId="341">
    <w:name w:val="图例"/>
    <w:basedOn w:val="1"/>
    <w:qFormat/>
    <w:uiPriority w:val="0"/>
    <w:pPr>
      <w:spacing w:before="120" w:after="120" w:line="360" w:lineRule="auto"/>
      <w:jc w:val="center"/>
    </w:pPr>
    <w:rPr>
      <w:rFonts w:eastAsia="仿宋_GB2312"/>
      <w:b/>
      <w:sz w:val="24"/>
      <w:szCs w:val="20"/>
    </w:rPr>
  </w:style>
  <w:style w:type="paragraph" w:customStyle="1" w:styleId="342">
    <w:name w:val="p0"/>
    <w:basedOn w:val="1"/>
    <w:qFormat/>
    <w:uiPriority w:val="0"/>
    <w:pPr>
      <w:widowControl/>
    </w:pPr>
    <w:rPr>
      <w:rFonts w:ascii="Times New Roman" w:hAnsi="Times New Roman"/>
      <w:szCs w:val="21"/>
    </w:rPr>
  </w:style>
  <w:style w:type="paragraph" w:customStyle="1" w:styleId="343">
    <w:name w:val="成文日期"/>
    <w:basedOn w:val="1"/>
    <w:qFormat/>
    <w:uiPriority w:val="0"/>
    <w:pPr>
      <w:spacing w:line="570" w:lineRule="exact"/>
      <w:ind w:right="400" w:firstLine="200"/>
      <w:jc w:val="right"/>
    </w:pPr>
    <w:rPr>
      <w:rFonts w:ascii="仿宋_GB2312" w:eastAsia="仿宋_GB2312"/>
      <w:sz w:val="32"/>
      <w:szCs w:val="20"/>
    </w:rPr>
  </w:style>
  <w:style w:type="paragraph" w:customStyle="1" w:styleId="344">
    <w:name w:val="段"/>
    <w:next w:val="1"/>
    <w:qFormat/>
    <w:uiPriority w:val="0"/>
    <w:pPr>
      <w:ind w:firstLine="200"/>
      <w:jc w:val="both"/>
    </w:pPr>
    <w:rPr>
      <w:rFonts w:hint="default" w:ascii="宋体" w:hAnsi="Times New Roman" w:eastAsia="宋体" w:cs="Times New Roman"/>
      <w:sz w:val="21"/>
      <w:szCs w:val="22"/>
    </w:rPr>
  </w:style>
  <w:style w:type="table" w:customStyle="1" w:styleId="345">
    <w:name w:val="Table Normal1"/>
    <w:unhideWhenUsed/>
    <w:qFormat/>
    <w:uiPriority w:val="0"/>
    <w:tblPr>
      <w:tblCellMar>
        <w:top w:w="0" w:type="dxa"/>
        <w:left w:w="0" w:type="dxa"/>
        <w:bottom w:w="0" w:type="dxa"/>
        <w:right w:w="0" w:type="dxa"/>
      </w:tblCellMar>
    </w:tblPr>
  </w:style>
  <w:style w:type="paragraph" w:customStyle="1" w:styleId="346">
    <w:name w:val="列表段落1"/>
    <w:basedOn w:val="1"/>
    <w:qFormat/>
    <w:uiPriority w:val="0"/>
    <w:pPr>
      <w:widowControl/>
      <w:spacing w:before="100" w:beforeAutospacing="1" w:after="100" w:afterAutospacing="1"/>
      <w:ind w:left="720"/>
      <w:contextualSpacing/>
      <w:jc w:val="left"/>
    </w:pPr>
    <w:rPr>
      <w:sz w:val="24"/>
    </w:rPr>
  </w:style>
  <w:style w:type="character" w:customStyle="1" w:styleId="347">
    <w:name w:val="纯文本 字符"/>
    <w:link w:val="21"/>
    <w:qFormat/>
    <w:uiPriority w:val="99"/>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BDF17-C661-9941-8CD3-EE333CF06AC9}">
  <ds:schemaRefs/>
</ds:datastoreItem>
</file>

<file path=docProps/app.xml><?xml version="1.0" encoding="utf-8"?>
<Properties xmlns="http://schemas.openxmlformats.org/officeDocument/2006/extended-properties" xmlns:vt="http://schemas.openxmlformats.org/officeDocument/2006/docPropsVTypes">
  <Template>Normal</Template>
  <Pages>61</Pages>
  <Words>25592</Words>
  <Characters>26826</Characters>
  <TotalTime>0</TotalTime>
  <ScaleCrop>false</ScaleCrop>
  <LinksUpToDate>false</LinksUpToDate>
  <CharactersWithSpaces>27046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2025-03-14T02:23:00Z</dcterms:created>
  <dc:creator>lenovo</dc:creator>
  <cp:lastModifiedBy>湫</cp:lastModifiedBy>
  <cp:lastPrinted>2025-06-10T08:57:00Z</cp:lastPrinted>
  <dcterms:modified xsi:type="dcterms:W3CDTF">2025-06-16T06:30:02Z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eyJoZGlkIjoiYjUyNjBkZmE5MTk5ZjY3NDA1Yjk2ZjE5NGE5ODQ2NTEiLCJ1c2VySWQiOiI0MTc1OTk5MDkifQ==</vt:lpwstr>
  </property>
  <property fmtid="{D5CDD505-2E9C-101B-9397-08002B2CF9AE}" pid="3" name="KSOProductBuildVer">
    <vt:lpwstr>2052-12.1.0.21541</vt:lpwstr>
  </property>
  <property fmtid="{D5CDD505-2E9C-101B-9397-08002B2CF9AE}" pid="4" name="ICV">
    <vt:lpwstr>FB243BF7651D49E1A458C471E93CFE27_13</vt:lpwstr>
  </property>
</Properties>
</file>