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ind w:left="560"/>
        <w:rPr>
          <w:color w:val="auto"/>
        </w:rPr>
      </w:pPr>
    </w:p>
    <w:p>
      <w:pPr>
        <w:pStyle w:val="7"/>
        <w:ind w:firstLine="0"/>
        <w:rPr>
          <w:color w:val="auto"/>
        </w:rPr>
      </w:pPr>
    </w:p>
    <w:p>
      <w:pPr>
        <w:pStyle w:val="5"/>
        <w:rPr>
          <w:color w:val="auto"/>
        </w:rPr>
      </w:pPr>
    </w:p>
    <w:p>
      <w:pPr>
        <w:rPr>
          <w:color w:val="auto"/>
        </w:rPr>
      </w:pPr>
    </w:p>
    <w:p>
      <w:pPr>
        <w:pStyle w:val="7"/>
        <w:ind w:left="560"/>
        <w:rPr>
          <w:color w:val="auto"/>
        </w:rPr>
      </w:pPr>
    </w:p>
    <w:p>
      <w:pPr>
        <w:pStyle w:val="7"/>
        <w:ind w:left="560"/>
        <w:rPr>
          <w:color w:val="auto"/>
        </w:rPr>
      </w:pPr>
    </w:p>
    <w:p>
      <w:pPr>
        <w:adjustRightInd w:val="0"/>
        <w:snapToGrid w:val="0"/>
        <w:spacing w:line="1000" w:lineRule="exact"/>
        <w:jc w:val="center"/>
        <w:rPr>
          <w:rFonts w:cs="宋体" w:asciiTheme="majorEastAsia" w:hAnsiTheme="majorEastAsia" w:eastAsiaTheme="majorEastAsia"/>
          <w:bCs/>
          <w:color w:val="auto"/>
          <w:sz w:val="72"/>
          <w:szCs w:val="72"/>
        </w:rPr>
      </w:pPr>
      <w:r>
        <w:rPr>
          <w:rFonts w:hint="eastAsia" w:cs="宋体" w:asciiTheme="majorEastAsia" w:hAnsiTheme="majorEastAsia" w:eastAsiaTheme="majorEastAsia"/>
          <w:bCs/>
          <w:color w:val="auto"/>
          <w:sz w:val="72"/>
          <w:szCs w:val="72"/>
        </w:rPr>
        <w:t>常州市金坛区镇区交易</w:t>
      </w:r>
    </w:p>
    <w:p>
      <w:pPr>
        <w:adjustRightInd w:val="0"/>
        <w:snapToGrid w:val="0"/>
        <w:spacing w:line="700" w:lineRule="exact"/>
        <w:jc w:val="center"/>
        <w:rPr>
          <w:rFonts w:cs="宋体" w:asciiTheme="majorEastAsia" w:hAnsiTheme="majorEastAsia" w:eastAsiaTheme="majorEastAsia"/>
          <w:bCs/>
          <w:color w:val="auto"/>
          <w:sz w:val="44"/>
          <w:szCs w:val="44"/>
        </w:rPr>
      </w:pPr>
    </w:p>
    <w:p>
      <w:pPr>
        <w:adjustRightInd w:val="0"/>
        <w:snapToGrid w:val="0"/>
        <w:spacing w:line="600" w:lineRule="exact"/>
        <w:jc w:val="center"/>
        <w:rPr>
          <w:rFonts w:cs="宋体" w:asciiTheme="majorEastAsia" w:hAnsiTheme="majorEastAsia" w:eastAsiaTheme="majorEastAsia"/>
          <w:bCs/>
          <w:color w:val="auto"/>
          <w:sz w:val="44"/>
          <w:szCs w:val="44"/>
        </w:rPr>
      </w:pPr>
      <w:r>
        <w:rPr>
          <w:rFonts w:hint="eastAsia" w:cs="宋体" w:asciiTheme="majorEastAsia" w:hAnsiTheme="majorEastAsia" w:eastAsiaTheme="majorEastAsia"/>
          <w:bCs/>
          <w:color w:val="auto"/>
          <w:sz w:val="44"/>
          <w:szCs w:val="44"/>
        </w:rPr>
        <w:t>竞争性磋商文件</w:t>
      </w:r>
    </w:p>
    <w:p>
      <w:pPr>
        <w:spacing w:line="600" w:lineRule="exact"/>
        <w:jc w:val="center"/>
        <w:rPr>
          <w:rFonts w:cs="宋体" w:asciiTheme="majorEastAsia" w:hAnsiTheme="majorEastAsia" w:eastAsiaTheme="majorEastAsia"/>
          <w:color w:val="auto"/>
        </w:rPr>
      </w:pPr>
      <w:r>
        <w:rPr>
          <w:rFonts w:hint="eastAsia" w:cs="宋体" w:asciiTheme="majorEastAsia" w:hAnsiTheme="majorEastAsia" w:eastAsiaTheme="majorEastAsia"/>
          <w:color w:val="auto"/>
        </w:rPr>
        <w:t>（服务类）</w:t>
      </w:r>
    </w:p>
    <w:p>
      <w:pPr>
        <w:adjustRightInd w:val="0"/>
        <w:snapToGrid w:val="0"/>
        <w:spacing w:line="700" w:lineRule="exact"/>
        <w:rPr>
          <w:rFonts w:cs="宋体" w:asciiTheme="majorEastAsia" w:hAnsiTheme="majorEastAsia" w:eastAsiaTheme="majorEastAsia"/>
          <w:bCs/>
          <w:color w:val="auto"/>
          <w:sz w:val="30"/>
          <w:szCs w:val="30"/>
        </w:rPr>
      </w:pPr>
    </w:p>
    <w:p>
      <w:pPr>
        <w:adjustRightInd w:val="0"/>
        <w:snapToGrid w:val="0"/>
        <w:spacing w:line="700" w:lineRule="exact"/>
        <w:ind w:firstLine="840" w:firstLineChars="300"/>
        <w:rPr>
          <w:rFonts w:cs="宋体" w:asciiTheme="majorEastAsia" w:hAnsiTheme="majorEastAsia" w:eastAsiaTheme="majorEastAsia"/>
          <w:bCs/>
          <w:color w:val="auto"/>
          <w:szCs w:val="28"/>
        </w:rPr>
      </w:pPr>
    </w:p>
    <w:p>
      <w:pPr>
        <w:snapToGrid w:val="0"/>
        <w:spacing w:line="700" w:lineRule="exact"/>
        <w:rPr>
          <w:rFonts w:cs="宋体" w:asciiTheme="majorEastAsia" w:hAnsiTheme="majorEastAsia" w:eastAsiaTheme="majorEastAsia"/>
          <w:color w:val="auto"/>
          <w:szCs w:val="28"/>
        </w:rPr>
      </w:pPr>
    </w:p>
    <w:p>
      <w:pPr>
        <w:snapToGrid w:val="0"/>
        <w:spacing w:line="700" w:lineRule="exact"/>
        <w:jc w:val="center"/>
        <w:rPr>
          <w:rFonts w:cs="宋体" w:asciiTheme="majorEastAsia" w:hAnsiTheme="majorEastAsia" w:eastAsiaTheme="majorEastAsia"/>
          <w:color w:val="auto"/>
          <w:szCs w:val="28"/>
        </w:rPr>
      </w:pPr>
    </w:p>
    <w:p>
      <w:pPr>
        <w:adjustRightInd w:val="0"/>
        <w:snapToGrid w:val="0"/>
        <w:spacing w:line="700" w:lineRule="exact"/>
        <w:rPr>
          <w:rFonts w:cs="宋体" w:asciiTheme="majorEastAsia" w:hAnsiTheme="majorEastAsia" w:eastAsiaTheme="majorEastAsia"/>
          <w:bCs/>
          <w:color w:val="auto"/>
          <w:szCs w:val="28"/>
        </w:rPr>
      </w:pPr>
      <w:r>
        <w:rPr>
          <w:rFonts w:hint="eastAsia" w:cs="宋体" w:asciiTheme="majorEastAsia" w:hAnsiTheme="majorEastAsia" w:eastAsiaTheme="majorEastAsia"/>
          <w:bCs/>
          <w:color w:val="auto"/>
          <w:szCs w:val="28"/>
        </w:rPr>
        <w:t>项目编号：竞磋2022-011号</w:t>
      </w:r>
    </w:p>
    <w:p>
      <w:pPr>
        <w:adjustRightInd w:val="0"/>
        <w:snapToGrid w:val="0"/>
        <w:spacing w:line="700" w:lineRule="exact"/>
        <w:rPr>
          <w:rFonts w:cs="宋体" w:asciiTheme="majorEastAsia" w:hAnsiTheme="majorEastAsia" w:eastAsiaTheme="majorEastAsia"/>
          <w:bCs/>
          <w:color w:val="auto"/>
          <w:szCs w:val="28"/>
        </w:rPr>
      </w:pPr>
      <w:r>
        <w:rPr>
          <w:rFonts w:hint="eastAsia" w:cs="宋体" w:asciiTheme="majorEastAsia" w:hAnsiTheme="majorEastAsia" w:eastAsiaTheme="majorEastAsia"/>
          <w:bCs/>
          <w:color w:val="auto"/>
          <w:szCs w:val="28"/>
        </w:rPr>
        <w:t>项目名称：</w:t>
      </w:r>
      <w:r>
        <w:rPr>
          <w:rFonts w:hint="eastAsia" w:cs="宋体" w:asciiTheme="majorEastAsia" w:hAnsiTheme="majorEastAsia" w:eastAsiaTheme="majorEastAsia"/>
          <w:bCs/>
          <w:color w:val="auto"/>
          <w:sz w:val="24"/>
          <w:szCs w:val="24"/>
        </w:rPr>
        <w:t>常州市金坛区儒林镇村庄环境卫生长效管护项目（儒林村、南社村）</w:t>
      </w:r>
    </w:p>
    <w:p>
      <w:pPr>
        <w:adjustRightInd w:val="0"/>
        <w:snapToGrid w:val="0"/>
        <w:spacing w:line="700" w:lineRule="exact"/>
        <w:rPr>
          <w:rFonts w:cs="宋体" w:asciiTheme="majorEastAsia" w:hAnsiTheme="majorEastAsia" w:eastAsiaTheme="majorEastAsia"/>
          <w:bCs/>
          <w:color w:val="auto"/>
          <w:szCs w:val="28"/>
        </w:rPr>
      </w:pPr>
      <w:r>
        <w:rPr>
          <w:rFonts w:hint="eastAsia" w:cs="宋体" w:asciiTheme="majorEastAsia" w:hAnsiTheme="majorEastAsia" w:eastAsiaTheme="majorEastAsia"/>
          <w:bCs/>
          <w:color w:val="auto"/>
          <w:szCs w:val="28"/>
        </w:rPr>
        <w:t>采购人名称：</w:t>
      </w:r>
      <w:r>
        <w:rPr>
          <w:rFonts w:hint="eastAsia" w:cs="宋体" w:asciiTheme="majorEastAsia" w:hAnsiTheme="majorEastAsia" w:eastAsiaTheme="majorEastAsia"/>
          <w:bCs/>
          <w:color w:val="auto"/>
          <w:szCs w:val="28"/>
        </w:rPr>
        <w:t>常州市金坛区儒林镇儒林村村民委员会、常州市金坛区儒林镇南社村村民委员会</w:t>
      </w:r>
    </w:p>
    <w:p>
      <w:pPr>
        <w:adjustRightInd w:val="0"/>
        <w:snapToGrid w:val="0"/>
        <w:spacing w:line="700" w:lineRule="exact"/>
        <w:rPr>
          <w:rFonts w:cs="宋体" w:asciiTheme="majorEastAsia" w:hAnsiTheme="majorEastAsia" w:eastAsiaTheme="majorEastAsia"/>
          <w:bCs/>
          <w:color w:val="auto"/>
          <w:szCs w:val="28"/>
        </w:rPr>
      </w:pPr>
      <w:r>
        <w:rPr>
          <w:rFonts w:hint="eastAsia" w:cs="宋体" w:asciiTheme="majorEastAsia" w:hAnsiTheme="majorEastAsia" w:eastAsiaTheme="majorEastAsia"/>
          <w:bCs/>
          <w:color w:val="auto"/>
          <w:szCs w:val="28"/>
        </w:rPr>
        <w:t>采购代理机构：</w:t>
      </w:r>
      <w:r>
        <w:rPr>
          <w:rFonts w:cs="宋体" w:asciiTheme="majorEastAsia" w:hAnsiTheme="majorEastAsia" w:eastAsiaTheme="majorEastAsia"/>
          <w:bCs/>
          <w:color w:val="auto"/>
          <w:szCs w:val="28"/>
        </w:rPr>
        <w:t>江苏信达建设工程咨询有限公司</w:t>
      </w:r>
    </w:p>
    <w:p>
      <w:pPr>
        <w:adjustRightInd w:val="0"/>
        <w:snapToGrid w:val="0"/>
        <w:spacing w:line="700" w:lineRule="exact"/>
        <w:jc w:val="center"/>
        <w:rPr>
          <w:rFonts w:cs="宋体" w:asciiTheme="majorEastAsia" w:hAnsiTheme="majorEastAsia" w:eastAsiaTheme="majorEastAsia"/>
          <w:bCs/>
          <w:color w:val="auto"/>
          <w:sz w:val="32"/>
          <w:szCs w:val="32"/>
        </w:rPr>
      </w:pPr>
      <w:r>
        <w:rPr>
          <w:rFonts w:hint="eastAsia" w:cs="宋体" w:asciiTheme="majorEastAsia" w:hAnsiTheme="majorEastAsia" w:eastAsiaTheme="majorEastAsia"/>
          <w:bCs/>
          <w:color w:val="auto"/>
          <w:sz w:val="32"/>
          <w:szCs w:val="32"/>
          <w:lang w:eastAsia="zh-CN"/>
        </w:rPr>
        <w:t>2023年1月</w:t>
      </w:r>
      <w:r>
        <w:rPr>
          <w:rFonts w:hint="eastAsia" w:cs="宋体" w:asciiTheme="majorEastAsia" w:hAnsiTheme="majorEastAsia" w:eastAsiaTheme="majorEastAsia"/>
          <w:bCs/>
          <w:color w:val="auto"/>
          <w:sz w:val="32"/>
          <w:szCs w:val="32"/>
          <w:lang w:val="en-US" w:eastAsia="zh-CN"/>
        </w:rPr>
        <w:t>4</w:t>
      </w:r>
      <w:r>
        <w:rPr>
          <w:rFonts w:hint="eastAsia" w:cs="宋体" w:asciiTheme="majorEastAsia" w:hAnsiTheme="majorEastAsia" w:eastAsiaTheme="majorEastAsia"/>
          <w:bCs/>
          <w:color w:val="auto"/>
          <w:sz w:val="32"/>
          <w:szCs w:val="32"/>
        </w:rPr>
        <w:t>日</w:t>
      </w:r>
    </w:p>
    <w:p>
      <w:pPr>
        <w:spacing w:line="400" w:lineRule="exact"/>
        <w:rPr>
          <w:rFonts w:ascii="宋体" w:hAnsi="宋体" w:cs="宋体"/>
          <w:b/>
          <w:bCs/>
          <w:color w:val="auto"/>
          <w:sz w:val="32"/>
          <w:szCs w:val="32"/>
        </w:rPr>
      </w:pPr>
    </w:p>
    <w:p>
      <w:pPr>
        <w:rPr>
          <w:rFonts w:cs="宋体" w:asciiTheme="majorEastAsia" w:hAnsiTheme="majorEastAsia" w:eastAsiaTheme="majorEastAsia"/>
          <w:b/>
          <w:bCs/>
          <w:color w:val="auto"/>
          <w:szCs w:val="28"/>
        </w:rPr>
      </w:pPr>
      <w:r>
        <w:rPr>
          <w:rFonts w:hint="eastAsia" w:cs="宋体" w:asciiTheme="majorEastAsia" w:hAnsiTheme="majorEastAsia" w:eastAsiaTheme="majorEastAsia"/>
          <w:b/>
          <w:bCs/>
          <w:color w:val="auto"/>
          <w:szCs w:val="28"/>
        </w:rPr>
        <w:br w:type="page"/>
      </w:r>
    </w:p>
    <w:p>
      <w:pPr>
        <w:spacing w:line="400" w:lineRule="exact"/>
        <w:jc w:val="center"/>
        <w:outlineLvl w:val="0"/>
        <w:rPr>
          <w:rFonts w:ascii="宋体" w:hAnsi="宋体" w:cs="宋体"/>
          <w:b/>
          <w:bCs/>
          <w:color w:val="auto"/>
          <w:sz w:val="32"/>
          <w:szCs w:val="32"/>
        </w:rPr>
      </w:pPr>
      <w:bookmarkStart w:id="73" w:name="_GoBack"/>
      <w:bookmarkEnd w:id="73"/>
      <w:r>
        <w:rPr>
          <w:rFonts w:hint="eastAsia" w:ascii="宋体" w:hAnsi="宋体" w:cs="宋体"/>
          <w:b/>
          <w:bCs/>
          <w:color w:val="auto"/>
          <w:sz w:val="32"/>
          <w:szCs w:val="32"/>
        </w:rPr>
        <w:t>目  录</w:t>
      </w:r>
    </w:p>
    <w:p>
      <w:pPr>
        <w:spacing w:line="400" w:lineRule="exact"/>
        <w:rPr>
          <w:rFonts w:ascii="宋体" w:hAnsi="宋体" w:cs="宋体"/>
          <w:color w:val="auto"/>
          <w:sz w:val="21"/>
          <w:szCs w:val="21"/>
        </w:rPr>
      </w:pPr>
      <w:r>
        <w:rPr>
          <w:rFonts w:hint="eastAsia" w:ascii="宋体" w:hAnsi="宋体" w:cs="宋体"/>
          <w:color w:val="auto"/>
          <w:sz w:val="21"/>
          <w:szCs w:val="21"/>
        </w:rPr>
        <w:t>第一部分 采购邀请</w:t>
      </w:r>
    </w:p>
    <w:p>
      <w:pPr>
        <w:spacing w:line="400" w:lineRule="exact"/>
        <w:rPr>
          <w:rFonts w:ascii="宋体" w:hAnsi="宋体" w:cs="宋体"/>
          <w:color w:val="auto"/>
          <w:sz w:val="21"/>
          <w:szCs w:val="21"/>
        </w:rPr>
      </w:pPr>
      <w:r>
        <w:rPr>
          <w:rFonts w:hint="eastAsia" w:ascii="宋体" w:hAnsi="宋体" w:cs="宋体"/>
          <w:color w:val="auto"/>
          <w:sz w:val="21"/>
          <w:szCs w:val="21"/>
        </w:rPr>
        <w:t>第二部分 响应人须知前附表</w:t>
      </w:r>
    </w:p>
    <w:p>
      <w:pPr>
        <w:spacing w:line="400" w:lineRule="exact"/>
        <w:rPr>
          <w:rFonts w:ascii="宋体" w:hAnsi="宋体" w:cs="宋体"/>
          <w:color w:val="auto"/>
          <w:sz w:val="21"/>
          <w:szCs w:val="21"/>
        </w:rPr>
      </w:pPr>
      <w:r>
        <w:rPr>
          <w:rFonts w:hint="eastAsia" w:ascii="宋体" w:hAnsi="宋体" w:cs="宋体"/>
          <w:color w:val="auto"/>
          <w:sz w:val="21"/>
          <w:szCs w:val="21"/>
        </w:rPr>
        <w:t>第三部分 响应人须知</w:t>
      </w:r>
    </w:p>
    <w:p>
      <w:pPr>
        <w:spacing w:line="400" w:lineRule="exact"/>
        <w:rPr>
          <w:rFonts w:ascii="宋体" w:hAnsi="宋体" w:cs="宋体"/>
          <w:color w:val="auto"/>
          <w:sz w:val="21"/>
          <w:szCs w:val="21"/>
        </w:rPr>
      </w:pPr>
      <w:r>
        <w:rPr>
          <w:rFonts w:hint="eastAsia" w:ascii="宋体" w:hAnsi="宋体" w:cs="宋体"/>
          <w:color w:val="auto"/>
          <w:sz w:val="21"/>
          <w:szCs w:val="21"/>
        </w:rPr>
        <w:t>第四部分 采购需求</w:t>
      </w:r>
    </w:p>
    <w:p>
      <w:pPr>
        <w:spacing w:line="400" w:lineRule="exact"/>
        <w:rPr>
          <w:rFonts w:ascii="宋体" w:hAnsi="宋体" w:cs="宋体"/>
          <w:color w:val="auto"/>
          <w:sz w:val="21"/>
          <w:szCs w:val="21"/>
        </w:rPr>
      </w:pPr>
      <w:r>
        <w:rPr>
          <w:color w:val="auto"/>
        </w:rPr>
        <w:fldChar w:fldCharType="begin"/>
      </w:r>
      <w:r>
        <w:rPr>
          <w:color w:val="auto"/>
        </w:rPr>
        <w:instrText xml:space="preserve"> HYPERLINK \l "_Toc214163640" </w:instrText>
      </w:r>
      <w:r>
        <w:rPr>
          <w:color w:val="auto"/>
        </w:rPr>
        <w:fldChar w:fldCharType="separate"/>
      </w:r>
      <w:r>
        <w:rPr>
          <w:rFonts w:hint="eastAsia" w:ascii="宋体" w:hAnsi="宋体" w:cs="宋体"/>
          <w:color w:val="auto"/>
          <w:sz w:val="21"/>
          <w:szCs w:val="21"/>
        </w:rPr>
        <w:t>第五部分 评审办法和</w:t>
      </w:r>
      <w:r>
        <w:rPr>
          <w:rFonts w:hint="eastAsia" w:ascii="宋体" w:hAnsi="宋体" w:cs="宋体"/>
          <w:color w:val="auto"/>
          <w:sz w:val="21"/>
          <w:szCs w:val="21"/>
        </w:rPr>
        <w:fldChar w:fldCharType="end"/>
      </w:r>
      <w:r>
        <w:rPr>
          <w:rFonts w:hint="eastAsia" w:ascii="宋体" w:hAnsi="宋体" w:cs="宋体"/>
          <w:color w:val="auto"/>
          <w:sz w:val="21"/>
          <w:szCs w:val="21"/>
        </w:rPr>
        <w:t>评审标准</w:t>
      </w:r>
    </w:p>
    <w:p>
      <w:pPr>
        <w:spacing w:line="400" w:lineRule="exact"/>
        <w:rPr>
          <w:rStyle w:val="35"/>
          <w:rFonts w:ascii="宋体" w:hAnsi="宋体" w:cs="宋体"/>
          <w:color w:val="auto"/>
          <w:sz w:val="21"/>
          <w:szCs w:val="21"/>
        </w:rPr>
      </w:pPr>
      <w:r>
        <w:rPr>
          <w:rStyle w:val="35"/>
          <w:rFonts w:hint="eastAsia" w:ascii="宋体" w:hAnsi="宋体" w:cs="宋体"/>
          <w:color w:val="auto"/>
          <w:sz w:val="21"/>
          <w:szCs w:val="21"/>
        </w:rPr>
        <w:t>第六部分 合同条款</w:t>
      </w:r>
    </w:p>
    <w:p>
      <w:pPr>
        <w:spacing w:line="400" w:lineRule="exact"/>
        <w:rPr>
          <w:rFonts w:ascii="宋体" w:hAnsi="宋体" w:cs="宋体"/>
          <w:color w:val="auto"/>
          <w:sz w:val="21"/>
          <w:szCs w:val="21"/>
        </w:rPr>
      </w:pPr>
      <w:r>
        <w:rPr>
          <w:rFonts w:hint="eastAsia" w:ascii="宋体" w:hAnsi="宋体" w:cs="宋体"/>
          <w:color w:val="auto"/>
          <w:sz w:val="21"/>
          <w:szCs w:val="21"/>
        </w:rPr>
        <w:t>第七部分 响应文件格式</w:t>
      </w:r>
    </w:p>
    <w:p>
      <w:pPr>
        <w:spacing w:line="400" w:lineRule="exact"/>
        <w:rPr>
          <w:rFonts w:ascii="宋体" w:hAnsi="宋体" w:cs="宋体"/>
          <w:color w:val="auto"/>
          <w:sz w:val="21"/>
          <w:szCs w:val="21"/>
        </w:rPr>
      </w:pPr>
    </w:p>
    <w:p>
      <w:pPr>
        <w:spacing w:line="400" w:lineRule="exact"/>
        <w:rPr>
          <w:rFonts w:ascii="宋体" w:hAnsi="宋体" w:cs="宋体"/>
          <w:color w:val="auto"/>
          <w:sz w:val="21"/>
          <w:szCs w:val="21"/>
        </w:rPr>
      </w:pPr>
    </w:p>
    <w:p>
      <w:pPr>
        <w:spacing w:line="400" w:lineRule="exact"/>
        <w:rPr>
          <w:rFonts w:ascii="宋体" w:hAnsi="宋体" w:cs="宋体"/>
          <w:color w:val="auto"/>
          <w:sz w:val="21"/>
          <w:szCs w:val="21"/>
        </w:rPr>
      </w:pPr>
    </w:p>
    <w:p>
      <w:pPr>
        <w:spacing w:line="400" w:lineRule="exact"/>
        <w:rPr>
          <w:rFonts w:ascii="宋体" w:hAnsi="宋体" w:cs="宋体"/>
          <w:color w:val="auto"/>
          <w:sz w:val="21"/>
          <w:szCs w:val="21"/>
        </w:rPr>
      </w:pPr>
    </w:p>
    <w:p>
      <w:pPr>
        <w:spacing w:line="400" w:lineRule="exact"/>
        <w:rPr>
          <w:rFonts w:ascii="宋体" w:hAnsi="宋体" w:cs="宋体"/>
          <w:color w:val="auto"/>
          <w:sz w:val="21"/>
          <w:szCs w:val="21"/>
        </w:rPr>
      </w:pPr>
    </w:p>
    <w:p>
      <w:pPr>
        <w:spacing w:line="400" w:lineRule="exact"/>
        <w:rPr>
          <w:rFonts w:ascii="宋体" w:hAnsi="宋体" w:cs="宋体"/>
          <w:color w:val="auto"/>
          <w:sz w:val="21"/>
          <w:szCs w:val="21"/>
        </w:rPr>
      </w:pPr>
    </w:p>
    <w:p>
      <w:pPr>
        <w:spacing w:line="400" w:lineRule="exact"/>
        <w:jc w:val="left"/>
        <w:rPr>
          <w:rFonts w:ascii="宋体" w:hAnsi="宋体" w:cs="宋体"/>
          <w:b/>
          <w:bCs/>
          <w:color w:val="auto"/>
          <w:sz w:val="21"/>
          <w:szCs w:val="21"/>
        </w:rPr>
      </w:pPr>
    </w:p>
    <w:p>
      <w:pPr>
        <w:spacing w:line="400" w:lineRule="exact"/>
        <w:jc w:val="center"/>
        <w:rPr>
          <w:rFonts w:ascii="宋体" w:hAnsi="宋体" w:cs="宋体"/>
          <w:b/>
          <w:color w:val="auto"/>
          <w:sz w:val="21"/>
          <w:szCs w:val="21"/>
          <w:lang w:bidi="ar"/>
        </w:rPr>
      </w:pPr>
    </w:p>
    <w:p>
      <w:pPr>
        <w:spacing w:line="400" w:lineRule="exact"/>
        <w:jc w:val="center"/>
        <w:rPr>
          <w:rFonts w:ascii="宋体" w:hAnsi="宋体" w:cs="宋体"/>
          <w:b/>
          <w:color w:val="auto"/>
          <w:sz w:val="21"/>
          <w:szCs w:val="21"/>
          <w:lang w:bidi="ar"/>
        </w:rPr>
      </w:pPr>
    </w:p>
    <w:p>
      <w:pPr>
        <w:spacing w:line="400" w:lineRule="exact"/>
        <w:jc w:val="center"/>
        <w:rPr>
          <w:rFonts w:ascii="宋体" w:hAnsi="宋体" w:cs="宋体"/>
          <w:b/>
          <w:color w:val="auto"/>
          <w:sz w:val="21"/>
          <w:szCs w:val="21"/>
          <w:lang w:bidi="ar"/>
        </w:rPr>
      </w:pPr>
    </w:p>
    <w:p>
      <w:pPr>
        <w:spacing w:line="400" w:lineRule="exact"/>
        <w:jc w:val="center"/>
        <w:rPr>
          <w:rFonts w:ascii="宋体" w:hAnsi="宋体" w:cs="宋体"/>
          <w:b/>
          <w:color w:val="auto"/>
          <w:sz w:val="21"/>
          <w:szCs w:val="21"/>
          <w:lang w:bidi="ar"/>
        </w:rPr>
      </w:pPr>
    </w:p>
    <w:p>
      <w:pPr>
        <w:spacing w:line="400" w:lineRule="exact"/>
        <w:jc w:val="center"/>
        <w:rPr>
          <w:rFonts w:ascii="宋体" w:hAnsi="宋体" w:cs="宋体"/>
          <w:b/>
          <w:color w:val="auto"/>
          <w:sz w:val="21"/>
          <w:szCs w:val="21"/>
          <w:lang w:bidi="ar"/>
        </w:rPr>
      </w:pPr>
    </w:p>
    <w:p>
      <w:pPr>
        <w:rPr>
          <w:rFonts w:ascii="宋体" w:hAnsi="宋体" w:cs="宋体"/>
          <w:color w:val="auto"/>
          <w:sz w:val="21"/>
          <w:szCs w:val="21"/>
          <w:lang w:bidi="ar"/>
        </w:rPr>
      </w:pPr>
    </w:p>
    <w:p>
      <w:pPr>
        <w:rPr>
          <w:rFonts w:ascii="宋体" w:hAnsi="宋体" w:cs="宋体"/>
          <w:b/>
          <w:color w:val="auto"/>
          <w:sz w:val="21"/>
          <w:szCs w:val="21"/>
          <w:lang w:bidi="ar"/>
        </w:rPr>
      </w:pPr>
    </w:p>
    <w:p>
      <w:pPr>
        <w:rPr>
          <w:rFonts w:ascii="宋体" w:hAnsi="宋体" w:cs="宋体"/>
          <w:color w:val="auto"/>
          <w:sz w:val="21"/>
          <w:szCs w:val="21"/>
          <w:lang w:bidi="ar"/>
        </w:rPr>
      </w:pPr>
    </w:p>
    <w:p>
      <w:pPr>
        <w:rPr>
          <w:rFonts w:ascii="宋体" w:hAnsi="宋体" w:cs="宋体"/>
          <w:b/>
          <w:color w:val="auto"/>
          <w:sz w:val="21"/>
          <w:szCs w:val="21"/>
          <w:lang w:bidi="ar"/>
        </w:rPr>
      </w:pPr>
    </w:p>
    <w:p>
      <w:pPr>
        <w:spacing w:line="400" w:lineRule="exact"/>
        <w:rPr>
          <w:rFonts w:ascii="宋体" w:hAnsi="宋体" w:cs="宋体"/>
          <w:b/>
          <w:bCs/>
          <w:color w:val="auto"/>
          <w:sz w:val="32"/>
          <w:szCs w:val="32"/>
        </w:rPr>
      </w:pPr>
    </w:p>
    <w:p>
      <w:pPr>
        <w:widowControl/>
        <w:jc w:val="left"/>
        <w:rPr>
          <w:rFonts w:ascii="宋体" w:hAnsi="宋体" w:cs="宋体"/>
          <w:b/>
          <w:bCs/>
          <w:color w:val="auto"/>
          <w:sz w:val="32"/>
          <w:szCs w:val="32"/>
        </w:rPr>
      </w:pPr>
      <w:r>
        <w:rPr>
          <w:rFonts w:ascii="宋体" w:hAnsi="宋体" w:cs="宋体"/>
          <w:b/>
          <w:bCs/>
          <w:color w:val="auto"/>
          <w:sz w:val="32"/>
          <w:szCs w:val="32"/>
        </w:rPr>
        <w:br w:type="page"/>
      </w:r>
    </w:p>
    <w:p>
      <w:pPr>
        <w:spacing w:line="440" w:lineRule="exact"/>
        <w:jc w:val="center"/>
        <w:outlineLvl w:val="0"/>
        <w:rPr>
          <w:rFonts w:ascii="宋体" w:hAnsi="宋体" w:cs="宋体"/>
          <w:color w:val="auto"/>
          <w:sz w:val="21"/>
          <w:szCs w:val="21"/>
        </w:rPr>
      </w:pPr>
      <w:r>
        <w:rPr>
          <w:rFonts w:hint="eastAsia" w:ascii="宋体" w:hAnsi="宋体" w:cs="宋体"/>
          <w:b/>
          <w:bCs/>
          <w:color w:val="auto"/>
          <w:sz w:val="21"/>
          <w:szCs w:val="21"/>
        </w:rPr>
        <w:t>第一部分 采购邀请</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江苏信达建设工程咨询有限公司（以下简称代理机构）就以下所述项目相关服务进行竞争性磋商，邀请合格响应人密封响应。</w:t>
      </w:r>
    </w:p>
    <w:p>
      <w:pPr>
        <w:spacing w:line="440" w:lineRule="exact"/>
        <w:rPr>
          <w:rFonts w:ascii="宋体" w:hAnsi="宋体" w:cs="宋体"/>
          <w:color w:val="auto"/>
          <w:sz w:val="21"/>
          <w:szCs w:val="21"/>
        </w:rPr>
      </w:pPr>
      <w:r>
        <w:rPr>
          <w:rFonts w:hint="eastAsia" w:ascii="宋体" w:hAnsi="宋体" w:cs="宋体"/>
          <w:b/>
          <w:color w:val="auto"/>
          <w:sz w:val="21"/>
          <w:szCs w:val="21"/>
        </w:rPr>
        <w:t>一、项目名称：</w:t>
      </w:r>
      <w:bookmarkStart w:id="0" w:name="_Toc517793362"/>
      <w:r>
        <w:rPr>
          <w:rFonts w:hint="eastAsia" w:ascii="宋体" w:hAnsi="宋体" w:cs="宋体"/>
          <w:color w:val="auto"/>
          <w:sz w:val="21"/>
          <w:szCs w:val="21"/>
        </w:rPr>
        <w:t>常州市金坛区儒林镇村庄环境卫生长效管护项目（儒林村、南社村）</w:t>
      </w:r>
    </w:p>
    <w:p>
      <w:pPr>
        <w:spacing w:line="440" w:lineRule="exact"/>
        <w:rPr>
          <w:rFonts w:ascii="宋体" w:hAnsi="宋体" w:cs="宋体"/>
          <w:b/>
          <w:color w:val="auto"/>
          <w:sz w:val="21"/>
          <w:szCs w:val="21"/>
        </w:rPr>
      </w:pPr>
      <w:r>
        <w:rPr>
          <w:rFonts w:hint="eastAsia" w:ascii="宋体" w:hAnsi="宋体" w:cs="宋体"/>
          <w:b/>
          <w:color w:val="auto"/>
          <w:sz w:val="21"/>
          <w:szCs w:val="21"/>
        </w:rPr>
        <w:t>二、磋商内容：</w:t>
      </w:r>
    </w:p>
    <w:p>
      <w:pPr>
        <w:spacing w:line="440" w:lineRule="exact"/>
        <w:ind w:firstLine="420" w:firstLineChars="200"/>
        <w:rPr>
          <w:rFonts w:ascii="宋体" w:hAnsi="宋体" w:cs="宋体"/>
          <w:bCs/>
          <w:color w:val="auto"/>
          <w:sz w:val="21"/>
          <w:szCs w:val="21"/>
        </w:rPr>
      </w:pPr>
      <w:r>
        <w:rPr>
          <w:rFonts w:hint="eastAsia" w:ascii="宋体" w:hAnsi="宋体" w:cs="宋体"/>
          <w:bCs/>
          <w:color w:val="auto"/>
          <w:sz w:val="21"/>
          <w:szCs w:val="21"/>
        </w:rPr>
        <w:t>1.</w:t>
      </w:r>
      <w:r>
        <w:rPr>
          <w:rFonts w:hint="eastAsia" w:ascii="宋体" w:hAnsi="宋体" w:cs="宋体"/>
          <w:color w:val="auto"/>
          <w:sz w:val="21"/>
          <w:szCs w:val="21"/>
        </w:rPr>
        <w:t>本次磋商共计</w:t>
      </w:r>
      <w:r>
        <w:rPr>
          <w:rFonts w:hint="eastAsia" w:ascii="宋体" w:hAnsi="宋体" w:cs="宋体"/>
          <w:bCs/>
          <w:color w:val="auto"/>
          <w:kern w:val="20"/>
          <w:sz w:val="21"/>
          <w:szCs w:val="21"/>
          <w:u w:val="single"/>
        </w:rPr>
        <w:t xml:space="preserve"> 1 </w:t>
      </w:r>
      <w:r>
        <w:rPr>
          <w:rFonts w:hint="eastAsia" w:ascii="宋体" w:hAnsi="宋体" w:cs="宋体"/>
          <w:color w:val="auto"/>
          <w:sz w:val="21"/>
          <w:szCs w:val="21"/>
        </w:rPr>
        <w:t>包。</w:t>
      </w:r>
    </w:p>
    <w:p>
      <w:pPr>
        <w:widowControl/>
        <w:spacing w:line="440" w:lineRule="exact"/>
        <w:ind w:firstLine="420" w:firstLineChars="200"/>
        <w:jc w:val="left"/>
        <w:rPr>
          <w:rFonts w:ascii="宋体" w:hAnsi="宋体" w:cs="宋体"/>
          <w:color w:val="auto"/>
          <w:sz w:val="21"/>
          <w:szCs w:val="21"/>
        </w:rPr>
      </w:pPr>
      <w:r>
        <w:rPr>
          <w:rFonts w:hint="eastAsia" w:ascii="宋体" w:hAnsi="宋体" w:cs="宋体"/>
          <w:color w:val="auto"/>
          <w:sz w:val="21"/>
          <w:szCs w:val="21"/>
        </w:rPr>
        <w:t>2.采购需求：详见磋商文件 第四部分 采购需求；</w:t>
      </w:r>
    </w:p>
    <w:p>
      <w:pPr>
        <w:widowControl/>
        <w:spacing w:line="440" w:lineRule="exact"/>
        <w:ind w:firstLine="420" w:firstLineChars="200"/>
        <w:jc w:val="left"/>
        <w:rPr>
          <w:rFonts w:ascii="宋体" w:hAnsi="宋体" w:cs="宋体"/>
          <w:color w:val="auto"/>
          <w:sz w:val="21"/>
          <w:szCs w:val="21"/>
        </w:rPr>
      </w:pPr>
      <w:r>
        <w:rPr>
          <w:rFonts w:hint="eastAsia" w:ascii="宋体" w:hAnsi="宋体" w:cs="宋体"/>
          <w:color w:val="auto"/>
          <w:sz w:val="21"/>
          <w:szCs w:val="21"/>
        </w:rPr>
        <w:t>3.履约地点：常州市金坛区儒林镇</w:t>
      </w:r>
    </w:p>
    <w:p>
      <w:pPr>
        <w:widowControl/>
        <w:spacing w:line="440" w:lineRule="exact"/>
        <w:ind w:firstLine="420" w:firstLineChars="200"/>
        <w:jc w:val="left"/>
        <w:rPr>
          <w:rFonts w:ascii="宋体" w:hAnsi="宋体" w:cs="宋体"/>
          <w:color w:val="auto"/>
          <w:sz w:val="21"/>
          <w:szCs w:val="21"/>
        </w:rPr>
      </w:pPr>
      <w:r>
        <w:rPr>
          <w:rFonts w:hint="eastAsia" w:ascii="宋体" w:hAnsi="宋体" w:cs="宋体"/>
          <w:color w:val="auto"/>
          <w:sz w:val="21"/>
          <w:szCs w:val="21"/>
        </w:rPr>
        <w:t>4.合同履行期限：</w:t>
      </w:r>
      <w:r>
        <w:rPr>
          <w:rFonts w:hint="eastAsia" w:asciiTheme="majorEastAsia" w:hAnsiTheme="majorEastAsia" w:eastAsiaTheme="majorEastAsia"/>
          <w:bCs/>
          <w:color w:val="auto"/>
          <w:sz w:val="21"/>
          <w:szCs w:val="21"/>
        </w:rPr>
        <w:t>1年，本项目采用1+1+1模式，合同期满经考核合格可续签下一年合同，续签次数不得超过2次；</w:t>
      </w:r>
    </w:p>
    <w:p>
      <w:pPr>
        <w:widowControl/>
        <w:spacing w:line="440" w:lineRule="exact"/>
        <w:ind w:firstLine="420" w:firstLineChars="200"/>
        <w:jc w:val="left"/>
        <w:rPr>
          <w:rFonts w:ascii="宋体" w:hAnsi="宋体" w:cs="宋体"/>
          <w:color w:val="auto"/>
          <w:sz w:val="21"/>
          <w:szCs w:val="21"/>
        </w:rPr>
      </w:pPr>
      <w:r>
        <w:rPr>
          <w:rFonts w:hint="eastAsia" w:ascii="宋体" w:hAnsi="宋体" w:cs="宋体"/>
          <w:color w:val="auto"/>
          <w:sz w:val="21"/>
          <w:szCs w:val="21"/>
        </w:rPr>
        <w:t>5.质量标准：</w:t>
      </w:r>
      <w:r>
        <w:rPr>
          <w:rFonts w:hint="eastAsia"/>
          <w:color w:val="auto"/>
          <w:sz w:val="21"/>
          <w:szCs w:val="21"/>
          <w:lang w:bidi="ar"/>
        </w:rPr>
        <w:t>合格；满足金坛区农村环境卫生长效管理考核及城乡一体化考核标准，考核分每月不得低于95分；</w:t>
      </w:r>
    </w:p>
    <w:p>
      <w:pPr>
        <w:adjustRightInd w:val="0"/>
        <w:snapToGrid w:val="0"/>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6.项目预算金额：</w:t>
      </w:r>
      <w:r>
        <w:rPr>
          <w:rFonts w:hint="eastAsia" w:ascii="宋体" w:hAnsi="宋体" w:cs="宋体"/>
          <w:color w:val="auto"/>
          <w:sz w:val="21"/>
          <w:szCs w:val="21"/>
          <w:lang w:val="en-US" w:eastAsia="zh-CN"/>
        </w:rPr>
        <w:t>170</w:t>
      </w:r>
      <w:r>
        <w:rPr>
          <w:rFonts w:hint="eastAsia" w:ascii="宋体" w:hAnsi="宋体" w:cs="宋体"/>
          <w:color w:val="auto"/>
          <w:sz w:val="21"/>
          <w:szCs w:val="21"/>
        </w:rPr>
        <w:t>万元/年</w:t>
      </w:r>
    </w:p>
    <w:p>
      <w:pPr>
        <w:adjustRightInd w:val="0"/>
        <w:snapToGrid w:val="0"/>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7.控制价：169.75万元/年，投标报价超过控制价的作废标处理。</w:t>
      </w:r>
    </w:p>
    <w:p>
      <w:pPr>
        <w:spacing w:line="440" w:lineRule="exact"/>
        <w:rPr>
          <w:rFonts w:ascii="宋体" w:hAnsi="宋体" w:cs="宋体"/>
          <w:b/>
          <w:color w:val="auto"/>
          <w:sz w:val="21"/>
          <w:szCs w:val="21"/>
          <w:lang w:val="zh-CN"/>
        </w:rPr>
      </w:pPr>
      <w:r>
        <w:rPr>
          <w:rFonts w:hint="eastAsia" w:ascii="宋体" w:hAnsi="宋体" w:cs="宋体"/>
          <w:b/>
          <w:color w:val="auto"/>
          <w:sz w:val="21"/>
          <w:szCs w:val="21"/>
        </w:rPr>
        <w:t>四、</w:t>
      </w:r>
      <w:r>
        <w:rPr>
          <w:rFonts w:hint="eastAsia" w:ascii="宋体" w:hAnsi="宋体" w:cs="宋体"/>
          <w:b/>
          <w:color w:val="auto"/>
          <w:sz w:val="21"/>
          <w:szCs w:val="21"/>
          <w:lang w:val="zh-CN"/>
        </w:rPr>
        <w:t>响应人应具备的资格要求：</w:t>
      </w:r>
      <w:r>
        <w:rPr>
          <w:rFonts w:hint="eastAsia" w:ascii="宋体" w:hAnsi="宋体" w:cs="宋体"/>
          <w:bCs/>
          <w:color w:val="auto"/>
          <w:kern w:val="20"/>
          <w:sz w:val="21"/>
          <w:szCs w:val="21"/>
        </w:rPr>
        <w:t>详见采购公告</w:t>
      </w:r>
    </w:p>
    <w:p>
      <w:pPr>
        <w:spacing w:line="440" w:lineRule="exact"/>
        <w:rPr>
          <w:rFonts w:ascii="宋体" w:hAnsi="宋体" w:cs="宋体"/>
          <w:bCs/>
          <w:color w:val="auto"/>
          <w:sz w:val="21"/>
          <w:szCs w:val="21"/>
          <w:lang w:val="zh-CN"/>
        </w:rPr>
      </w:pPr>
      <w:r>
        <w:rPr>
          <w:rFonts w:hint="eastAsia" w:ascii="宋体" w:hAnsi="宋体" w:cs="宋体"/>
          <w:b/>
          <w:color w:val="auto"/>
          <w:sz w:val="21"/>
          <w:szCs w:val="21"/>
          <w:lang w:val="zh-CN"/>
        </w:rPr>
        <w:t>五、磋商文件领取时间、地点：</w:t>
      </w:r>
      <w:r>
        <w:rPr>
          <w:rFonts w:hint="eastAsia" w:ascii="宋体" w:hAnsi="宋体" w:cs="宋体"/>
          <w:bCs/>
          <w:color w:val="auto"/>
          <w:sz w:val="21"/>
          <w:szCs w:val="21"/>
          <w:lang w:val="zh-CN"/>
        </w:rPr>
        <w:t>详见采购公告</w:t>
      </w:r>
    </w:p>
    <w:p>
      <w:pPr>
        <w:numPr>
          <w:ilvl w:val="0"/>
          <w:numId w:val="1"/>
        </w:numPr>
        <w:spacing w:line="440" w:lineRule="exact"/>
        <w:rPr>
          <w:rFonts w:ascii="宋体" w:hAnsi="宋体" w:cs="宋体"/>
          <w:b/>
          <w:color w:val="auto"/>
          <w:sz w:val="21"/>
          <w:szCs w:val="21"/>
        </w:rPr>
      </w:pPr>
      <w:r>
        <w:rPr>
          <w:rFonts w:hint="eastAsia" w:ascii="宋体" w:hAnsi="宋体" w:cs="宋体"/>
          <w:b/>
          <w:color w:val="auto"/>
          <w:sz w:val="21"/>
          <w:szCs w:val="21"/>
          <w:lang w:val="zh-CN"/>
        </w:rPr>
        <w:t>响应文件的提交方式及注意事项</w:t>
      </w:r>
      <w:r>
        <w:rPr>
          <w:rFonts w:hint="eastAsia" w:ascii="宋体" w:hAnsi="宋体" w:cs="宋体"/>
          <w:b/>
          <w:color w:val="auto"/>
          <w:sz w:val="21"/>
          <w:szCs w:val="21"/>
        </w:rPr>
        <w:t xml:space="preserve">   </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本项目采用线下纸质响应材料进行响应。响应人必须按照磋商文件的时间和地点进行响应，否则响应将被拒绝。</w:t>
      </w:r>
    </w:p>
    <w:p>
      <w:pPr>
        <w:pStyle w:val="42"/>
        <w:snapToGrid w:val="0"/>
        <w:spacing w:before="0" w:after="0" w:line="440" w:lineRule="exact"/>
        <w:ind w:left="0" w:leftChars="0" w:firstLine="0" w:firstLineChars="0"/>
        <w:rPr>
          <w:rFonts w:ascii="宋体" w:hAnsi="宋体" w:cs="宋体"/>
          <w:b/>
          <w:color w:val="auto"/>
          <w:szCs w:val="21"/>
        </w:rPr>
      </w:pPr>
      <w:r>
        <w:rPr>
          <w:rFonts w:hint="eastAsia" w:ascii="宋体" w:hAnsi="宋体" w:cs="宋体"/>
          <w:b/>
          <w:color w:val="auto"/>
          <w:szCs w:val="21"/>
        </w:rPr>
        <w:t>七、提交响应文件开始时间、提交响应文件截止时间、磋商开始时间</w:t>
      </w:r>
    </w:p>
    <w:p>
      <w:pPr>
        <w:widowControl/>
        <w:snapToGrid w:val="0"/>
        <w:spacing w:line="440" w:lineRule="exact"/>
        <w:ind w:firstLine="420" w:firstLineChars="200"/>
        <w:rPr>
          <w:rFonts w:ascii="宋体" w:hAnsi="宋体" w:cs="宋体"/>
          <w:color w:val="auto"/>
          <w:kern w:val="20"/>
          <w:sz w:val="21"/>
          <w:szCs w:val="21"/>
          <w:lang w:val="zh-CN"/>
        </w:rPr>
      </w:pPr>
      <w:r>
        <w:rPr>
          <w:rFonts w:hint="eastAsia" w:ascii="宋体" w:hAnsi="宋体" w:cs="宋体"/>
          <w:color w:val="auto"/>
          <w:kern w:val="20"/>
          <w:sz w:val="21"/>
          <w:szCs w:val="21"/>
          <w:lang w:val="zh-CN"/>
        </w:rPr>
        <w:t>提交响应文件开始时间：</w:t>
      </w:r>
      <w:r>
        <w:rPr>
          <w:rFonts w:hint="eastAsia" w:ascii="宋体" w:hAnsi="宋体" w:cs="宋体"/>
          <w:color w:val="auto"/>
          <w:sz w:val="21"/>
          <w:szCs w:val="21"/>
          <w:lang w:eastAsia="zh-CN"/>
        </w:rPr>
        <w:t>2023年1月17日14点30分</w:t>
      </w:r>
      <w:r>
        <w:rPr>
          <w:rFonts w:hint="eastAsia" w:ascii="宋体" w:hAnsi="宋体" w:cs="宋体"/>
          <w:color w:val="auto"/>
          <w:sz w:val="21"/>
          <w:szCs w:val="21"/>
        </w:rPr>
        <w:t>（北京时间）</w:t>
      </w:r>
      <w:r>
        <w:rPr>
          <w:rFonts w:hint="eastAsia" w:ascii="宋体" w:hAnsi="宋体" w:cs="宋体"/>
          <w:color w:val="auto"/>
          <w:kern w:val="20"/>
          <w:sz w:val="21"/>
          <w:szCs w:val="21"/>
          <w:lang w:val="zh-CN"/>
        </w:rPr>
        <w:t>。</w:t>
      </w:r>
    </w:p>
    <w:p>
      <w:pPr>
        <w:widowControl/>
        <w:snapToGrid w:val="0"/>
        <w:spacing w:line="440" w:lineRule="exact"/>
        <w:ind w:firstLine="420" w:firstLineChars="200"/>
        <w:rPr>
          <w:rFonts w:ascii="宋体" w:hAnsi="宋体" w:cs="宋体"/>
          <w:color w:val="auto"/>
          <w:kern w:val="20"/>
          <w:sz w:val="21"/>
          <w:szCs w:val="21"/>
          <w:lang w:val="zh-CN"/>
        </w:rPr>
      </w:pPr>
      <w:r>
        <w:rPr>
          <w:rFonts w:hint="eastAsia" w:ascii="宋体" w:hAnsi="宋体" w:cs="宋体"/>
          <w:color w:val="auto"/>
          <w:kern w:val="20"/>
          <w:sz w:val="21"/>
          <w:szCs w:val="21"/>
          <w:lang w:val="zh-CN"/>
        </w:rPr>
        <w:t>提交响应文件截止时间、磋商开始时间：</w:t>
      </w:r>
      <w:r>
        <w:rPr>
          <w:rFonts w:hint="eastAsia" w:ascii="宋体" w:hAnsi="宋体" w:cs="宋体"/>
          <w:color w:val="auto"/>
          <w:sz w:val="21"/>
          <w:szCs w:val="21"/>
          <w:lang w:eastAsia="zh-CN"/>
        </w:rPr>
        <w:t>2023年1月17日14点30分</w:t>
      </w:r>
      <w:r>
        <w:rPr>
          <w:rFonts w:hint="eastAsia" w:ascii="宋体" w:hAnsi="宋体" w:cs="宋体"/>
          <w:color w:val="auto"/>
          <w:sz w:val="21"/>
          <w:szCs w:val="21"/>
        </w:rPr>
        <w:t>（北京时间）</w:t>
      </w:r>
      <w:r>
        <w:rPr>
          <w:rFonts w:hint="eastAsia" w:ascii="宋体" w:hAnsi="宋体" w:cs="宋体"/>
          <w:color w:val="auto"/>
          <w:kern w:val="20"/>
          <w:sz w:val="21"/>
          <w:szCs w:val="21"/>
          <w:lang w:val="zh-CN"/>
        </w:rPr>
        <w:t>。</w:t>
      </w:r>
    </w:p>
    <w:p>
      <w:pPr>
        <w:widowControl/>
        <w:snapToGrid w:val="0"/>
        <w:spacing w:line="440" w:lineRule="exact"/>
        <w:ind w:firstLine="420" w:firstLineChars="200"/>
        <w:rPr>
          <w:rFonts w:ascii="宋体" w:hAnsi="宋体" w:cs="宋体"/>
          <w:color w:val="auto"/>
          <w:kern w:val="20"/>
          <w:sz w:val="21"/>
          <w:szCs w:val="21"/>
          <w:lang w:val="zh-CN"/>
        </w:rPr>
      </w:pPr>
      <w:r>
        <w:rPr>
          <w:rFonts w:hint="eastAsia" w:ascii="宋体" w:hAnsi="宋体" w:cs="宋体"/>
          <w:color w:val="auto"/>
          <w:kern w:val="20"/>
          <w:sz w:val="21"/>
          <w:szCs w:val="21"/>
          <w:lang w:val="zh-CN"/>
        </w:rPr>
        <w:t>提交响应文件截止时间后再次提交的响应文件将被拒收，在规定时间内所提交的文件不符合相关规定要求的也将被拒收。</w:t>
      </w:r>
    </w:p>
    <w:p>
      <w:pPr>
        <w:pStyle w:val="42"/>
        <w:snapToGrid w:val="0"/>
        <w:spacing w:before="0" w:after="0" w:line="440" w:lineRule="exact"/>
        <w:ind w:left="0" w:leftChars="0" w:firstLine="0" w:firstLineChars="0"/>
        <w:rPr>
          <w:rFonts w:ascii="宋体" w:hAnsi="宋体" w:cs="宋体"/>
          <w:b/>
          <w:color w:val="auto"/>
          <w:szCs w:val="21"/>
        </w:rPr>
      </w:pPr>
      <w:r>
        <w:rPr>
          <w:rFonts w:hint="eastAsia" w:ascii="宋体" w:hAnsi="宋体" w:cs="宋体"/>
          <w:b/>
          <w:color w:val="auto"/>
          <w:szCs w:val="21"/>
        </w:rPr>
        <w:t>八、开标地点</w:t>
      </w:r>
    </w:p>
    <w:p>
      <w:pPr>
        <w:pStyle w:val="42"/>
        <w:snapToGrid w:val="0"/>
        <w:spacing w:before="0" w:after="0" w:line="440" w:lineRule="exact"/>
        <w:ind w:left="0" w:leftChars="0" w:firstLine="420"/>
        <w:rPr>
          <w:rFonts w:ascii="宋体" w:hAnsi="宋体" w:cs="宋体"/>
          <w:color w:val="auto"/>
          <w:kern w:val="20"/>
          <w:szCs w:val="21"/>
          <w:lang w:val="zh-CN"/>
        </w:rPr>
      </w:pPr>
      <w:r>
        <w:rPr>
          <w:rFonts w:hint="eastAsia" w:ascii="宋体" w:hAnsi="宋体" w:cs="宋体"/>
          <w:color w:val="auto"/>
          <w:szCs w:val="21"/>
        </w:rPr>
        <w:t>常州市金坛区金山路168号--</w:t>
      </w:r>
      <w:r>
        <w:rPr>
          <w:rFonts w:hint="eastAsia" w:ascii="宋体" w:hAnsi="宋体" w:cs="宋体"/>
          <w:color w:val="auto"/>
          <w:szCs w:val="21"/>
          <w:lang w:eastAsia="zh-CN"/>
        </w:rPr>
        <w:t>常州市金坛区市民中心C栋0503室</w:t>
      </w:r>
      <w:r>
        <w:rPr>
          <w:rFonts w:hint="eastAsia" w:ascii="宋体" w:hAnsi="宋体" w:cs="宋体"/>
          <w:color w:val="auto"/>
          <w:kern w:val="20"/>
          <w:szCs w:val="21"/>
          <w:lang w:val="zh-CN"/>
        </w:rPr>
        <w:t>。本项目采用线下</w:t>
      </w:r>
      <w:r>
        <w:rPr>
          <w:rFonts w:hint="eastAsia" w:ascii="宋体" w:hAnsi="宋体" w:cs="宋体"/>
          <w:color w:val="auto"/>
          <w:kern w:val="20"/>
          <w:szCs w:val="21"/>
        </w:rPr>
        <w:t>磋商</w:t>
      </w:r>
      <w:r>
        <w:rPr>
          <w:rFonts w:hint="eastAsia" w:ascii="宋体" w:hAnsi="宋体" w:cs="宋体"/>
          <w:color w:val="auto"/>
          <w:kern w:val="20"/>
          <w:szCs w:val="21"/>
          <w:lang w:val="zh-CN"/>
        </w:rPr>
        <w:t>，请符合</w:t>
      </w:r>
      <w:r>
        <w:rPr>
          <w:rFonts w:hint="eastAsia" w:ascii="宋体" w:hAnsi="宋体" w:cs="宋体"/>
          <w:color w:val="auto"/>
          <w:kern w:val="20"/>
          <w:szCs w:val="21"/>
        </w:rPr>
        <w:t>磋商</w:t>
      </w:r>
      <w:r>
        <w:rPr>
          <w:rFonts w:hint="eastAsia" w:ascii="宋体" w:hAnsi="宋体" w:cs="宋体"/>
          <w:color w:val="auto"/>
          <w:kern w:val="20"/>
          <w:szCs w:val="21"/>
          <w:lang w:val="zh-CN"/>
        </w:rPr>
        <w:t>条件的响应人应携带规定的材料于磋商开始前到</w:t>
      </w:r>
      <w:r>
        <w:rPr>
          <w:rFonts w:hint="eastAsia" w:ascii="宋体" w:hAnsi="宋体" w:cs="宋体"/>
          <w:color w:val="auto"/>
          <w:kern w:val="20"/>
          <w:szCs w:val="21"/>
        </w:rPr>
        <w:t>磋商</w:t>
      </w:r>
      <w:r>
        <w:rPr>
          <w:rFonts w:hint="eastAsia" w:ascii="宋体" w:hAnsi="宋体" w:cs="宋体"/>
          <w:color w:val="auto"/>
          <w:kern w:val="20"/>
          <w:szCs w:val="21"/>
          <w:lang w:val="zh-CN"/>
        </w:rPr>
        <w:t>地点，进行</w:t>
      </w:r>
      <w:r>
        <w:rPr>
          <w:rFonts w:hint="eastAsia" w:ascii="宋体" w:hAnsi="宋体" w:cs="宋体"/>
          <w:color w:val="auto"/>
          <w:kern w:val="20"/>
          <w:szCs w:val="21"/>
        </w:rPr>
        <w:t>磋商</w:t>
      </w:r>
      <w:r>
        <w:rPr>
          <w:rFonts w:hint="eastAsia" w:ascii="宋体" w:hAnsi="宋体" w:cs="宋体"/>
          <w:color w:val="auto"/>
          <w:kern w:val="20"/>
          <w:szCs w:val="21"/>
          <w:lang w:val="zh-CN"/>
        </w:rPr>
        <w:t>。</w:t>
      </w:r>
    </w:p>
    <w:p>
      <w:pPr>
        <w:pStyle w:val="42"/>
        <w:snapToGrid w:val="0"/>
        <w:spacing w:before="0" w:after="0" w:line="440" w:lineRule="exact"/>
        <w:ind w:left="0" w:leftChars="0" w:firstLine="0" w:firstLineChars="0"/>
        <w:rPr>
          <w:rFonts w:ascii="宋体" w:hAnsi="宋体" w:cs="宋体"/>
          <w:b/>
          <w:bCs/>
          <w:color w:val="auto"/>
          <w:kern w:val="20"/>
          <w:szCs w:val="21"/>
          <w:lang w:val="zh-CN"/>
        </w:rPr>
      </w:pPr>
      <w:r>
        <w:rPr>
          <w:rFonts w:hint="eastAsia" w:ascii="宋体" w:hAnsi="宋体" w:cs="宋体"/>
          <w:b/>
          <w:bCs/>
          <w:color w:val="auto"/>
          <w:kern w:val="20"/>
          <w:szCs w:val="21"/>
        </w:rPr>
        <w:t>九</w:t>
      </w:r>
      <w:r>
        <w:rPr>
          <w:rFonts w:hint="eastAsia" w:ascii="宋体" w:hAnsi="宋体" w:cs="宋体"/>
          <w:b/>
          <w:bCs/>
          <w:color w:val="auto"/>
          <w:kern w:val="20"/>
          <w:szCs w:val="21"/>
          <w:lang w:val="zh-CN"/>
        </w:rPr>
        <w:t>、本项目相关信息同时在“常州市公共资源交易中心金坛分中心”等媒体上发布。</w:t>
      </w:r>
    </w:p>
    <w:bookmarkEnd w:id="0"/>
    <w:p>
      <w:pPr>
        <w:spacing w:line="440" w:lineRule="exact"/>
        <w:ind w:firstLine="525" w:firstLineChars="250"/>
        <w:rPr>
          <w:rFonts w:ascii="宋体" w:hAnsi="宋体" w:cs="宋体"/>
          <w:color w:val="auto"/>
          <w:sz w:val="21"/>
          <w:szCs w:val="21"/>
        </w:rPr>
      </w:pPr>
      <w:r>
        <w:rPr>
          <w:rFonts w:hint="eastAsia" w:ascii="宋体" w:hAnsi="宋体" w:cs="宋体"/>
          <w:color w:val="auto"/>
          <w:sz w:val="21"/>
          <w:szCs w:val="21"/>
        </w:rPr>
        <w:t>采购人名称：</w:t>
      </w:r>
      <w:r>
        <w:rPr>
          <w:rFonts w:hint="eastAsia" w:ascii="宋体" w:hAnsi="宋体" w:cs="宋体"/>
          <w:color w:val="auto"/>
          <w:sz w:val="21"/>
          <w:szCs w:val="21"/>
        </w:rPr>
        <w:t>常州市金坛区儒林镇儒林村村民委员会、常州市金坛区儒林镇南社村村民委员会</w:t>
      </w:r>
    </w:p>
    <w:p>
      <w:pPr>
        <w:spacing w:line="440" w:lineRule="exact"/>
        <w:ind w:firstLine="525" w:firstLineChars="250"/>
        <w:rPr>
          <w:rFonts w:ascii="宋体" w:hAnsi="宋体" w:cs="宋体"/>
          <w:color w:val="auto"/>
          <w:sz w:val="21"/>
          <w:szCs w:val="21"/>
        </w:rPr>
      </w:pPr>
      <w:r>
        <w:rPr>
          <w:rFonts w:hint="eastAsia" w:ascii="宋体" w:hAnsi="宋体" w:cs="宋体"/>
          <w:color w:val="auto"/>
          <w:sz w:val="21"/>
          <w:szCs w:val="21"/>
        </w:rPr>
        <w:t>联系人：孙先生</w:t>
      </w:r>
    </w:p>
    <w:p>
      <w:pPr>
        <w:spacing w:line="440" w:lineRule="exact"/>
        <w:ind w:firstLine="525" w:firstLineChars="250"/>
        <w:rPr>
          <w:rFonts w:ascii="宋体" w:hAnsi="宋体" w:cs="宋体"/>
          <w:color w:val="auto"/>
          <w:sz w:val="21"/>
          <w:szCs w:val="21"/>
        </w:rPr>
      </w:pPr>
      <w:r>
        <w:rPr>
          <w:rFonts w:hint="eastAsia" w:ascii="宋体" w:hAnsi="宋体" w:cs="宋体"/>
          <w:color w:val="auto"/>
          <w:sz w:val="21"/>
          <w:szCs w:val="21"/>
        </w:rPr>
        <w:t xml:space="preserve">联系电话：18961265517  </w:t>
      </w:r>
    </w:p>
    <w:p>
      <w:pPr>
        <w:spacing w:line="440" w:lineRule="exact"/>
        <w:ind w:firstLine="525" w:firstLineChars="250"/>
        <w:rPr>
          <w:rFonts w:ascii="宋体" w:hAnsi="宋体" w:cs="宋体"/>
          <w:color w:val="auto"/>
          <w:sz w:val="21"/>
          <w:szCs w:val="21"/>
        </w:rPr>
      </w:pPr>
      <w:r>
        <w:rPr>
          <w:rFonts w:hint="eastAsia" w:ascii="宋体" w:hAnsi="宋体" w:cs="宋体"/>
          <w:color w:val="auto"/>
          <w:sz w:val="21"/>
          <w:szCs w:val="21"/>
        </w:rPr>
        <w:t>地址：常州市金坛区儒林镇</w:t>
      </w:r>
    </w:p>
    <w:p>
      <w:pPr>
        <w:spacing w:line="440" w:lineRule="exact"/>
        <w:ind w:firstLine="525" w:firstLineChars="250"/>
        <w:rPr>
          <w:rFonts w:ascii="宋体" w:hAnsi="宋体" w:cs="宋体"/>
          <w:color w:val="auto"/>
          <w:sz w:val="21"/>
          <w:szCs w:val="21"/>
        </w:rPr>
      </w:pPr>
      <w:r>
        <w:rPr>
          <w:rFonts w:hint="eastAsia" w:ascii="宋体" w:hAnsi="宋体" w:cs="宋体"/>
          <w:color w:val="auto"/>
          <w:sz w:val="21"/>
          <w:szCs w:val="21"/>
        </w:rPr>
        <w:t>采购代理机构名称：江苏信达建设工程咨询有限公司　　</w:t>
      </w:r>
    </w:p>
    <w:p>
      <w:pPr>
        <w:spacing w:line="440" w:lineRule="exact"/>
        <w:ind w:firstLine="525" w:firstLineChars="250"/>
        <w:rPr>
          <w:rFonts w:ascii="宋体" w:hAnsi="宋体" w:cs="宋体"/>
          <w:color w:val="auto"/>
          <w:sz w:val="21"/>
          <w:szCs w:val="21"/>
        </w:rPr>
      </w:pPr>
      <w:r>
        <w:rPr>
          <w:rFonts w:hint="eastAsia" w:ascii="宋体" w:hAnsi="宋体" w:cs="宋体"/>
          <w:color w:val="auto"/>
          <w:sz w:val="21"/>
          <w:szCs w:val="21"/>
        </w:rPr>
        <w:t>项目经办人：林女士</w:t>
      </w:r>
    </w:p>
    <w:p>
      <w:pPr>
        <w:spacing w:line="440" w:lineRule="exact"/>
        <w:ind w:firstLine="525" w:firstLineChars="250"/>
        <w:rPr>
          <w:rFonts w:ascii="宋体" w:hAnsi="宋体" w:cs="宋体"/>
          <w:color w:val="auto"/>
          <w:sz w:val="21"/>
          <w:szCs w:val="21"/>
        </w:rPr>
      </w:pPr>
      <w:r>
        <w:rPr>
          <w:rFonts w:hint="eastAsia" w:ascii="宋体" w:hAnsi="宋体" w:cs="宋体"/>
          <w:color w:val="auto"/>
          <w:sz w:val="21"/>
          <w:szCs w:val="21"/>
        </w:rPr>
        <w:t>联系电话：0519-82353405</w:t>
      </w:r>
    </w:p>
    <w:p>
      <w:pPr>
        <w:spacing w:line="440" w:lineRule="exact"/>
        <w:ind w:firstLine="525" w:firstLineChars="250"/>
        <w:rPr>
          <w:rFonts w:ascii="宋体" w:hAnsi="宋体" w:cs="宋体"/>
          <w:color w:val="auto"/>
          <w:sz w:val="21"/>
          <w:szCs w:val="21"/>
        </w:rPr>
      </w:pPr>
      <w:r>
        <w:rPr>
          <w:rFonts w:hint="eastAsia" w:ascii="宋体" w:hAnsi="宋体" w:cs="宋体"/>
          <w:color w:val="auto"/>
          <w:sz w:val="21"/>
          <w:szCs w:val="21"/>
        </w:rPr>
        <w:t xml:space="preserve">地址：常州市金坛区汇金路227号(筑立方大厦9楼) </w:t>
      </w:r>
    </w:p>
    <w:p>
      <w:pPr>
        <w:spacing w:line="440" w:lineRule="exact"/>
        <w:rPr>
          <w:rFonts w:ascii="宋体" w:hAnsi="宋体" w:cs="宋体"/>
          <w:b/>
          <w:snapToGrid w:val="0"/>
          <w:color w:val="auto"/>
          <w:spacing w:val="-6"/>
          <w:sz w:val="21"/>
          <w:szCs w:val="21"/>
        </w:rPr>
      </w:pPr>
      <w:r>
        <w:rPr>
          <w:rFonts w:hint="eastAsia" w:ascii="宋体" w:hAnsi="宋体" w:cs="宋体"/>
          <w:b/>
          <w:snapToGrid w:val="0"/>
          <w:color w:val="auto"/>
          <w:spacing w:val="-6"/>
          <w:sz w:val="21"/>
          <w:szCs w:val="21"/>
        </w:rPr>
        <w:br w:type="page"/>
      </w:r>
    </w:p>
    <w:p>
      <w:pPr>
        <w:pStyle w:val="3"/>
        <w:tabs>
          <w:tab w:val="left" w:pos="3097"/>
          <w:tab w:val="clear" w:pos="200"/>
        </w:tabs>
        <w:spacing w:line="400" w:lineRule="exact"/>
        <w:rPr>
          <w:rFonts w:hint="default" w:cs="宋体"/>
          <w:snapToGrid w:val="0"/>
          <w:color w:val="auto"/>
          <w:spacing w:val="-6"/>
          <w:sz w:val="32"/>
        </w:rPr>
      </w:pPr>
      <w:r>
        <w:rPr>
          <w:rFonts w:cs="宋体"/>
          <w:snapToGrid w:val="0"/>
          <w:color w:val="auto"/>
          <w:spacing w:val="-6"/>
          <w:sz w:val="32"/>
        </w:rPr>
        <w:t>第二部分  响应人须知前附表</w:t>
      </w:r>
    </w:p>
    <w:p>
      <w:pPr>
        <w:pStyle w:val="7"/>
        <w:ind w:left="560" w:firstLine="480"/>
        <w:rPr>
          <w:color w:val="auto"/>
        </w:rPr>
      </w:pPr>
    </w:p>
    <w:tbl>
      <w:tblPr>
        <w:tblStyle w:val="24"/>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315"/>
        <w:gridCol w:w="6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序号</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条款名称</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b/>
                <w:color w:val="auto"/>
                <w:sz w:val="21"/>
                <w:szCs w:val="21"/>
              </w:rPr>
            </w:pPr>
            <w:r>
              <w:rPr>
                <w:rFonts w:hint="eastAsia" w:cs="宋体" w:asciiTheme="majorEastAsia" w:hAnsiTheme="majorEastAsia" w:eastAsiaTheme="majorEastAsia"/>
                <w:b/>
                <w:color w:val="auto"/>
                <w:sz w:val="21"/>
                <w:szCs w:val="21"/>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采购人名称</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sz w:val="21"/>
                <w:szCs w:val="21"/>
              </w:rPr>
            </w:pPr>
            <w:r>
              <w:rPr>
                <w:rFonts w:hint="eastAsia" w:ascii="宋体" w:hAnsi="宋体" w:cs="宋体" w:eastAsiaTheme="majorEastAsia"/>
                <w:color w:val="auto"/>
                <w:sz w:val="21"/>
                <w:szCs w:val="21"/>
              </w:rPr>
              <w:t>常州市金坛区儒林镇儒林村村民委员会、常州市金坛区儒林镇南社村村民委员会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采购类型</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 w:val="21"/>
                <w:szCs w:val="21"/>
              </w:rPr>
            </w:pPr>
            <w:r>
              <w:rPr>
                <w:rFonts w:hint="eastAsia" w:ascii="宋体" w:hAnsi="宋体" w:cs="宋体"/>
                <w:color w:val="auto"/>
                <w:sz w:val="21"/>
                <w:szCs w:val="21"/>
              </w:rPr>
              <w:t>服务类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3</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0"/>
                <w:sz w:val="21"/>
                <w:szCs w:val="21"/>
              </w:rPr>
            </w:pPr>
            <w:r>
              <w:rPr>
                <w:rFonts w:hint="eastAsia" w:cs="宋体" w:asciiTheme="majorEastAsia" w:hAnsiTheme="majorEastAsia" w:eastAsiaTheme="majorEastAsia"/>
                <w:color w:val="auto"/>
                <w:kern w:val="0"/>
                <w:sz w:val="21"/>
                <w:szCs w:val="21"/>
              </w:rPr>
              <w:t>项目预算价</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heme="majorEastAsia" w:hAnsiTheme="majorEastAsia" w:eastAsiaTheme="majorEastAsia"/>
                <w:color w:val="auto"/>
                <w:sz w:val="21"/>
                <w:szCs w:val="21"/>
              </w:rPr>
            </w:pPr>
            <w:r>
              <w:rPr>
                <w:rFonts w:hint="eastAsia" w:ascii="宋体" w:hAnsi="宋体" w:cs="宋体"/>
                <w:color w:val="auto"/>
                <w:sz w:val="21"/>
                <w:szCs w:val="21"/>
              </w:rPr>
              <w:t>*本项目预算为</w:t>
            </w:r>
            <w:r>
              <w:rPr>
                <w:rFonts w:hint="eastAsia" w:ascii="宋体" w:hAnsi="宋体" w:cs="宋体"/>
                <w:color w:val="auto"/>
                <w:sz w:val="21"/>
                <w:szCs w:val="21"/>
                <w:lang w:val="en-US" w:eastAsia="zh-CN"/>
              </w:rPr>
              <w:t>170</w:t>
            </w:r>
            <w:r>
              <w:rPr>
                <w:rFonts w:hint="eastAsia" w:ascii="宋体" w:hAnsi="宋体" w:cs="宋体"/>
                <w:color w:val="auto"/>
                <w:sz w:val="21"/>
                <w:szCs w:val="21"/>
              </w:rPr>
              <w:t>万元/年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4</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0"/>
                <w:sz w:val="21"/>
                <w:szCs w:val="21"/>
              </w:rPr>
            </w:pPr>
            <w:r>
              <w:rPr>
                <w:rFonts w:hint="eastAsia" w:cs="宋体" w:asciiTheme="majorEastAsia" w:hAnsiTheme="majorEastAsia" w:eastAsiaTheme="majorEastAsia"/>
                <w:color w:val="auto"/>
                <w:kern w:val="0"/>
                <w:sz w:val="21"/>
                <w:szCs w:val="21"/>
              </w:rPr>
              <w:t>是否有最高限价</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 w:val="21"/>
                <w:szCs w:val="21"/>
              </w:rPr>
            </w:pPr>
            <w:r>
              <w:rPr>
                <w:rFonts w:hint="eastAsia" w:ascii="宋体" w:hAnsi="宋体" w:cs="宋体"/>
                <w:color w:val="auto"/>
                <w:sz w:val="21"/>
                <w:szCs w:val="21"/>
              </w:rPr>
              <w:t>*有</w:t>
            </w:r>
          </w:p>
          <w:p>
            <w:pPr>
              <w:adjustRightInd w:val="0"/>
              <w:snapToGrid w:val="0"/>
              <w:spacing w:line="400" w:lineRule="exact"/>
              <w:rPr>
                <w:rFonts w:asciiTheme="majorEastAsia" w:hAnsiTheme="majorEastAsia" w:eastAsiaTheme="majorEastAsia"/>
                <w:color w:val="auto"/>
                <w:sz w:val="21"/>
                <w:szCs w:val="21"/>
              </w:rPr>
            </w:pPr>
            <w:r>
              <w:rPr>
                <w:rFonts w:hint="eastAsia" w:ascii="宋体" w:hAnsi="宋体" w:cs="宋体"/>
                <w:color w:val="auto"/>
                <w:sz w:val="21"/>
                <w:szCs w:val="21"/>
              </w:rPr>
              <w:t>控制价：169.75万元/年，投标报价超过控制价的作废标处理。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5</w:t>
            </w:r>
          </w:p>
        </w:tc>
        <w:tc>
          <w:tcPr>
            <w:tcW w:w="2315"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响应人资质条件和应具备的特殊要求</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10" w:lineRule="exact"/>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*5.1响应人基本资格条件（承诺）</w:t>
            </w:r>
          </w:p>
          <w:p>
            <w:pPr>
              <w:spacing w:line="41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（1）我单位具有独立承担民事责任的能力；</w:t>
            </w:r>
          </w:p>
          <w:p>
            <w:pPr>
              <w:spacing w:line="41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（2）我单位具有良好的商业信誉和健全的财务会计制度；</w:t>
            </w:r>
          </w:p>
          <w:p>
            <w:pPr>
              <w:spacing w:line="41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（3）我单位具有履行合同所必需的设备和专业技术能力；</w:t>
            </w:r>
          </w:p>
          <w:p>
            <w:pPr>
              <w:spacing w:line="41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（4）我单位有依法缴纳税收和社会保障资金的良好记录；</w:t>
            </w:r>
          </w:p>
          <w:p>
            <w:pPr>
              <w:spacing w:line="41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（5）我单位参加本次采购活动前三年内，在经营活动中没有重大违法记录。（重大违法记录，是指响应人因违法经营受到刑事处罚或者责令停产停业、吊销许可证或者执照、较大数额罚款等行政处罚。）；</w:t>
            </w:r>
          </w:p>
          <w:p>
            <w:pPr>
              <w:spacing w:line="410" w:lineRule="exact"/>
              <w:ind w:firstLine="420" w:firstLineChars="200"/>
              <w:rPr>
                <w:rFonts w:asciiTheme="majorEastAsia" w:hAnsiTheme="majorEastAsia" w:eastAsiaTheme="majorEastAsia"/>
                <w:bCs/>
                <w:color w:val="auto"/>
                <w:sz w:val="21"/>
                <w:szCs w:val="21"/>
              </w:rPr>
            </w:pPr>
            <w:r>
              <w:rPr>
                <w:rFonts w:hint="eastAsia" w:asciiTheme="majorEastAsia" w:hAnsiTheme="majorEastAsia" w:eastAsiaTheme="majorEastAsia"/>
                <w:bCs/>
                <w:color w:val="auto"/>
                <w:sz w:val="21"/>
                <w:szCs w:val="21"/>
              </w:rPr>
              <w:t>（6）我单位不存在单位负责人为同一人或者存在直接控股、管理关系的不同供应商（包含法定代表人（负责人）为同一个人的两个及两个以上法人，母公司、全资子公司及其控股公司）的情况；</w:t>
            </w:r>
          </w:p>
          <w:p>
            <w:pPr>
              <w:spacing w:line="41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（7）我单位遵守法律、行政法规规定的其他条件。</w:t>
            </w:r>
          </w:p>
          <w:p>
            <w:pPr>
              <w:spacing w:line="40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注：较大数额罚款金额参照《中华人民共和国政府采购法实施条例》第十九条第一款规定的“较大数额罚款”认定为200万元（含）以上的罚款，法律、行政法规以及国务院有关部门明确规定相关领域“较大数额罚款”标准高于200万元的，从其规定，较大数额罚款金额认定参照《财政部关于《中华人民共和国政府采购法实施条例》第十九条第一款“较大数额罚款”具体适用问题的意见》财库【2022】3号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p>
        </w:tc>
        <w:tc>
          <w:tcPr>
            <w:tcW w:w="2315"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Theme="majorEastAsia" w:hAnsiTheme="majorEastAsia" w:eastAsiaTheme="majorEastAsia"/>
                <w:color w:val="auto"/>
                <w:sz w:val="21"/>
                <w:szCs w:val="21"/>
              </w:rPr>
            </w:pPr>
          </w:p>
        </w:tc>
        <w:tc>
          <w:tcPr>
            <w:tcW w:w="6077" w:type="dxa"/>
            <w:tcBorders>
              <w:top w:val="single" w:color="auto" w:sz="4" w:space="0"/>
              <w:left w:val="single" w:color="auto" w:sz="4" w:space="0"/>
              <w:bottom w:val="single" w:color="auto" w:sz="4" w:space="0"/>
              <w:right w:val="single" w:color="auto" w:sz="4" w:space="0"/>
            </w:tcBorders>
            <w:vAlign w:val="center"/>
          </w:tcPr>
          <w:p>
            <w:pPr>
              <w:spacing w:line="410" w:lineRule="exact"/>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5.2响应人应具备的特殊要求：详见竞争性磋商公告</w:t>
            </w:r>
          </w:p>
          <w:p>
            <w:pPr>
              <w:spacing w:line="400" w:lineRule="exact"/>
              <w:rPr>
                <w:rFonts w:ascii="宋体" w:hAnsi="宋体" w:cs="宋体"/>
                <w:color w:val="auto"/>
                <w:sz w:val="21"/>
                <w:szCs w:val="21"/>
              </w:rPr>
            </w:pPr>
            <w:r>
              <w:rPr>
                <w:rFonts w:hint="eastAsia" w:asciiTheme="majorEastAsia" w:hAnsiTheme="majorEastAsia" w:eastAsiaTheme="majorEastAsia"/>
                <w:color w:val="auto"/>
                <w:sz w:val="21"/>
                <w:szCs w:val="21"/>
              </w:rPr>
              <w:t>5.3信用记录查询材料：采购人通过“信用中国”网站查询，无需响应人另外提供。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6</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是否允许代理商投标</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7</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是否允许联合体投标</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8</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是否组织现场考察</w:t>
            </w:r>
          </w:p>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（标前答疑会）</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9</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构成磋商文件的其他材料</w:t>
            </w:r>
          </w:p>
        </w:tc>
        <w:tc>
          <w:tcPr>
            <w:tcW w:w="6077"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napToGrid w:val="0"/>
              <w:spacing w:before="0" w:beforeAutospacing="0" w:after="0" w:afterAutospacing="0" w:line="400" w:lineRule="exact"/>
              <w:jc w:val="center"/>
              <w:rPr>
                <w:rFonts w:asciiTheme="majorEastAsia" w:hAnsiTheme="majorEastAsia" w:eastAsiaTheme="majorEastAsia"/>
                <w:color w:val="auto"/>
                <w:sz w:val="21"/>
                <w:szCs w:val="21"/>
              </w:rPr>
            </w:pPr>
            <w:r>
              <w:rPr>
                <w:rFonts w:cs="宋体" w:asciiTheme="majorEastAsia" w:hAnsiTheme="majorEastAsia" w:eastAsiaTheme="majorEastAsia"/>
                <w:color w:val="auto"/>
                <w:sz w:val="21"/>
                <w:szCs w:val="21"/>
              </w:rPr>
              <w:t>磋商文件答疑纪要、澄清、更正、说明等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10</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sz w:val="21"/>
                <w:szCs w:val="21"/>
              </w:rPr>
            </w:pPr>
            <w:r>
              <w:rPr>
                <w:rFonts w:asciiTheme="majorEastAsia" w:hAnsiTheme="majorEastAsia" w:eastAsiaTheme="majorEastAsia"/>
                <w:color w:val="auto"/>
                <w:sz w:val="21"/>
                <w:szCs w:val="21"/>
              </w:rPr>
              <w:t>答疑截止时间</w:t>
            </w:r>
          </w:p>
        </w:tc>
        <w:tc>
          <w:tcPr>
            <w:tcW w:w="60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cs="宋体" w:asciiTheme="majorEastAsia" w:hAnsiTheme="majorEastAsia" w:eastAsiaTheme="majorEastAsia"/>
                <w:color w:val="auto"/>
                <w:sz w:val="21"/>
                <w:szCs w:val="21"/>
              </w:rPr>
            </w:pPr>
            <w:r>
              <w:rPr>
                <w:rFonts w:asciiTheme="majorEastAsia" w:hAnsiTheme="majorEastAsia" w:eastAsiaTheme="majorEastAsia"/>
                <w:color w:val="auto"/>
                <w:sz w:val="21"/>
                <w:szCs w:val="21"/>
              </w:rPr>
              <w:t>本项目不召开标前答疑会，</w:t>
            </w:r>
            <w:r>
              <w:rPr>
                <w:rFonts w:hint="eastAsia" w:asciiTheme="majorEastAsia" w:hAnsiTheme="majorEastAsia" w:eastAsiaTheme="majorEastAsia"/>
                <w:color w:val="auto"/>
                <w:sz w:val="21"/>
                <w:szCs w:val="21"/>
              </w:rPr>
              <w:t>响应人</w:t>
            </w:r>
            <w:r>
              <w:rPr>
                <w:rFonts w:asciiTheme="majorEastAsia" w:hAnsiTheme="majorEastAsia" w:eastAsiaTheme="majorEastAsia"/>
                <w:color w:val="auto"/>
                <w:sz w:val="21"/>
                <w:szCs w:val="21"/>
              </w:rPr>
              <w:t>如对</w:t>
            </w:r>
            <w:r>
              <w:rPr>
                <w:rFonts w:hint="eastAsia" w:asciiTheme="majorEastAsia" w:hAnsiTheme="majorEastAsia" w:eastAsiaTheme="majorEastAsia"/>
                <w:color w:val="auto"/>
                <w:sz w:val="21"/>
                <w:szCs w:val="21"/>
              </w:rPr>
              <w:t>磋商</w:t>
            </w:r>
            <w:r>
              <w:rPr>
                <w:rFonts w:asciiTheme="majorEastAsia" w:hAnsiTheme="majorEastAsia" w:eastAsiaTheme="majorEastAsia"/>
                <w:color w:val="auto"/>
                <w:sz w:val="21"/>
                <w:szCs w:val="21"/>
              </w:rPr>
              <w:t>文件有疑问，须在</w:t>
            </w:r>
            <w:r>
              <w:rPr>
                <w:rFonts w:hint="eastAsia" w:asciiTheme="majorEastAsia" w:hAnsiTheme="majorEastAsia" w:eastAsiaTheme="majorEastAsia"/>
                <w:color w:val="auto"/>
                <w:kern w:val="20"/>
                <w:sz w:val="21"/>
                <w:szCs w:val="21"/>
                <w:lang w:eastAsia="zh-CN"/>
              </w:rPr>
              <w:t>2023年1月</w:t>
            </w:r>
            <w:r>
              <w:rPr>
                <w:rFonts w:hint="eastAsia" w:asciiTheme="majorEastAsia" w:hAnsiTheme="majorEastAsia" w:eastAsiaTheme="majorEastAsia"/>
                <w:color w:val="auto"/>
                <w:kern w:val="20"/>
                <w:sz w:val="21"/>
                <w:szCs w:val="21"/>
                <w:lang w:val="en-US" w:eastAsia="zh-CN"/>
              </w:rPr>
              <w:t>11</w:t>
            </w:r>
            <w:r>
              <w:rPr>
                <w:rFonts w:asciiTheme="majorEastAsia" w:hAnsiTheme="majorEastAsia" w:eastAsiaTheme="majorEastAsia"/>
                <w:color w:val="auto"/>
                <w:kern w:val="20"/>
                <w:sz w:val="21"/>
                <w:szCs w:val="21"/>
                <w:lang w:val="zh-CN"/>
              </w:rPr>
              <w:t>日</w:t>
            </w:r>
            <w:r>
              <w:rPr>
                <w:rFonts w:hint="eastAsia" w:asciiTheme="majorEastAsia" w:hAnsiTheme="majorEastAsia" w:eastAsiaTheme="majorEastAsia"/>
                <w:color w:val="auto"/>
                <w:kern w:val="20"/>
                <w:sz w:val="21"/>
                <w:szCs w:val="21"/>
              </w:rPr>
              <w:t>上午11</w:t>
            </w:r>
            <w:r>
              <w:rPr>
                <w:rFonts w:asciiTheme="majorEastAsia" w:hAnsiTheme="majorEastAsia" w:eastAsiaTheme="majorEastAsia"/>
                <w:color w:val="auto"/>
                <w:kern w:val="20"/>
                <w:sz w:val="21"/>
                <w:szCs w:val="21"/>
              </w:rPr>
              <w:t>：</w:t>
            </w:r>
            <w:r>
              <w:rPr>
                <w:rFonts w:hint="eastAsia"/>
                <w:color w:val="auto"/>
              </w:rPr>
              <w:fldChar w:fldCharType="begin"/>
            </w:r>
            <w:r>
              <w:rPr>
                <w:color w:val="auto"/>
              </w:rPr>
              <w:instrText xml:space="preserve"> HYPERLINK "mailto:00前将相关疑问（格式详见磋商文件中" </w:instrText>
            </w:r>
            <w:r>
              <w:rPr>
                <w:rFonts w:hint="eastAsia"/>
                <w:color w:val="auto"/>
              </w:rPr>
              <w:fldChar w:fldCharType="separate"/>
            </w:r>
            <w:r>
              <w:rPr>
                <w:rStyle w:val="35"/>
                <w:rFonts w:asciiTheme="majorEastAsia" w:hAnsiTheme="majorEastAsia" w:eastAsiaTheme="majorEastAsia"/>
                <w:color w:val="auto"/>
                <w:kern w:val="20"/>
                <w:sz w:val="21"/>
                <w:szCs w:val="21"/>
              </w:rPr>
              <w:t>00</w:t>
            </w:r>
            <w:r>
              <w:rPr>
                <w:rStyle w:val="35"/>
                <w:rFonts w:asciiTheme="majorEastAsia" w:hAnsiTheme="majorEastAsia" w:eastAsiaTheme="majorEastAsia"/>
                <w:color w:val="auto"/>
                <w:kern w:val="20"/>
                <w:sz w:val="21"/>
                <w:szCs w:val="21"/>
                <w:lang w:val="zh-CN"/>
              </w:rPr>
              <w:t>前将相关疑问</w:t>
            </w:r>
            <w:r>
              <w:rPr>
                <w:rStyle w:val="35"/>
                <w:rFonts w:asciiTheme="majorEastAsia" w:hAnsiTheme="majorEastAsia" w:eastAsiaTheme="majorEastAsia"/>
                <w:color w:val="auto"/>
                <w:kern w:val="20"/>
                <w:sz w:val="21"/>
                <w:szCs w:val="21"/>
              </w:rPr>
              <w:t>（</w:t>
            </w:r>
            <w:r>
              <w:rPr>
                <w:rStyle w:val="35"/>
                <w:rFonts w:asciiTheme="majorEastAsia" w:hAnsiTheme="majorEastAsia" w:eastAsiaTheme="majorEastAsia"/>
                <w:color w:val="auto"/>
                <w:kern w:val="20"/>
                <w:sz w:val="21"/>
                <w:szCs w:val="21"/>
                <w:lang w:val="zh-CN"/>
              </w:rPr>
              <w:t>格式详见磋商文件中</w:t>
            </w:r>
            <w:r>
              <w:rPr>
                <w:rStyle w:val="35"/>
                <w:rFonts w:asciiTheme="majorEastAsia" w:hAnsiTheme="majorEastAsia" w:eastAsiaTheme="majorEastAsia"/>
                <w:color w:val="auto"/>
                <w:kern w:val="20"/>
                <w:sz w:val="21"/>
                <w:szCs w:val="21"/>
              </w:rPr>
              <w:t>“</w:t>
            </w:r>
            <w:r>
              <w:rPr>
                <w:rStyle w:val="35"/>
                <w:rFonts w:asciiTheme="majorEastAsia" w:hAnsiTheme="majorEastAsia" w:eastAsiaTheme="majorEastAsia"/>
                <w:color w:val="auto"/>
                <w:kern w:val="20"/>
                <w:sz w:val="21"/>
                <w:szCs w:val="21"/>
                <w:lang w:val="zh-CN"/>
              </w:rPr>
              <w:t>关于磋商文件的询问内容</w:t>
            </w:r>
            <w:r>
              <w:rPr>
                <w:rStyle w:val="35"/>
                <w:rFonts w:asciiTheme="majorEastAsia" w:hAnsiTheme="majorEastAsia" w:eastAsiaTheme="majorEastAsia"/>
                <w:color w:val="auto"/>
                <w:kern w:val="20"/>
                <w:sz w:val="21"/>
                <w:szCs w:val="21"/>
              </w:rPr>
              <w:t>”）</w:t>
            </w:r>
            <w:r>
              <w:rPr>
                <w:rStyle w:val="35"/>
                <w:rFonts w:asciiTheme="majorEastAsia" w:hAnsiTheme="majorEastAsia" w:eastAsiaTheme="majorEastAsia"/>
                <w:color w:val="auto"/>
                <w:kern w:val="20"/>
                <w:sz w:val="21"/>
                <w:szCs w:val="21"/>
                <w:lang w:val="zh-CN"/>
              </w:rPr>
              <w:t>发送至邮箱</w:t>
            </w:r>
            <w:r>
              <w:rPr>
                <w:rStyle w:val="35"/>
                <w:rFonts w:asciiTheme="majorEastAsia" w:hAnsiTheme="majorEastAsia" w:eastAsiaTheme="majorEastAsia"/>
                <w:color w:val="auto"/>
                <w:kern w:val="20"/>
                <w:sz w:val="21"/>
                <w:szCs w:val="21"/>
              </w:rPr>
              <w:t>（</w:t>
            </w:r>
            <w:r>
              <w:rPr>
                <w:rStyle w:val="35"/>
                <w:rFonts w:hint="eastAsia" w:asciiTheme="majorEastAsia" w:hAnsiTheme="majorEastAsia" w:eastAsiaTheme="majorEastAsia"/>
                <w:color w:val="auto"/>
                <w:kern w:val="20"/>
                <w:sz w:val="21"/>
                <w:szCs w:val="21"/>
              </w:rPr>
              <w:t>774551209</w:t>
            </w:r>
            <w:r>
              <w:rPr>
                <w:rStyle w:val="35"/>
                <w:rFonts w:asciiTheme="majorEastAsia" w:hAnsiTheme="majorEastAsia" w:eastAsiaTheme="majorEastAsia"/>
                <w:color w:val="auto"/>
                <w:kern w:val="20"/>
                <w:sz w:val="21"/>
                <w:szCs w:val="21"/>
              </w:rPr>
              <w:t>@qq.com）</w:t>
            </w:r>
            <w:r>
              <w:rPr>
                <w:rStyle w:val="35"/>
                <w:rFonts w:asciiTheme="majorEastAsia" w:hAnsiTheme="majorEastAsia" w:eastAsiaTheme="majorEastAsia"/>
                <w:color w:val="auto"/>
                <w:kern w:val="20"/>
                <w:sz w:val="21"/>
                <w:szCs w:val="21"/>
                <w:lang w:val="zh-CN"/>
              </w:rPr>
              <w:t>进行咨询</w:t>
            </w:r>
            <w:r>
              <w:rPr>
                <w:rStyle w:val="35"/>
                <w:rFonts w:asciiTheme="majorEastAsia" w:hAnsiTheme="majorEastAsia" w:eastAsiaTheme="majorEastAsia"/>
                <w:color w:val="auto"/>
                <w:kern w:val="20"/>
                <w:sz w:val="21"/>
                <w:szCs w:val="21"/>
              </w:rPr>
              <w:t>，</w:t>
            </w:r>
            <w:r>
              <w:rPr>
                <w:rStyle w:val="35"/>
                <w:rFonts w:asciiTheme="majorEastAsia" w:hAnsiTheme="majorEastAsia" w:eastAsiaTheme="majorEastAsia"/>
                <w:color w:val="auto"/>
                <w:kern w:val="20"/>
                <w:sz w:val="21"/>
                <w:szCs w:val="21"/>
                <w:lang w:val="zh-CN"/>
              </w:rPr>
              <w:t>如口头可解释的问题亦可电话咨询采购</w:t>
            </w:r>
            <w:r>
              <w:rPr>
                <w:rStyle w:val="35"/>
                <w:rFonts w:hint="eastAsia" w:asciiTheme="majorEastAsia" w:hAnsiTheme="majorEastAsia" w:eastAsiaTheme="majorEastAsia"/>
                <w:color w:val="auto"/>
                <w:kern w:val="20"/>
                <w:sz w:val="21"/>
                <w:szCs w:val="21"/>
                <w:lang w:val="zh-CN"/>
              </w:rPr>
              <w:t>代理</w:t>
            </w:r>
            <w:r>
              <w:rPr>
                <w:rStyle w:val="35"/>
                <w:rFonts w:asciiTheme="majorEastAsia" w:hAnsiTheme="majorEastAsia" w:eastAsiaTheme="majorEastAsia"/>
                <w:color w:val="auto"/>
                <w:kern w:val="20"/>
                <w:sz w:val="21"/>
                <w:szCs w:val="21"/>
                <w:lang w:val="zh-CN"/>
              </w:rPr>
              <w:t>机构。未提出疑问将被视为完全认同磋商文件，逾期将不接受其对于磋商文件的相关异议。</w:t>
            </w:r>
            <w:r>
              <w:rPr>
                <w:rStyle w:val="35"/>
                <w:rFonts w:hint="eastAsia" w:asciiTheme="majorEastAsia" w:hAnsiTheme="majorEastAsia" w:eastAsiaTheme="majorEastAsia"/>
                <w:color w:val="auto"/>
                <w:kern w:val="20"/>
                <w:sz w:val="21"/>
                <w:szCs w:val="21"/>
                <w:lang w:val="zh-CN"/>
              </w:rPr>
              <w:t>采购人收到质疑后于2023年1月</w:t>
            </w:r>
            <w:r>
              <w:rPr>
                <w:rStyle w:val="35"/>
                <w:rFonts w:hint="eastAsia" w:asciiTheme="majorEastAsia" w:hAnsiTheme="majorEastAsia" w:eastAsiaTheme="majorEastAsia"/>
                <w:color w:val="auto"/>
                <w:kern w:val="20"/>
                <w:sz w:val="21"/>
                <w:szCs w:val="21"/>
                <w:lang w:val="zh-CN"/>
              </w:rPr>
              <w:fldChar w:fldCharType="end"/>
            </w:r>
            <w:r>
              <w:rPr>
                <w:rFonts w:hint="eastAsia" w:asciiTheme="majorEastAsia" w:hAnsiTheme="majorEastAsia" w:eastAsiaTheme="majorEastAsia"/>
                <w:color w:val="auto"/>
                <w:kern w:val="20"/>
                <w:sz w:val="21"/>
                <w:szCs w:val="21"/>
                <w:lang w:val="en-US" w:eastAsia="zh-CN"/>
              </w:rPr>
              <w:t>12</w:t>
            </w:r>
            <w:r>
              <w:rPr>
                <w:rFonts w:hint="eastAsia" w:asciiTheme="majorEastAsia" w:hAnsiTheme="majorEastAsia" w:eastAsiaTheme="majorEastAsia"/>
                <w:color w:val="auto"/>
                <w:kern w:val="20"/>
                <w:sz w:val="21"/>
                <w:szCs w:val="21"/>
                <w:lang w:val="zh-CN"/>
              </w:rPr>
              <w:t>日</w:t>
            </w:r>
            <w:r>
              <w:rPr>
                <w:rFonts w:hint="eastAsia" w:asciiTheme="majorEastAsia" w:hAnsiTheme="majorEastAsia" w:eastAsiaTheme="majorEastAsia"/>
                <w:color w:val="auto"/>
                <w:kern w:val="20"/>
                <w:sz w:val="21"/>
                <w:szCs w:val="21"/>
              </w:rPr>
              <w:t>下午17</w:t>
            </w:r>
            <w:r>
              <w:rPr>
                <w:rFonts w:hint="eastAsia" w:asciiTheme="majorEastAsia" w:hAnsiTheme="majorEastAsia" w:eastAsiaTheme="majorEastAsia"/>
                <w:color w:val="auto"/>
                <w:kern w:val="20"/>
                <w:sz w:val="21"/>
                <w:szCs w:val="21"/>
                <w:lang w:val="zh-CN"/>
              </w:rPr>
              <w:t>:00前予以答复。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11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采购人对磋商文件澄清、修改时间</w:t>
            </w:r>
          </w:p>
        </w:tc>
        <w:tc>
          <w:tcPr>
            <w:tcW w:w="6077"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napToGrid w:val="0"/>
              <w:spacing w:before="0" w:beforeAutospacing="0" w:after="0" w:afterAutospacing="0" w:line="400" w:lineRule="exact"/>
              <w:jc w:val="center"/>
              <w:rPr>
                <w:rFonts w:asciiTheme="majorEastAsia" w:hAnsiTheme="majorEastAsia" w:eastAsiaTheme="majorEastAsia"/>
                <w:color w:val="auto"/>
                <w:sz w:val="21"/>
                <w:szCs w:val="21"/>
              </w:rPr>
            </w:pPr>
            <w:r>
              <w:rPr>
                <w:rFonts w:hint="eastAsia" w:ascii="宋体" w:hAnsi="宋体" w:eastAsia="宋体" w:cs="宋体"/>
                <w:color w:val="auto"/>
                <w:sz w:val="21"/>
                <w:szCs w:val="21"/>
                <w:lang w:eastAsia="zh-CN"/>
              </w:rPr>
              <w:t>2023年1月</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日</w:t>
            </w:r>
            <w:r>
              <w:rPr>
                <w:rFonts w:ascii="宋体" w:hAnsi="宋体" w:eastAsia="宋体" w:cs="宋体"/>
                <w:color w:val="auto"/>
                <w:sz w:val="21"/>
                <w:szCs w:val="21"/>
              </w:rPr>
              <w:t>至响应文件接收截止之日5日前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12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采购人对磋商文件澄清方式</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rPr>
            </w:pPr>
            <w:r>
              <w:rPr>
                <w:rFonts w:hint="eastAsia" w:ascii="宋体" w:hAnsi="宋体" w:cs="宋体"/>
                <w:color w:val="auto"/>
                <w:sz w:val="21"/>
                <w:szCs w:val="21"/>
              </w:rPr>
              <w:t>在常州市公共资源交易中心金坛分中心（http://ggzy.xzsp.changzhou.gov.cn/jtfzx/jyxx/secondPage.html）等媒体上以澄清公告的形式公告。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13</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响应文件递交方式</w:t>
            </w:r>
          </w:p>
        </w:tc>
        <w:tc>
          <w:tcPr>
            <w:tcW w:w="6077" w:type="dxa"/>
            <w:tcBorders>
              <w:top w:val="single" w:color="auto" w:sz="4" w:space="0"/>
              <w:left w:val="single" w:color="auto" w:sz="4" w:space="0"/>
              <w:bottom w:val="single" w:color="auto" w:sz="4" w:space="0"/>
              <w:right w:val="single" w:color="auto" w:sz="4" w:space="0"/>
            </w:tcBorders>
            <w:vAlign w:val="center"/>
          </w:tcPr>
          <w:p>
            <w:pPr>
              <w:pStyle w:val="21"/>
              <w:widowControl w:val="0"/>
              <w:snapToGrid w:val="0"/>
              <w:spacing w:before="0" w:beforeAutospacing="0" w:after="0" w:afterAutospacing="0" w:line="400" w:lineRule="exact"/>
              <w:jc w:val="both"/>
              <w:rPr>
                <w:rFonts w:asciiTheme="majorEastAsia" w:hAnsiTheme="majorEastAsia" w:eastAsiaTheme="majorEastAsia"/>
                <w:color w:val="auto"/>
                <w:sz w:val="21"/>
                <w:szCs w:val="21"/>
              </w:rPr>
            </w:pPr>
            <w:r>
              <w:rPr>
                <w:rFonts w:cs="宋体" w:asciiTheme="majorEastAsia" w:hAnsiTheme="majorEastAsia" w:eastAsiaTheme="majorEastAsia"/>
                <w:color w:val="auto"/>
                <w:kern w:val="20"/>
                <w:sz w:val="21"/>
                <w:szCs w:val="21"/>
              </w:rPr>
              <w:t>*</w:t>
            </w:r>
            <w:r>
              <w:rPr>
                <w:rFonts w:hint="eastAsia" w:cs="宋体" w:asciiTheme="majorEastAsia" w:hAnsiTheme="majorEastAsia" w:eastAsiaTheme="majorEastAsia"/>
                <w:color w:val="auto"/>
                <w:kern w:val="20"/>
                <w:sz w:val="21"/>
                <w:szCs w:val="21"/>
              </w:rPr>
              <w:t>本项目采用线下磋商，请符合磋商条件的响应人携带规定的材料于磋商开始前到磋商地点，进行磋商。</w:t>
            </w:r>
            <w:r>
              <w:rPr>
                <w:rFonts w:cs="宋体" w:asciiTheme="majorEastAsia" w:hAnsiTheme="majorEastAsia" w:eastAsiaTheme="majorEastAsia"/>
                <w:color w:val="auto"/>
                <w:sz w:val="21"/>
                <w:szCs w:val="21"/>
              </w:rPr>
              <w:t>除上述方式之外，不接受响应人以邮箱、快递及其他任何方式提交的响应文件。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14</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响应文件份数</w:t>
            </w:r>
          </w:p>
          <w:p>
            <w:pPr>
              <w:spacing w:line="400" w:lineRule="exact"/>
              <w:jc w:val="center"/>
              <w:rPr>
                <w:rFonts w:cs="宋体" w:asciiTheme="majorEastAsia" w:hAnsiTheme="majorEastAsia" w:eastAsiaTheme="majorEastAsia"/>
                <w:color w:val="auto"/>
                <w:sz w:val="21"/>
                <w:szCs w:val="21"/>
              </w:rPr>
            </w:pP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rPr>
                <w:rFonts w:cs="宋体" w:asciiTheme="majorEastAsia" w:hAnsiTheme="majorEastAsia" w:eastAsiaTheme="majorEastAsia"/>
                <w:color w:val="auto"/>
                <w:sz w:val="21"/>
                <w:szCs w:val="21"/>
              </w:rPr>
            </w:pPr>
            <w:r>
              <w:rPr>
                <w:rFonts w:asciiTheme="majorEastAsia" w:hAnsiTheme="majorEastAsia" w:eastAsiaTheme="majorEastAsia"/>
                <w:color w:val="auto"/>
                <w:sz w:val="21"/>
                <w:szCs w:val="21"/>
              </w:rPr>
              <w:t>*14.1</w:t>
            </w:r>
            <w:r>
              <w:rPr>
                <w:rFonts w:hint="eastAsia" w:cs="宋体" w:asciiTheme="majorEastAsia" w:hAnsiTheme="majorEastAsia" w:eastAsiaTheme="majorEastAsia"/>
                <w:color w:val="auto"/>
                <w:sz w:val="21"/>
                <w:szCs w:val="21"/>
              </w:rPr>
              <w:t>响应文件一式三份，一份正本、二份副本；正本和副本必须分开装订，用封套分别加以密封。</w:t>
            </w:r>
          </w:p>
          <w:p>
            <w:pPr>
              <w:spacing w:line="400" w:lineRule="exact"/>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14.2</w:t>
            </w:r>
            <w:r>
              <w:rPr>
                <w:rFonts w:hint="eastAsia" w:cs="宋体" w:asciiTheme="majorEastAsia" w:hAnsiTheme="majorEastAsia" w:eastAsiaTheme="majorEastAsia"/>
                <w:color w:val="auto"/>
                <w:sz w:val="21"/>
                <w:szCs w:val="21"/>
              </w:rPr>
              <w:t>响应文件的装订必须采用胶装或线装两种方式之一，不得采用活页装订等方式，否则，其响应将被拒绝。</w:t>
            </w:r>
          </w:p>
          <w:p>
            <w:pPr>
              <w:spacing w:line="400" w:lineRule="exact"/>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注：以上材料未按要求提供的，资料不全或不符合要求的作无效报价文件处理。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15</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是否允许响应人将项目非主体、非关键性工作交由他人完成</w:t>
            </w:r>
          </w:p>
        </w:tc>
        <w:tc>
          <w:tcPr>
            <w:tcW w:w="60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asciiTheme="majorEastAsia" w:hAnsiTheme="majorEastAsia" w:eastAsiaTheme="majorEastAsia"/>
                <w:color w:val="auto"/>
                <w:kern w:val="20"/>
                <w:sz w:val="21"/>
                <w:szCs w:val="21"/>
                <w:u w:val="single"/>
              </w:rPr>
            </w:pPr>
            <w:r>
              <w:rPr>
                <w:rFonts w:hint="eastAsia" w:cs="宋体" w:asciiTheme="majorEastAsia" w:hAnsiTheme="majorEastAsia" w:eastAsiaTheme="majorEastAsia"/>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16</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磋商报价次数</w:t>
            </w:r>
          </w:p>
        </w:tc>
        <w:tc>
          <w:tcPr>
            <w:tcW w:w="60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Theme="majorEastAsia" w:hAnsiTheme="majorEastAsia" w:eastAsiaTheme="majorEastAsia"/>
                <w:color w:val="auto"/>
                <w:sz w:val="21"/>
                <w:szCs w:val="21"/>
              </w:rPr>
            </w:pPr>
            <w:r>
              <w:rPr>
                <w:rFonts w:hint="eastAsia" w:cs="微软雅黑" w:asciiTheme="majorEastAsia" w:hAnsiTheme="majorEastAsia" w:eastAsiaTheme="majorEastAsia"/>
                <w:color w:val="auto"/>
                <w:sz w:val="21"/>
                <w:szCs w:val="21"/>
              </w:rPr>
              <w:t>*</w:t>
            </w:r>
            <w:r>
              <w:rPr>
                <w:rFonts w:hint="eastAsia" w:cs="宋体" w:asciiTheme="majorEastAsia" w:hAnsiTheme="majorEastAsia" w:eastAsiaTheme="majorEastAsia"/>
                <w:color w:val="auto"/>
                <w:sz w:val="21"/>
                <w:szCs w:val="21"/>
              </w:rPr>
              <w:t>本项目采用二轮报价，响应文件中书面报价为首轮报价（首轮</w:t>
            </w:r>
            <w:r>
              <w:rPr>
                <w:rFonts w:cs="宋体" w:asciiTheme="majorEastAsia" w:hAnsiTheme="majorEastAsia" w:eastAsiaTheme="majorEastAsia"/>
                <w:color w:val="auto"/>
                <w:sz w:val="21"/>
                <w:szCs w:val="21"/>
              </w:rPr>
              <w:t>报价不唱标</w:t>
            </w:r>
            <w:r>
              <w:rPr>
                <w:rFonts w:hint="eastAsia" w:cs="宋体" w:asciiTheme="majorEastAsia" w:hAnsiTheme="majorEastAsia" w:eastAsiaTheme="majorEastAsia"/>
                <w:color w:val="auto"/>
                <w:sz w:val="21"/>
                <w:szCs w:val="21"/>
              </w:rPr>
              <w:t>），第二轮报价不得超过首轮报价，第二轮报价即为最终报价；否则作无效报价文件处理。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17</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kern w:val="0"/>
                <w:sz w:val="21"/>
                <w:szCs w:val="21"/>
              </w:rPr>
            </w:pPr>
            <w:r>
              <w:rPr>
                <w:rFonts w:hint="eastAsia" w:cs="宋体" w:asciiTheme="majorEastAsia" w:hAnsiTheme="majorEastAsia" w:eastAsiaTheme="majorEastAsia"/>
                <w:color w:val="auto"/>
                <w:sz w:val="21"/>
                <w:szCs w:val="21"/>
              </w:rPr>
              <w:t>响应有效期</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120日历天（有效期从提交响应文件的截止之日起算，有效期短于该规定期限的磋商无效）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18</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sz w:val="21"/>
                <w:szCs w:val="21"/>
              </w:rPr>
            </w:pPr>
            <w:r>
              <w:rPr>
                <w:rFonts w:hint="eastAsia" w:ascii="宋体" w:hAnsi="宋体" w:cs="宋体"/>
                <w:color w:val="auto"/>
                <w:sz w:val="21"/>
                <w:szCs w:val="21"/>
              </w:rPr>
              <w:t>是否收取履约保证金</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rPr>
                <w:rFonts w:cs="宋体" w:asciiTheme="majorEastAsia" w:hAnsiTheme="majorEastAsia" w:eastAsiaTheme="majorEastAsia"/>
                <w:color w:val="auto"/>
                <w:sz w:val="21"/>
                <w:szCs w:val="21"/>
              </w:rPr>
            </w:pPr>
            <w:r>
              <w:rPr>
                <w:rFonts w:hint="eastAsia" w:ascii="宋体" w:hAnsi="宋体" w:cs="宋体"/>
                <w:bCs/>
                <w:color w:val="auto"/>
                <w:sz w:val="21"/>
                <w:szCs w:val="21"/>
              </w:rPr>
              <w:t>是，成交供应商在合同签订前，向采购人提供相当于</w:t>
            </w:r>
            <w:r>
              <w:rPr>
                <w:rFonts w:hint="eastAsia" w:ascii="宋体" w:hAnsi="宋体" w:cs="宋体"/>
                <w:b/>
                <w:bCs/>
                <w:color w:val="auto"/>
                <w:sz w:val="21"/>
                <w:szCs w:val="21"/>
              </w:rPr>
              <w:t>合同总价5%</w:t>
            </w:r>
            <w:r>
              <w:rPr>
                <w:rFonts w:hint="eastAsia" w:ascii="宋体" w:hAnsi="宋体" w:cs="宋体"/>
                <w:bCs/>
                <w:color w:val="auto"/>
                <w:sz w:val="21"/>
                <w:szCs w:val="21"/>
              </w:rPr>
              <w:t>的履约保证金（现金或银行保函），采购人将在合同履约结束后返还乙方履约保证金（无息）。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19</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采购资金的支付方式、时间、条件</w:t>
            </w:r>
          </w:p>
        </w:tc>
        <w:tc>
          <w:tcPr>
            <w:tcW w:w="60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详见采购合同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20</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其他</w:t>
            </w:r>
          </w:p>
        </w:tc>
        <w:tc>
          <w:tcPr>
            <w:tcW w:w="60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cs="宋体"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1.响应人磋商前须自行现场踏勘，费用自理，充分考虑各种风险，一旦成交不得以不了解现场情况为由，提出增加费用的要求。</w:t>
            </w:r>
          </w:p>
          <w:p>
            <w:pPr>
              <w:snapToGrid w:val="0"/>
              <w:spacing w:line="400" w:lineRule="exact"/>
              <w:ind w:firstLine="420" w:firstLineChars="200"/>
              <w:rPr>
                <w:rFonts w:cs="宋体"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2.响应人自行勘察现场。</w:t>
            </w:r>
          </w:p>
          <w:p>
            <w:pPr>
              <w:snapToGrid w:val="0"/>
              <w:spacing w:line="400" w:lineRule="exact"/>
              <w:ind w:firstLine="420" w:firstLineChars="200"/>
              <w:rPr>
                <w:rFonts w:cs="宋体"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3.本项目的代理费为5000元，由成交供应商领取中标通知书时一次性支付给采购代理机构，响应人在磋商时综合考虑在报价中。</w:t>
            </w:r>
          </w:p>
          <w:p>
            <w:pPr>
              <w:snapToGrid w:val="0"/>
              <w:spacing w:line="400" w:lineRule="exact"/>
              <w:ind w:firstLine="420" w:firstLineChars="200"/>
              <w:rPr>
                <w:color w:val="auto"/>
              </w:rPr>
            </w:pPr>
            <w:r>
              <w:rPr>
                <w:rFonts w:hint="eastAsia" w:cs="宋体" w:asciiTheme="majorEastAsia" w:hAnsiTheme="majorEastAsia" w:eastAsiaTheme="majorEastAsia"/>
                <w:color w:val="auto"/>
                <w:sz w:val="21"/>
                <w:szCs w:val="21"/>
              </w:rPr>
              <w:t>4.特别注意：本项目招标人为常州市金坛区儒林镇儒林村村民委员会、常州市金坛区儒林镇南社村村民委员会，投标单位中标后需分别与两个村委签订合同。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21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rPr>
              <w:t>质疑受理的单位信息</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10" w:lineRule="exact"/>
              <w:jc w:val="left"/>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rPr>
              <w:t>建设方名称：</w:t>
            </w:r>
            <w:r>
              <w:rPr>
                <w:rFonts w:hint="eastAsia" w:ascii="宋体" w:hAnsi="宋体" w:cs="宋体"/>
                <w:color w:val="auto"/>
                <w:sz w:val="21"/>
                <w:szCs w:val="21"/>
              </w:rPr>
              <w:t>常州市金坛区儒林镇儒林村村民委员会、常州市金坛区儒林镇南社村村民委员会</w:t>
            </w:r>
          </w:p>
          <w:p>
            <w:pPr>
              <w:spacing w:line="410" w:lineRule="exact"/>
              <w:jc w:val="left"/>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rPr>
              <w:t>通讯地址：</w:t>
            </w:r>
            <w:r>
              <w:rPr>
                <w:rFonts w:hint="eastAsia" w:cs="宋体" w:asciiTheme="majorEastAsia" w:hAnsiTheme="majorEastAsia" w:eastAsiaTheme="majorEastAsia"/>
                <w:color w:val="auto"/>
                <w:sz w:val="21"/>
                <w:szCs w:val="21"/>
              </w:rPr>
              <w:t>常州市金坛区儒林镇</w:t>
            </w:r>
          </w:p>
          <w:p>
            <w:pPr>
              <w:spacing w:line="410" w:lineRule="exact"/>
              <w:jc w:val="left"/>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rPr>
              <w:t>电话：</w:t>
            </w:r>
            <w:r>
              <w:rPr>
                <w:rFonts w:hint="eastAsia" w:ascii="宋体" w:hAnsi="宋体" w:cs="宋体"/>
                <w:color w:val="auto"/>
                <w:sz w:val="21"/>
                <w:szCs w:val="21"/>
              </w:rPr>
              <w:t xml:space="preserve">18961265517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22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rPr>
              <w:t>投诉受理的单位信息</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10" w:lineRule="exact"/>
              <w:jc w:val="left"/>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rPr>
              <w:t>投诉受理的机构信息：常州市金坛区儒林镇人民政府</w:t>
            </w:r>
          </w:p>
          <w:p>
            <w:pPr>
              <w:spacing w:line="410" w:lineRule="exact"/>
              <w:jc w:val="left"/>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rPr>
              <w:t>通讯地址：</w:t>
            </w:r>
            <w:r>
              <w:rPr>
                <w:rFonts w:cs="宋体" w:asciiTheme="majorEastAsia" w:hAnsiTheme="majorEastAsia" w:eastAsiaTheme="majorEastAsia"/>
                <w:bCs/>
                <w:color w:val="auto"/>
                <w:sz w:val="21"/>
                <w:szCs w:val="21"/>
              </w:rPr>
              <w:t>常州市金坛区儒林镇府前路68号</w:t>
            </w:r>
          </w:p>
          <w:p>
            <w:pPr>
              <w:spacing w:line="410" w:lineRule="exact"/>
              <w:jc w:val="left"/>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rPr>
              <w:t xml:space="preserve">电话：0519-82560816 </w:t>
            </w:r>
          </w:p>
        </w:tc>
      </w:tr>
    </w:tbl>
    <w:p>
      <w:pPr>
        <w:spacing w:line="400" w:lineRule="exact"/>
        <w:jc w:val="left"/>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rPr>
        <w:t>注：</w:t>
      </w:r>
    </w:p>
    <w:p>
      <w:pPr>
        <w:spacing w:line="400" w:lineRule="exact"/>
        <w:jc w:val="left"/>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rPr>
        <w:t>1.上表中加 * 项目若有缺失或无效，磋商文件将被拒绝或磋商无效且不允许在开标后补正；</w:t>
      </w:r>
    </w:p>
    <w:p>
      <w:pPr>
        <w:spacing w:line="400" w:lineRule="exact"/>
        <w:jc w:val="left"/>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rPr>
        <w:t>2.响应人须知前附表内容如与磋商文件其他部分不一致，以响应人须知前附表为准。</w:t>
      </w:r>
    </w:p>
    <w:p>
      <w:pPr>
        <w:spacing w:line="400" w:lineRule="exact"/>
        <w:jc w:val="left"/>
        <w:rPr>
          <w:rFonts w:hint="eastAsia"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rPr>
        <w:br w:type="page"/>
      </w:r>
    </w:p>
    <w:p>
      <w:pPr>
        <w:keepNext/>
        <w:spacing w:line="400" w:lineRule="exact"/>
        <w:jc w:val="center"/>
        <w:outlineLvl w:val="0"/>
        <w:rPr>
          <w:rFonts w:asciiTheme="majorEastAsia" w:hAnsiTheme="majorEastAsia" w:eastAsiaTheme="majorEastAsia"/>
          <w:color w:val="auto"/>
          <w:szCs w:val="28"/>
        </w:rPr>
      </w:pPr>
      <w:r>
        <w:rPr>
          <w:rFonts w:cs="宋体" w:asciiTheme="majorEastAsia" w:hAnsiTheme="majorEastAsia" w:eastAsiaTheme="majorEastAsia"/>
          <w:b/>
          <w:bCs/>
          <w:color w:val="auto"/>
          <w:szCs w:val="28"/>
        </w:rPr>
        <w:t>第三部分</w:t>
      </w:r>
      <w:r>
        <w:rPr>
          <w:rFonts w:hint="eastAsia" w:cs="宋体" w:asciiTheme="majorEastAsia" w:hAnsiTheme="majorEastAsia" w:eastAsiaTheme="majorEastAsia"/>
          <w:b/>
          <w:bCs/>
          <w:color w:val="auto"/>
          <w:szCs w:val="28"/>
        </w:rPr>
        <w:t xml:space="preserve">  </w:t>
      </w:r>
      <w:r>
        <w:rPr>
          <w:rFonts w:cs="宋体" w:asciiTheme="majorEastAsia" w:hAnsiTheme="majorEastAsia" w:eastAsiaTheme="majorEastAsia"/>
          <w:b/>
          <w:bCs/>
          <w:color w:val="auto"/>
          <w:szCs w:val="28"/>
        </w:rPr>
        <w:t>响应人须知</w:t>
      </w:r>
    </w:p>
    <w:p>
      <w:pPr>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一、定义</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1.1“采购人”指本项目的具体采购单位，名称详见</w:t>
      </w:r>
      <w:r>
        <w:rPr>
          <w:rFonts w:asciiTheme="majorEastAsia" w:hAnsiTheme="majorEastAsia" w:eastAsiaTheme="majorEastAsia"/>
          <w:bCs/>
          <w:color w:val="auto"/>
          <w:sz w:val="21"/>
          <w:szCs w:val="21"/>
        </w:rPr>
        <w:t>响应人须知前附表第1条</w:t>
      </w:r>
      <w:r>
        <w:rPr>
          <w:rFonts w:asciiTheme="majorEastAsia" w:hAnsiTheme="majorEastAsia" w:eastAsiaTheme="majorEastAsia"/>
          <w:color w:val="auto"/>
          <w:sz w:val="21"/>
          <w:szCs w:val="21"/>
        </w:rPr>
        <w:t>。</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1.2“招标货物”指本磋商文件中第四部分所述所有货物及实现货物功能价值所必须的配套技术和服务。</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1.3“服务”指本磋商文件第四部分所述响应人应该履行的承诺和义务。</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1.4“响应人”指符合本磋商文件规定并参加投标的供应商。</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1.5“潜在响应人”指符合本磋商文件各项规定的合格供应商。</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1.6 本磋商文件规定按日计算期间的，开始当天不计入，从次日开始计算。期限的最后一日是国家法定节假日的，顺延到节假日后的次日为期限的最后一日。</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二、合格响应人的条件</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2.1具有本项目实施能力，符合、承认并承诺履行本磋商文件各项规定的国内供应商均可参加</w:t>
      </w:r>
      <w:r>
        <w:rPr>
          <w:rFonts w:hint="eastAsia" w:asciiTheme="majorEastAsia" w:hAnsiTheme="majorEastAsia" w:eastAsiaTheme="majorEastAsia"/>
          <w:color w:val="auto"/>
          <w:sz w:val="21"/>
          <w:szCs w:val="21"/>
        </w:rPr>
        <w:t>磋商</w:t>
      </w:r>
      <w:r>
        <w:rPr>
          <w:rFonts w:asciiTheme="majorEastAsia" w:hAnsiTheme="majorEastAsia" w:eastAsiaTheme="majorEastAsia"/>
          <w:color w:val="auto"/>
          <w:sz w:val="21"/>
          <w:szCs w:val="21"/>
        </w:rPr>
        <w:t>。</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2响应人</w:t>
      </w:r>
      <w:r>
        <w:rPr>
          <w:rFonts w:asciiTheme="majorEastAsia" w:hAnsiTheme="majorEastAsia" w:eastAsiaTheme="majorEastAsia"/>
          <w:color w:val="auto"/>
          <w:sz w:val="21"/>
          <w:szCs w:val="21"/>
        </w:rPr>
        <w:t>资格条件：</w:t>
      </w:r>
      <w:r>
        <w:rPr>
          <w:rFonts w:hint="eastAsia" w:asciiTheme="majorEastAsia" w:hAnsiTheme="majorEastAsia" w:eastAsiaTheme="majorEastAsia"/>
          <w:color w:val="auto"/>
          <w:sz w:val="21"/>
          <w:szCs w:val="21"/>
        </w:rPr>
        <w:t>详见</w:t>
      </w:r>
      <w:r>
        <w:rPr>
          <w:rFonts w:asciiTheme="majorEastAsia" w:hAnsiTheme="majorEastAsia" w:eastAsiaTheme="majorEastAsia"/>
          <w:color w:val="auto"/>
          <w:sz w:val="21"/>
          <w:szCs w:val="21"/>
        </w:rPr>
        <w:t>磋商公告</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3</w:t>
      </w:r>
      <w:r>
        <w:rPr>
          <w:rFonts w:asciiTheme="majorEastAsia" w:hAnsiTheme="majorEastAsia" w:eastAsiaTheme="majorEastAsia"/>
          <w:color w:val="auto"/>
          <w:sz w:val="21"/>
          <w:szCs w:val="21"/>
        </w:rPr>
        <w:t>供应商单位负责人为同一人或者存在直接控股、管理关系的不同供应商，不得参加同一合同项下的采购活动；</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4</w:t>
      </w:r>
      <w:r>
        <w:rPr>
          <w:rFonts w:asciiTheme="majorEastAsia" w:hAnsiTheme="majorEastAsia" w:eastAsiaTheme="majorEastAsia"/>
          <w:color w:val="auto"/>
          <w:sz w:val="21"/>
          <w:szCs w:val="21"/>
        </w:rPr>
        <w:t>凡为采购项目提供整体设计、规范编制或者项目管理、监理、检测等服务的供应商，不得再参加本项目的采购活动</w:t>
      </w:r>
      <w:r>
        <w:rPr>
          <w:rFonts w:hint="eastAsia" w:asciiTheme="majorEastAsia" w:hAnsiTheme="majorEastAsia" w:eastAsiaTheme="majorEastAsia"/>
          <w:color w:val="auto"/>
          <w:sz w:val="21"/>
          <w:szCs w:val="21"/>
        </w:rPr>
        <w:t>（如有）</w:t>
      </w:r>
      <w:r>
        <w:rPr>
          <w:rFonts w:asciiTheme="majorEastAsia" w:hAnsiTheme="majorEastAsia" w:eastAsiaTheme="majorEastAsia"/>
          <w:color w:val="auto"/>
          <w:sz w:val="21"/>
          <w:szCs w:val="21"/>
        </w:rPr>
        <w:t>；</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5</w:t>
      </w:r>
      <w:r>
        <w:rPr>
          <w:rFonts w:asciiTheme="majorEastAsia" w:hAnsiTheme="majorEastAsia" w:eastAsiaTheme="majorEastAsia"/>
          <w:color w:val="auto"/>
          <w:sz w:val="21"/>
          <w:szCs w:val="21"/>
        </w:rPr>
        <w:t>本次采购是否允许两个（含）以上响应人组成一个联合体以一个响应人身份共同投标，详见</w:t>
      </w:r>
      <w:r>
        <w:rPr>
          <w:rFonts w:asciiTheme="majorEastAsia" w:hAnsiTheme="majorEastAsia" w:eastAsiaTheme="majorEastAsia"/>
          <w:bCs/>
          <w:color w:val="auto"/>
          <w:sz w:val="21"/>
          <w:szCs w:val="21"/>
        </w:rPr>
        <w:t>响应人须知前附表第</w:t>
      </w:r>
      <w:r>
        <w:rPr>
          <w:rFonts w:hint="eastAsia" w:cs="宋体" w:asciiTheme="majorEastAsia" w:hAnsiTheme="majorEastAsia" w:eastAsiaTheme="majorEastAsia"/>
          <w:bCs/>
          <w:color w:val="auto"/>
          <w:sz w:val="21"/>
          <w:szCs w:val="21"/>
        </w:rPr>
        <w:t>7</w:t>
      </w:r>
      <w:r>
        <w:rPr>
          <w:rFonts w:asciiTheme="majorEastAsia" w:hAnsiTheme="majorEastAsia" w:eastAsiaTheme="majorEastAsia"/>
          <w:bCs/>
          <w:color w:val="auto"/>
          <w:sz w:val="21"/>
          <w:szCs w:val="21"/>
        </w:rPr>
        <w:t>条</w:t>
      </w:r>
      <w:r>
        <w:rPr>
          <w:rFonts w:asciiTheme="majorEastAsia" w:hAnsiTheme="majorEastAsia" w:eastAsiaTheme="majorEastAsia"/>
          <w:color w:val="auto"/>
          <w:sz w:val="21"/>
          <w:szCs w:val="21"/>
        </w:rPr>
        <w:t>。</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6</w:t>
      </w:r>
      <w:r>
        <w:rPr>
          <w:rFonts w:asciiTheme="majorEastAsia" w:hAnsiTheme="majorEastAsia" w:eastAsiaTheme="majorEastAsia"/>
          <w:color w:val="auto"/>
          <w:sz w:val="21"/>
          <w:szCs w:val="21"/>
        </w:rPr>
        <w:t>响应人应按照磋商公告规定的方式获取磋商文件。</w:t>
      </w:r>
    </w:p>
    <w:p>
      <w:pPr>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三、磋商费用</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3.1响应人应自行承担其编制、提交响应文件以及参加竞争性磋商活动所产生之一切费用。无论竞争性磋商活动中的做法和结果如何(包括采购单位决定取消采购的)，采购人和采购代理机构对上述费用不负任何责任。</w:t>
      </w:r>
    </w:p>
    <w:p>
      <w:pPr>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四、磋商文件</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4.1磋商文件由下列七部分内容组成：</w:t>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"_Toc214163612"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第一部分</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采购邀请</w:t>
      </w:r>
      <w:r>
        <w:rPr>
          <w:rFonts w:asciiTheme="majorEastAsia" w:hAnsiTheme="majorEastAsia" w:eastAsiaTheme="majorEastAsia"/>
          <w:color w:val="auto"/>
          <w:sz w:val="21"/>
          <w:szCs w:val="21"/>
          <w:u w:val="single"/>
        </w:rPr>
        <w:fldChar w:fldCharType="end"/>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"_Toc214163613"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第二部分</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响应人须知前附表</w:t>
      </w:r>
      <w:r>
        <w:rPr>
          <w:rFonts w:asciiTheme="majorEastAsia" w:hAnsiTheme="majorEastAsia" w:eastAsiaTheme="majorEastAsia"/>
          <w:color w:val="auto"/>
          <w:sz w:val="21"/>
          <w:szCs w:val="21"/>
          <w:u w:val="single"/>
        </w:rPr>
        <w:fldChar w:fldCharType="end"/>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"_Toc214163628"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第三部分</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响应人须知</w:t>
      </w:r>
      <w:r>
        <w:rPr>
          <w:rFonts w:asciiTheme="majorEastAsia" w:hAnsiTheme="majorEastAsia" w:eastAsiaTheme="majorEastAsia"/>
          <w:color w:val="auto"/>
          <w:sz w:val="21"/>
          <w:szCs w:val="21"/>
          <w:u w:val="single"/>
        </w:rPr>
        <w:fldChar w:fldCharType="end"/>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"_Toc214163640"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第四部分</w:t>
      </w:r>
      <w:r>
        <w:rPr>
          <w:rFonts w:hint="eastAsia" w:asciiTheme="majorEastAsia" w:hAnsiTheme="majorEastAsia" w:eastAsiaTheme="majorEastAsia"/>
          <w:color w:val="auto"/>
          <w:sz w:val="21"/>
          <w:szCs w:val="21"/>
          <w:u w:val="single"/>
        </w:rPr>
        <w:t xml:space="preserve"> 采购需求</w:t>
      </w:r>
      <w:r>
        <w:rPr>
          <w:rFonts w:hint="eastAsia" w:asciiTheme="majorEastAsia" w:hAnsiTheme="majorEastAsia" w:eastAsiaTheme="majorEastAsia"/>
          <w:color w:val="auto"/>
          <w:sz w:val="21"/>
          <w:szCs w:val="21"/>
          <w:u w:val="single"/>
        </w:rPr>
        <w:fldChar w:fldCharType="end"/>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t>第五部分</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评审办法和评审标准</w:t>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"_Toc214163666"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第六部分</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合同</w:t>
      </w:r>
      <w:r>
        <w:rPr>
          <w:rFonts w:asciiTheme="majorEastAsia" w:hAnsiTheme="majorEastAsia" w:eastAsiaTheme="majorEastAsia"/>
          <w:color w:val="auto"/>
          <w:sz w:val="21"/>
          <w:szCs w:val="21"/>
          <w:u w:val="single"/>
        </w:rPr>
        <w:fldChar w:fldCharType="end"/>
      </w:r>
      <w:r>
        <w:rPr>
          <w:rFonts w:hint="eastAsia" w:asciiTheme="majorEastAsia" w:hAnsiTheme="majorEastAsia" w:eastAsiaTheme="majorEastAsia"/>
          <w:color w:val="auto"/>
          <w:sz w:val="21"/>
          <w:szCs w:val="21"/>
          <w:u w:val="single"/>
        </w:rPr>
        <w:t>条款</w:t>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"_Toc214163670"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第七部分</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响应文件格式</w:t>
      </w:r>
      <w:r>
        <w:rPr>
          <w:rFonts w:asciiTheme="majorEastAsia" w:hAnsiTheme="majorEastAsia" w:eastAsiaTheme="majorEastAsia"/>
          <w:color w:val="auto"/>
          <w:sz w:val="21"/>
          <w:szCs w:val="21"/>
          <w:u w:val="single"/>
        </w:rPr>
        <w:fldChar w:fldCharType="end"/>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4.2</w:t>
      </w:r>
      <w:r>
        <w:rPr>
          <w:rFonts w:hint="eastAsia" w:asciiTheme="majorEastAsia" w:hAnsiTheme="majorEastAsia" w:eastAsiaTheme="majorEastAsia"/>
          <w:color w:val="auto"/>
          <w:sz w:val="21"/>
          <w:szCs w:val="21"/>
        </w:rPr>
        <w:t>澄清</w:t>
      </w:r>
      <w:r>
        <w:rPr>
          <w:rFonts w:asciiTheme="majorEastAsia" w:hAnsiTheme="majorEastAsia" w:eastAsiaTheme="majorEastAsia"/>
          <w:color w:val="auto"/>
          <w:sz w:val="21"/>
          <w:szCs w:val="21"/>
        </w:rPr>
        <w:t>和修正</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rPr>
        <w:t>1</w:t>
      </w:r>
      <w:r>
        <w:rPr>
          <w:rFonts w:asciiTheme="majorEastAsia" w:hAnsiTheme="majorEastAsia" w:eastAsiaTheme="majorEastAsia"/>
          <w:color w:val="auto"/>
          <w:sz w:val="21"/>
          <w:szCs w:val="21"/>
        </w:rPr>
        <w:t>）供应商应当在法定质疑期内一次性提出针对同一采购程序环节的质疑。</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rPr>
        <w:t>2</w:t>
      </w:r>
      <w:r>
        <w:rPr>
          <w:rFonts w:asciiTheme="majorEastAsia" w:hAnsiTheme="majorEastAsia" w:eastAsiaTheme="majorEastAsia"/>
          <w:color w:val="auto"/>
          <w:sz w:val="21"/>
          <w:szCs w:val="21"/>
        </w:rPr>
        <w:t>）响应人在收到磋商文件后，如有疑问需要澄清，应在答疑规定的时间前以书面形式向采购人提出，如无疑问,视作响应人完全响应</w:t>
      </w:r>
      <w:r>
        <w:rPr>
          <w:rFonts w:hint="eastAsia" w:asciiTheme="majorEastAsia" w:hAnsiTheme="majorEastAsia" w:eastAsiaTheme="majorEastAsia"/>
          <w:color w:val="auto"/>
          <w:sz w:val="21"/>
          <w:szCs w:val="21"/>
        </w:rPr>
        <w:t>磋商文件</w:t>
      </w:r>
      <w:r>
        <w:rPr>
          <w:rFonts w:asciiTheme="majorEastAsia" w:hAnsiTheme="majorEastAsia" w:eastAsiaTheme="majorEastAsia"/>
          <w:color w:val="auto"/>
          <w:sz w:val="21"/>
          <w:szCs w:val="21"/>
        </w:rPr>
        <w:t>的条款和要求。采购人作出的澄清或修改将公告通知所有</w:t>
      </w:r>
      <w:r>
        <w:rPr>
          <w:rFonts w:hint="eastAsia" w:asciiTheme="majorEastAsia" w:hAnsiTheme="majorEastAsia" w:eastAsiaTheme="majorEastAsia"/>
          <w:color w:val="auto"/>
          <w:sz w:val="21"/>
          <w:szCs w:val="21"/>
        </w:rPr>
        <w:t>磋商文件</w:t>
      </w:r>
      <w:r>
        <w:rPr>
          <w:rFonts w:asciiTheme="majorEastAsia" w:hAnsiTheme="majorEastAsia" w:eastAsiaTheme="majorEastAsia"/>
          <w:color w:val="auto"/>
          <w:sz w:val="21"/>
          <w:szCs w:val="21"/>
        </w:rPr>
        <w:t>收受人。</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rPr>
        <w:t>3</w:t>
      </w:r>
      <w:r>
        <w:rPr>
          <w:rFonts w:asciiTheme="majorEastAsia" w:hAnsiTheme="majorEastAsia" w:eastAsiaTheme="majorEastAsia"/>
          <w:color w:val="auto"/>
          <w:sz w:val="21"/>
          <w:szCs w:val="21"/>
        </w:rPr>
        <w:t>）采购人或采购代理机构无论出于自己的考虑，还是出于对响应人提问的澄清，均可对磋商文件用更正公告的方式进行修改。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rPr>
        <w:t>4</w:t>
      </w:r>
      <w:r>
        <w:rPr>
          <w:rFonts w:asciiTheme="majorEastAsia" w:hAnsiTheme="majorEastAsia" w:eastAsiaTheme="majorEastAsia"/>
          <w:color w:val="auto"/>
          <w:sz w:val="21"/>
          <w:szCs w:val="21"/>
        </w:rPr>
        <w:t>）磋商文件及磋商文件的澄清、修改、补充等内容均</w:t>
      </w:r>
      <w:r>
        <w:rPr>
          <w:rFonts w:hint="eastAsia" w:asciiTheme="majorEastAsia" w:hAnsiTheme="majorEastAsia" w:eastAsiaTheme="majorEastAsia"/>
          <w:color w:val="auto"/>
          <w:sz w:val="21"/>
          <w:szCs w:val="21"/>
        </w:rPr>
        <w:t>以发送至报名时委托人预留的邮箱</w:t>
      </w:r>
      <w:r>
        <w:rPr>
          <w:rFonts w:asciiTheme="majorEastAsia" w:hAnsiTheme="majorEastAsia" w:eastAsiaTheme="majorEastAsia"/>
          <w:color w:val="auto"/>
          <w:sz w:val="21"/>
          <w:szCs w:val="21"/>
        </w:rPr>
        <w:t>内容为准。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rPr>
        <w:t>5</w:t>
      </w:r>
      <w:r>
        <w:rPr>
          <w:rFonts w:asciiTheme="majorEastAsia" w:hAnsiTheme="majorEastAsia" w:eastAsiaTheme="majorEastAsia"/>
          <w:color w:val="auto"/>
          <w:sz w:val="21"/>
          <w:szCs w:val="21"/>
        </w:rPr>
        <w:t>）磋商文件的更正（含澄清、修改等）内容与原磋商文件在同一内容上表述不一致时，以发出日期最接近开标时间的公告为准。磋商文件的更正（含澄清、修改等）内容作为磋商文件的组成部分，对响应人起约束作用。</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五、响应人的义务</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5.1响应人应当认真阅读磋商文件，完全明了采购项目之名称、用途、数量、质量和交货日期，完全明了响应人所应具备的资格条件。</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5.2响应人应当按照磋商文件的要求编制响应文件。响应文件应对磋商文件提出的实质性要求和条件作出完全响应。</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5.3响应人应在响应文件提交截止时间前，将密封的响应文件送达指定地点。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5.4响应人不得相互串通磋商报价，不得排挤其他响应人的公平竞争，损害采购人或者其他响应人合法权益。响应人不得与采购人串通，损害国家利益，公众利益或者他人的合法权益。</w:t>
      </w:r>
    </w:p>
    <w:p>
      <w:pPr>
        <w:snapToGrid w:val="0"/>
        <w:spacing w:line="400" w:lineRule="exact"/>
        <w:ind w:firstLine="420" w:firstLineChars="200"/>
        <w:rPr>
          <w:rFonts w:asciiTheme="majorEastAsia" w:hAnsiTheme="majorEastAsia" w:eastAsiaTheme="majorEastAsia"/>
          <w:color w:val="auto"/>
          <w:spacing w:val="-6"/>
          <w:sz w:val="21"/>
          <w:szCs w:val="21"/>
        </w:rPr>
      </w:pPr>
      <w:r>
        <w:rPr>
          <w:rFonts w:asciiTheme="majorEastAsia" w:hAnsiTheme="majorEastAsia" w:eastAsiaTheme="majorEastAsia"/>
          <w:color w:val="auto"/>
          <w:sz w:val="21"/>
          <w:szCs w:val="21"/>
        </w:rPr>
        <w:t>5.5响应人在响应文件提交截止时间前，对所提交的响应文件可以补充、修改或者撤回，并书面通知采购代理机构。补充、修改的内容为响应文件的组成部分。</w:t>
      </w:r>
    </w:p>
    <w:p>
      <w:pPr>
        <w:snapToGrid w:val="0"/>
        <w:spacing w:line="400" w:lineRule="exact"/>
        <w:rPr>
          <w:rFonts w:asciiTheme="majorEastAsia" w:hAnsiTheme="majorEastAsia" w:eastAsiaTheme="majorEastAsia"/>
          <w:bCs/>
          <w:color w:val="auto"/>
          <w:sz w:val="21"/>
          <w:szCs w:val="21"/>
        </w:rPr>
      </w:pPr>
      <w:bookmarkStart w:id="1" w:name="_Toc288738799"/>
      <w:bookmarkEnd w:id="1"/>
      <w:bookmarkStart w:id="2" w:name="_Toc288738405"/>
      <w:bookmarkEnd w:id="2"/>
      <w:bookmarkStart w:id="3" w:name="_Toc288738331"/>
      <w:r>
        <w:rPr>
          <w:rFonts w:asciiTheme="majorEastAsia" w:hAnsiTheme="majorEastAsia" w:eastAsiaTheme="majorEastAsia"/>
          <w:bCs/>
          <w:color w:val="auto"/>
          <w:sz w:val="21"/>
          <w:szCs w:val="21"/>
        </w:rPr>
        <w:t>六、响应文件组成</w:t>
      </w:r>
      <w:bookmarkEnd w:id="3"/>
      <w:r>
        <w:rPr>
          <w:rFonts w:asciiTheme="majorEastAsia" w:hAnsiTheme="majorEastAsia" w:eastAsiaTheme="majorEastAsia"/>
          <w:bCs/>
          <w:color w:val="auto"/>
          <w:sz w:val="21"/>
          <w:szCs w:val="21"/>
        </w:rPr>
        <w:t>及相关要求</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6.1一式三份，一份正本，两份副本，响应文件应当符合磋商文件的要求，并应包括但不限于下列内容。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6.1.1响应文件编写</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（1）按照磋商文件中</w:t>
      </w:r>
      <w:r>
        <w:rPr>
          <w:rFonts w:asciiTheme="majorEastAsia" w:hAnsiTheme="majorEastAsia" w:eastAsiaTheme="majorEastAsia"/>
          <w:bCs/>
          <w:color w:val="auto"/>
          <w:sz w:val="21"/>
          <w:szCs w:val="21"/>
        </w:rPr>
        <w:t>本条6.2响应文件格式部分规定的顺序</w:t>
      </w:r>
      <w:r>
        <w:rPr>
          <w:rFonts w:asciiTheme="majorEastAsia" w:hAnsiTheme="majorEastAsia" w:eastAsiaTheme="majorEastAsia"/>
          <w:color w:val="auto"/>
          <w:sz w:val="21"/>
          <w:szCs w:val="21"/>
        </w:rPr>
        <w:t>，统一编目编码并编制目录。由于编排混乱导致响应文件被误读或查找不到，责任应当由响应人承担。</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响应人应详细阅读磋商文件的全部内容。响应文件须对磋商文件中的内容做出实质性和完整的响应，如果响应文件填报的内容资料不详，或没有提供磋商文件中所要求的全部资料及数据，将被视为响应文件完整性有缺陷。</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（3）除可填报内容外，对响应函内容的任何实质性修改将被视为非实质性响应投标，该响应将被拒绝。</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（4）响应文件应按照磋商文件的格式逐项填写，无相应内容可填的项应填写“无”、“未测试”、“没有相应指标”等明确的回答文字。</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（5）响应人必须保证</w:t>
      </w:r>
      <w:r>
        <w:rPr>
          <w:rFonts w:hint="eastAsia" w:asciiTheme="majorEastAsia" w:hAnsiTheme="majorEastAsia" w:eastAsiaTheme="majorEastAsia"/>
          <w:color w:val="auto"/>
          <w:sz w:val="21"/>
          <w:szCs w:val="21"/>
        </w:rPr>
        <w:t>响应</w:t>
      </w:r>
      <w:r>
        <w:rPr>
          <w:rFonts w:asciiTheme="majorEastAsia" w:hAnsiTheme="majorEastAsia" w:eastAsiaTheme="majorEastAsia"/>
          <w:color w:val="auto"/>
          <w:sz w:val="21"/>
          <w:szCs w:val="21"/>
        </w:rPr>
        <w:t>文件所提供的全部资料真实可靠。</w:t>
      </w:r>
    </w:p>
    <w:p>
      <w:pPr>
        <w:snapToGrid w:val="0"/>
        <w:spacing w:line="400" w:lineRule="exact"/>
        <w:ind w:firstLine="420" w:firstLineChars="200"/>
        <w:rPr>
          <w:rFonts w:cs="宋体" w:asciiTheme="majorEastAsia" w:hAnsiTheme="majorEastAsia" w:eastAsiaTheme="majorEastAsia"/>
          <w:bCs/>
          <w:color w:val="auto"/>
          <w:sz w:val="21"/>
          <w:szCs w:val="21"/>
        </w:rPr>
      </w:pPr>
      <w:bookmarkStart w:id="4" w:name="_Toc288738406"/>
      <w:bookmarkEnd w:id="4"/>
      <w:bookmarkStart w:id="5" w:name="_Toc288738800"/>
      <w:bookmarkEnd w:id="5"/>
      <w:bookmarkStart w:id="6" w:name="_Toc288738332"/>
      <w:r>
        <w:rPr>
          <w:rFonts w:asciiTheme="majorEastAsia" w:hAnsiTheme="majorEastAsia" w:eastAsiaTheme="majorEastAsia"/>
          <w:color w:val="auto"/>
          <w:sz w:val="21"/>
          <w:szCs w:val="21"/>
        </w:rPr>
        <w:t>6.2</w:t>
      </w:r>
      <w:bookmarkEnd w:id="6"/>
      <w:r>
        <w:rPr>
          <w:rFonts w:asciiTheme="majorEastAsia" w:hAnsiTheme="majorEastAsia" w:eastAsiaTheme="majorEastAsia"/>
          <w:bCs/>
          <w:color w:val="auto"/>
          <w:sz w:val="21"/>
          <w:szCs w:val="21"/>
        </w:rPr>
        <w:t>响应文件构成</w:t>
      </w: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（1）响应函；</w:t>
      </w: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（2）法定代表人资格证明书；</w:t>
      </w: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kern w:val="0"/>
          <w:sz w:val="21"/>
          <w:szCs w:val="21"/>
        </w:rPr>
        <w:t>（3）授权委托书</w:t>
      </w:r>
      <w:r>
        <w:rPr>
          <w:rFonts w:hint="eastAsia" w:ascii="宋体" w:hAnsi="宋体" w:cs="宋体"/>
          <w:color w:val="auto"/>
          <w:sz w:val="21"/>
          <w:szCs w:val="21"/>
        </w:rPr>
        <w:t>；</w:t>
      </w: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（4）具备履行合同所必需的设备和专业技术能力的书面声明；</w:t>
      </w: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（5）报价一览表；</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（6）承诺函；</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（7）供应商信用承诺书；</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（8）响应人资格审查承诺书；</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（9）相关业绩案例一览表</w:t>
      </w:r>
    </w:p>
    <w:p>
      <w:pPr>
        <w:spacing w:line="40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（10）成交供应商项目服务人员一览表</w:t>
      </w:r>
    </w:p>
    <w:p>
      <w:pPr>
        <w:spacing w:line="400" w:lineRule="exact"/>
        <w:ind w:firstLine="420" w:firstLineChars="200"/>
        <w:rPr>
          <w:rFonts w:hint="eastAsia" w:ascii="宋体" w:hAnsi="宋体" w:cs="宋体"/>
          <w:color w:val="auto"/>
          <w:sz w:val="21"/>
          <w:szCs w:val="21"/>
        </w:rPr>
      </w:pP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11</w:t>
      </w:r>
      <w:r>
        <w:rPr>
          <w:rFonts w:hint="eastAsia" w:ascii="宋体" w:hAnsi="宋体" w:cs="宋体"/>
          <w:color w:val="auto"/>
          <w:sz w:val="21"/>
          <w:szCs w:val="21"/>
          <w:lang w:eastAsia="zh-CN"/>
        </w:rPr>
        <w:t>）</w:t>
      </w:r>
      <w:r>
        <w:rPr>
          <w:rFonts w:hint="eastAsia" w:ascii="宋体" w:hAnsi="宋体" w:cs="宋体"/>
          <w:color w:val="auto"/>
          <w:sz w:val="21"/>
          <w:szCs w:val="21"/>
        </w:rPr>
        <w:t>机械设备配备情况表</w:t>
      </w:r>
    </w:p>
    <w:p>
      <w:pPr>
        <w:spacing w:line="40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（1</w:t>
      </w:r>
      <w:r>
        <w:rPr>
          <w:rFonts w:hint="eastAsia" w:ascii="宋体" w:hAnsi="宋体" w:cs="宋体"/>
          <w:color w:val="auto"/>
          <w:sz w:val="21"/>
          <w:szCs w:val="21"/>
          <w:lang w:val="en-US" w:eastAsia="zh-CN"/>
        </w:rPr>
        <w:t>2</w:t>
      </w:r>
      <w:r>
        <w:rPr>
          <w:rFonts w:hint="eastAsia" w:ascii="宋体" w:hAnsi="宋体" w:cs="宋体"/>
          <w:color w:val="auto"/>
          <w:sz w:val="21"/>
          <w:szCs w:val="21"/>
        </w:rPr>
        <w:t>）</w:t>
      </w:r>
      <w:r>
        <w:rPr>
          <w:rFonts w:hint="eastAsia" w:ascii="宋体" w:hAnsi="宋体" w:cs="宋体"/>
          <w:color w:val="auto"/>
          <w:sz w:val="21"/>
          <w:szCs w:val="21"/>
          <w:lang w:eastAsia="zh-CN"/>
        </w:rPr>
        <w:t>投标人</w:t>
      </w:r>
      <w:r>
        <w:rPr>
          <w:rFonts w:hint="eastAsia" w:ascii="宋体" w:hAnsi="宋体" w:cs="宋体"/>
          <w:color w:val="auto"/>
          <w:sz w:val="21"/>
          <w:szCs w:val="21"/>
        </w:rPr>
        <w:t>拟组建的项目团队承诺函</w:t>
      </w:r>
    </w:p>
    <w:p>
      <w:pPr>
        <w:spacing w:line="400" w:lineRule="exact"/>
        <w:ind w:firstLine="420" w:firstLineChars="200"/>
        <w:rPr>
          <w:rFonts w:hint="eastAsia" w:ascii="宋体" w:hAnsi="宋体" w:cs="宋体"/>
          <w:color w:val="auto"/>
          <w:sz w:val="21"/>
          <w:szCs w:val="21"/>
        </w:rPr>
      </w:pP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13</w:t>
      </w:r>
      <w:r>
        <w:rPr>
          <w:rFonts w:hint="eastAsia" w:ascii="宋体" w:hAnsi="宋体" w:cs="宋体"/>
          <w:color w:val="auto"/>
          <w:sz w:val="21"/>
          <w:szCs w:val="21"/>
          <w:lang w:eastAsia="zh-CN"/>
        </w:rPr>
        <w:t>）</w:t>
      </w:r>
      <w:r>
        <w:rPr>
          <w:rFonts w:hint="eastAsia" w:ascii="宋体" w:hAnsi="宋体" w:cs="宋体"/>
          <w:color w:val="auto"/>
          <w:sz w:val="21"/>
          <w:szCs w:val="21"/>
        </w:rPr>
        <w:t>其他证明材料。</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6.3投标报价：</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（1）所有投标报价均以人民币元为计算单位。只要投报了一个确定数额的总价，无论分项价格是否全部填报了相应的金额或免费字样，报价应被视为已经包含了但并不限于包括在</w:t>
      </w:r>
      <w:r>
        <w:rPr>
          <w:rFonts w:hint="eastAsia" w:asciiTheme="majorEastAsia" w:hAnsiTheme="majorEastAsia" w:eastAsiaTheme="majorEastAsia"/>
          <w:color w:val="auto"/>
          <w:sz w:val="21"/>
          <w:szCs w:val="21"/>
        </w:rPr>
        <w:t>提供完成该项目的全部内容</w:t>
      </w:r>
      <w:r>
        <w:rPr>
          <w:rFonts w:asciiTheme="majorEastAsia" w:hAnsiTheme="majorEastAsia" w:eastAsiaTheme="majorEastAsia"/>
          <w:color w:val="auto"/>
          <w:sz w:val="21"/>
          <w:szCs w:val="21"/>
        </w:rPr>
        <w:t>。在其他情况下，由于分项报价填报不完整、不清楚或存在其他任何失误，所导致的任何不利后果均应当由</w:t>
      </w:r>
      <w:r>
        <w:rPr>
          <w:rFonts w:hint="eastAsia" w:asciiTheme="majorEastAsia" w:hAnsiTheme="majorEastAsia" w:eastAsiaTheme="majorEastAsia"/>
          <w:color w:val="auto"/>
          <w:sz w:val="21"/>
          <w:szCs w:val="21"/>
        </w:rPr>
        <w:t>响应人</w:t>
      </w:r>
      <w:r>
        <w:rPr>
          <w:rFonts w:asciiTheme="majorEastAsia" w:hAnsiTheme="majorEastAsia" w:eastAsiaTheme="majorEastAsia"/>
          <w:color w:val="auto"/>
          <w:sz w:val="21"/>
          <w:szCs w:val="21"/>
        </w:rPr>
        <w:t>自行承担。</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（2）报价一览表中价格填报处不应有空白，如无费用可填报“/”。</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（3）</w:t>
      </w:r>
      <w:r>
        <w:rPr>
          <w:rFonts w:hint="eastAsia" w:asciiTheme="majorEastAsia" w:hAnsiTheme="majorEastAsia" w:eastAsiaTheme="majorEastAsia"/>
          <w:color w:val="auto"/>
          <w:sz w:val="21"/>
          <w:szCs w:val="21"/>
        </w:rPr>
        <w:t>响应人</w:t>
      </w:r>
      <w:r>
        <w:rPr>
          <w:rFonts w:asciiTheme="majorEastAsia" w:hAnsiTheme="majorEastAsia" w:eastAsiaTheme="majorEastAsia"/>
          <w:color w:val="auto"/>
          <w:sz w:val="21"/>
          <w:szCs w:val="21"/>
        </w:rPr>
        <w:t>对投标报价若有说明应在报价一览表显著处注明。</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（4）投标的报价优惠应对应报价一览表、分项报价明细表等提供相应的明细清单。除报价优惠外，任何超出磋商文件要求而额外赠送的货物、免费培训等其他形式的优惠，在评标时将不具有竞争优势。</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（5）对于有配件、耗材、选件和特殊工具的货物</w:t>
      </w:r>
      <w:r>
        <w:rPr>
          <w:rFonts w:hint="eastAsia" w:asciiTheme="majorEastAsia" w:hAnsiTheme="majorEastAsia" w:eastAsiaTheme="majorEastAsia"/>
          <w:color w:val="auto"/>
          <w:sz w:val="21"/>
          <w:szCs w:val="21"/>
        </w:rPr>
        <w:t>（如有）</w:t>
      </w:r>
      <w:r>
        <w:rPr>
          <w:rFonts w:asciiTheme="majorEastAsia" w:hAnsiTheme="majorEastAsia" w:eastAsiaTheme="majorEastAsia"/>
          <w:color w:val="auto"/>
          <w:sz w:val="21"/>
          <w:szCs w:val="21"/>
        </w:rPr>
        <w:t>，还应填报投标货物配件、耗材、选件表和备件及特殊工具清单，注明品牌、型号、产地、功能、单价、批量折扣等内容，该表格式由</w:t>
      </w:r>
      <w:r>
        <w:rPr>
          <w:rFonts w:hint="eastAsia" w:asciiTheme="majorEastAsia" w:hAnsiTheme="majorEastAsia" w:eastAsiaTheme="majorEastAsia"/>
          <w:color w:val="auto"/>
          <w:sz w:val="21"/>
          <w:szCs w:val="21"/>
        </w:rPr>
        <w:t>响应人</w:t>
      </w:r>
      <w:r>
        <w:rPr>
          <w:rFonts w:asciiTheme="majorEastAsia" w:hAnsiTheme="majorEastAsia" w:eastAsiaTheme="majorEastAsia"/>
          <w:color w:val="auto"/>
          <w:sz w:val="21"/>
          <w:szCs w:val="21"/>
        </w:rPr>
        <w:t>自行设计。</w:t>
      </w:r>
      <w:r>
        <w:rPr>
          <w:rFonts w:hint="eastAsia" w:asciiTheme="majorEastAsia" w:hAnsiTheme="majorEastAsia" w:eastAsiaTheme="majorEastAsia"/>
          <w:color w:val="auto"/>
          <w:sz w:val="21"/>
          <w:szCs w:val="21"/>
        </w:rPr>
        <w:t>响应人</w:t>
      </w:r>
      <w:r>
        <w:rPr>
          <w:rFonts w:asciiTheme="majorEastAsia" w:hAnsiTheme="majorEastAsia" w:eastAsiaTheme="majorEastAsia"/>
          <w:color w:val="auto"/>
          <w:sz w:val="21"/>
          <w:szCs w:val="21"/>
        </w:rPr>
        <w:t>按照上述要求分类报价，其目的是便于评标，但在任何情况下并不限制采购人或采购代理机构以其他条款签订合同的权利。</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（6）最低报价不能作为中标的保证。</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6.4项目技术和实施方案：</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w:t>
      </w:r>
      <w:r>
        <w:rPr>
          <w:rFonts w:hint="eastAsia" w:asciiTheme="majorEastAsia" w:hAnsiTheme="majorEastAsia" w:eastAsiaTheme="majorEastAsia"/>
          <w:color w:val="auto"/>
          <w:sz w:val="21"/>
          <w:szCs w:val="21"/>
        </w:rPr>
        <w:t>5</w:t>
      </w:r>
      <w:r>
        <w:rPr>
          <w:rFonts w:asciiTheme="majorEastAsia" w:hAnsiTheme="majorEastAsia" w:eastAsiaTheme="majorEastAsia"/>
          <w:color w:val="auto"/>
          <w:sz w:val="21"/>
          <w:szCs w:val="21"/>
        </w:rPr>
        <w:t>其他评审相关材料：</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w:t>
      </w:r>
      <w:r>
        <w:rPr>
          <w:rFonts w:hint="eastAsia" w:asciiTheme="majorEastAsia" w:hAnsiTheme="majorEastAsia" w:eastAsiaTheme="majorEastAsia"/>
          <w:color w:val="auto"/>
          <w:sz w:val="21"/>
          <w:szCs w:val="21"/>
        </w:rPr>
        <w:t>响应人</w:t>
      </w:r>
      <w:r>
        <w:rPr>
          <w:rFonts w:asciiTheme="majorEastAsia" w:hAnsiTheme="majorEastAsia" w:eastAsiaTheme="majorEastAsia"/>
          <w:color w:val="auto"/>
          <w:sz w:val="21"/>
          <w:szCs w:val="21"/>
        </w:rPr>
        <w:t>依据评分办法应提交的各类证明资料(要求“原件核查”的材料应当将原件（或公证件）在投标截止时间前随同</w:t>
      </w:r>
      <w:r>
        <w:rPr>
          <w:rFonts w:hint="eastAsia" w:asciiTheme="majorEastAsia" w:hAnsiTheme="majorEastAsia" w:eastAsiaTheme="majorEastAsia"/>
          <w:color w:val="auto"/>
          <w:sz w:val="21"/>
          <w:szCs w:val="21"/>
        </w:rPr>
        <w:t>响应文件</w:t>
      </w:r>
      <w:r>
        <w:rPr>
          <w:rFonts w:asciiTheme="majorEastAsia" w:hAnsiTheme="majorEastAsia" w:eastAsiaTheme="majorEastAsia"/>
          <w:color w:val="auto"/>
          <w:sz w:val="21"/>
          <w:szCs w:val="21"/>
        </w:rPr>
        <w:t>一并提交以供核查，过时不予接收，未提供的评审中将不予计分。)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（2）其他需</w:t>
      </w:r>
      <w:r>
        <w:rPr>
          <w:rFonts w:hint="eastAsia" w:asciiTheme="majorEastAsia" w:hAnsiTheme="majorEastAsia" w:eastAsiaTheme="majorEastAsia"/>
          <w:color w:val="auto"/>
          <w:sz w:val="21"/>
          <w:szCs w:val="21"/>
        </w:rPr>
        <w:t>响应人</w:t>
      </w:r>
      <w:r>
        <w:rPr>
          <w:rFonts w:asciiTheme="majorEastAsia" w:hAnsiTheme="majorEastAsia" w:eastAsiaTheme="majorEastAsia"/>
          <w:color w:val="auto"/>
          <w:sz w:val="21"/>
          <w:szCs w:val="21"/>
        </w:rPr>
        <w:t>对本次投标的详细说明（</w:t>
      </w:r>
      <w:r>
        <w:rPr>
          <w:rFonts w:hint="eastAsia" w:asciiTheme="majorEastAsia" w:hAnsiTheme="majorEastAsia" w:eastAsiaTheme="majorEastAsia"/>
          <w:color w:val="auto"/>
          <w:sz w:val="21"/>
          <w:szCs w:val="21"/>
        </w:rPr>
        <w:t>响应人</w:t>
      </w:r>
      <w:r>
        <w:rPr>
          <w:rFonts w:asciiTheme="majorEastAsia" w:hAnsiTheme="majorEastAsia" w:eastAsiaTheme="majorEastAsia"/>
          <w:color w:val="auto"/>
          <w:sz w:val="21"/>
          <w:szCs w:val="21"/>
        </w:rPr>
        <w:t>视具体项目情况自行编制）；</w:t>
      </w:r>
    </w:p>
    <w:p>
      <w:pPr>
        <w:snapToGrid w:val="0"/>
        <w:spacing w:line="400" w:lineRule="exact"/>
        <w:rPr>
          <w:rFonts w:asciiTheme="majorEastAsia" w:hAnsiTheme="majorEastAsia" w:eastAsiaTheme="majorEastAsia"/>
          <w:color w:val="auto"/>
          <w:sz w:val="21"/>
          <w:szCs w:val="21"/>
        </w:rPr>
      </w:pPr>
      <w:r>
        <w:rPr>
          <w:rFonts w:asciiTheme="majorEastAsia" w:hAnsiTheme="majorEastAsia" w:eastAsiaTheme="majorEastAsia"/>
          <w:bCs/>
          <w:color w:val="auto"/>
          <w:sz w:val="21"/>
          <w:szCs w:val="21"/>
        </w:rPr>
        <w:t>七、响应人应认真检查磋商文件的内容是否齐全，如有遗漏，应及时向采购代理机构索取，否则责任自负。</w:t>
      </w:r>
      <w:bookmarkStart w:id="7" w:name="_Toc288738407"/>
      <w:bookmarkEnd w:id="7"/>
      <w:bookmarkStart w:id="8" w:name="_Toc288738333"/>
      <w:bookmarkEnd w:id="8"/>
      <w:bookmarkStart w:id="9" w:name="_Toc288738801"/>
      <w:bookmarkEnd w:id="9"/>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八、响应文件的制作应当符合以下要求</w:t>
      </w:r>
    </w:p>
    <w:p>
      <w:pPr>
        <w:snapToGrid w:val="0"/>
        <w:spacing w:line="400" w:lineRule="exact"/>
        <w:ind w:firstLine="420" w:firstLineChars="200"/>
        <w:rPr>
          <w:rFonts w:asciiTheme="majorEastAsia" w:hAnsiTheme="majorEastAsia" w:eastAsiaTheme="majorEastAsia"/>
          <w:color w:val="auto"/>
          <w:sz w:val="21"/>
          <w:szCs w:val="21"/>
        </w:rPr>
      </w:pPr>
      <w:bookmarkStart w:id="10" w:name="_Toc288738408"/>
      <w:bookmarkEnd w:id="10"/>
      <w:bookmarkStart w:id="11" w:name="_Toc288738334"/>
      <w:bookmarkEnd w:id="11"/>
      <w:bookmarkStart w:id="12" w:name="_Toc288738802"/>
      <w:r>
        <w:rPr>
          <w:rFonts w:asciiTheme="majorEastAsia" w:hAnsiTheme="majorEastAsia" w:eastAsiaTheme="majorEastAsia"/>
          <w:color w:val="auto"/>
          <w:sz w:val="21"/>
          <w:szCs w:val="21"/>
        </w:rPr>
        <w:t>8.1响应人应准备</w:t>
      </w:r>
      <w:bookmarkEnd w:id="12"/>
      <w:r>
        <w:rPr>
          <w:rFonts w:asciiTheme="majorEastAsia" w:hAnsiTheme="majorEastAsia" w:eastAsiaTheme="majorEastAsia"/>
          <w:bCs/>
          <w:color w:val="auto"/>
          <w:sz w:val="21"/>
          <w:szCs w:val="21"/>
        </w:rPr>
        <w:t>响应文件的正本</w:t>
      </w:r>
      <w:r>
        <w:rPr>
          <w:rFonts w:asciiTheme="majorEastAsia" w:hAnsiTheme="majorEastAsia" w:eastAsiaTheme="majorEastAsia"/>
          <w:color w:val="auto"/>
          <w:kern w:val="20"/>
          <w:sz w:val="21"/>
          <w:szCs w:val="21"/>
          <w:u w:val="single"/>
        </w:rPr>
        <w:t>1</w:t>
      </w:r>
      <w:r>
        <w:rPr>
          <w:rFonts w:asciiTheme="majorEastAsia" w:hAnsiTheme="majorEastAsia" w:eastAsiaTheme="majorEastAsia"/>
          <w:bCs/>
          <w:color w:val="auto"/>
          <w:sz w:val="21"/>
          <w:szCs w:val="21"/>
        </w:rPr>
        <w:t>套，副本</w:t>
      </w:r>
      <w:r>
        <w:rPr>
          <w:rFonts w:asciiTheme="majorEastAsia" w:hAnsiTheme="majorEastAsia" w:eastAsiaTheme="majorEastAsia"/>
          <w:color w:val="auto"/>
          <w:kern w:val="20"/>
          <w:sz w:val="21"/>
          <w:szCs w:val="21"/>
          <w:u w:val="single"/>
        </w:rPr>
        <w:t>2</w:t>
      </w:r>
      <w:r>
        <w:rPr>
          <w:rFonts w:asciiTheme="majorEastAsia" w:hAnsiTheme="majorEastAsia" w:eastAsiaTheme="majorEastAsia"/>
          <w:bCs/>
          <w:color w:val="auto"/>
          <w:sz w:val="21"/>
          <w:szCs w:val="21"/>
        </w:rPr>
        <w:t>套</w:t>
      </w:r>
      <w:r>
        <w:rPr>
          <w:rFonts w:asciiTheme="majorEastAsia" w:hAnsiTheme="majorEastAsia" w:eastAsiaTheme="majorEastAsia"/>
          <w:color w:val="auto"/>
          <w:sz w:val="21"/>
          <w:szCs w:val="21"/>
        </w:rPr>
        <w:t>，响应文件的正本和副本均需打印或使用不褪色的蓝、黑墨水笔书写，字迹应清晰易于辨认，并应在响应文件封面的右上角清楚地注明“正本”或“副本”。正本和副本如有不一致之处，以正本为准。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8.2响应文件由响应人按给定格式如实填写（编写），须有法人、法定代表人或法定代表人授权代表签字（盖章），方为有效，否则作无效响应文件处理。副本可通过正本复印并在规定地方加盖公章。</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8.3响应人违反上述规定的，其响应文件将被作为无效响应文件处理，不予拆封和参加评审。</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8.4全套响应文件应无修改和行间插字。</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8.5投标报价清晰准确，不存在影响其他响应人评分的严重错误。</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8.6所有文件、往来函件均应使用简体中文（规格、型号辅助符号例外）。</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8.7响应人投标一律以人民币为投标结算货币,结算单位为“元”。</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8.8响应文件格式部分，应由响应人按给定格式提供，不得更改，否则视为无效响应文件处理。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8.9响应文件不应有涂改、增删和潦草之处，如有必须修改时，修改处必须有法人、法定代表人或法定代表人授权代表的签字和盖章。</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8.10响应人在响应文件中应加盖与响应人全称相一致的标准公章，不得使用其他形式如带有“专用章”等字样的印章，否则视为无效响应文件处理；响应人法定代表人或授权代表的签字或盖章须为全名，否则视为无效响应文件处理。</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九、在响应文件提交截止时间之前的密封完好的响应文件可以接受。</w:t>
      </w:r>
    </w:p>
    <w:p>
      <w:pPr>
        <w:snapToGrid w:val="0"/>
        <w:spacing w:line="400" w:lineRule="exact"/>
        <w:rPr>
          <w:rFonts w:asciiTheme="majorEastAsia" w:hAnsiTheme="majorEastAsia" w:eastAsiaTheme="majorEastAsia"/>
          <w:bCs/>
          <w:color w:val="auto"/>
          <w:sz w:val="21"/>
          <w:szCs w:val="21"/>
        </w:rPr>
      </w:pPr>
      <w:bookmarkStart w:id="13" w:name="_Toc288738803"/>
      <w:bookmarkEnd w:id="13"/>
      <w:bookmarkStart w:id="14" w:name="_Toc288738409"/>
      <w:bookmarkEnd w:id="14"/>
      <w:bookmarkStart w:id="15" w:name="_Toc288738335"/>
      <w:r>
        <w:rPr>
          <w:rFonts w:asciiTheme="majorEastAsia" w:hAnsiTheme="majorEastAsia" w:eastAsiaTheme="majorEastAsia"/>
          <w:bCs/>
          <w:color w:val="auto"/>
          <w:sz w:val="21"/>
          <w:szCs w:val="21"/>
        </w:rPr>
        <w:t>十、磋商保证金</w:t>
      </w:r>
      <w:bookmarkEnd w:id="15"/>
      <w:r>
        <w:rPr>
          <w:rFonts w:hint="eastAsia" w:asciiTheme="majorEastAsia" w:hAnsiTheme="majorEastAsia" w:eastAsiaTheme="majorEastAsia"/>
          <w:bCs/>
          <w:color w:val="auto"/>
          <w:sz w:val="21"/>
          <w:szCs w:val="21"/>
        </w:rPr>
        <w:t>：</w:t>
      </w:r>
      <w:r>
        <w:rPr>
          <w:rFonts w:hint="eastAsia" w:cs="宋体" w:asciiTheme="majorEastAsia" w:hAnsiTheme="majorEastAsia" w:eastAsiaTheme="majorEastAsia"/>
          <w:color w:val="auto"/>
          <w:sz w:val="21"/>
          <w:szCs w:val="21"/>
        </w:rPr>
        <w:t>本项目不收取磋商保证金</w:t>
      </w:r>
      <w:r>
        <w:rPr>
          <w:rFonts w:asciiTheme="majorEastAsia" w:hAnsiTheme="majorEastAsia" w:eastAsiaTheme="majorEastAsia"/>
          <w:bCs/>
          <w:color w:val="auto"/>
          <w:sz w:val="21"/>
          <w:szCs w:val="21"/>
        </w:rPr>
        <w:t>。</w:t>
      </w:r>
    </w:p>
    <w:p>
      <w:pPr>
        <w:snapToGrid w:val="0"/>
        <w:spacing w:line="400" w:lineRule="exact"/>
        <w:rPr>
          <w:rFonts w:asciiTheme="majorEastAsia" w:hAnsiTheme="majorEastAsia" w:eastAsiaTheme="majorEastAsia"/>
          <w:bCs/>
          <w:color w:val="auto"/>
          <w:sz w:val="21"/>
          <w:szCs w:val="21"/>
        </w:rPr>
      </w:pPr>
      <w:bookmarkStart w:id="16" w:name="_Toc288738805"/>
      <w:bookmarkEnd w:id="16"/>
      <w:bookmarkStart w:id="17" w:name="_Toc288738337"/>
      <w:bookmarkEnd w:id="17"/>
      <w:bookmarkStart w:id="18" w:name="_Toc288738411"/>
      <w:r>
        <w:rPr>
          <w:rFonts w:asciiTheme="majorEastAsia" w:hAnsiTheme="majorEastAsia" w:eastAsiaTheme="majorEastAsia"/>
          <w:bCs/>
          <w:color w:val="auto"/>
          <w:sz w:val="21"/>
          <w:szCs w:val="21"/>
        </w:rPr>
        <w:t>十一、响应文件的密封与标志</w:t>
      </w:r>
      <w:bookmarkEnd w:id="18"/>
    </w:p>
    <w:p>
      <w:pPr>
        <w:snapToGrid w:val="0"/>
        <w:spacing w:line="400" w:lineRule="exact"/>
        <w:ind w:firstLine="420" w:firstLineChars="200"/>
        <w:rPr>
          <w:rFonts w:asciiTheme="majorEastAsia" w:hAnsiTheme="majorEastAsia" w:eastAsiaTheme="majorEastAsia"/>
          <w:color w:val="auto"/>
          <w:sz w:val="21"/>
          <w:szCs w:val="21"/>
        </w:rPr>
      </w:pPr>
      <w:bookmarkStart w:id="19" w:name="_Toc288738412"/>
      <w:bookmarkEnd w:id="19"/>
      <w:bookmarkStart w:id="20" w:name="_Toc288738806"/>
      <w:bookmarkEnd w:id="20"/>
      <w:bookmarkStart w:id="21" w:name="_Toc288738338"/>
      <w:r>
        <w:rPr>
          <w:rFonts w:asciiTheme="majorEastAsia" w:hAnsiTheme="majorEastAsia" w:eastAsiaTheme="majorEastAsia"/>
          <w:color w:val="auto"/>
          <w:sz w:val="21"/>
          <w:szCs w:val="21"/>
        </w:rPr>
        <w:t>11.1响应人应将响应文件密封。</w:t>
      </w:r>
      <w:bookmarkEnd w:id="21"/>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11.2所有封袋上都应写明响应人名称、采购项目名称，采购项目编号，年月日，加盖响应人公章。</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11.3响应人违反上述规定的，其响应文件将被作为无效响应文件，不予拆封和参加评审。</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十二、响应文件提交，截止时间和地点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12.1响应人须在竞争性磋商采购公告规定的响应文件提交截止时间之前在指定地点将响应文件提交给采购代理机构。</w:t>
      </w:r>
    </w:p>
    <w:p>
      <w:pPr>
        <w:spacing w:line="400" w:lineRule="exact"/>
        <w:ind w:firstLine="428" w:firstLineChars="200"/>
        <w:rPr>
          <w:rFonts w:asciiTheme="majorEastAsia" w:hAnsiTheme="majorEastAsia" w:eastAsiaTheme="majorEastAsia"/>
          <w:bCs/>
          <w:color w:val="auto"/>
          <w:sz w:val="21"/>
          <w:szCs w:val="21"/>
        </w:rPr>
      </w:pPr>
      <w:r>
        <w:rPr>
          <w:rFonts w:asciiTheme="majorEastAsia" w:hAnsiTheme="majorEastAsia" w:eastAsiaTheme="majorEastAsia"/>
          <w:bCs/>
          <w:color w:val="auto"/>
          <w:spacing w:val="2"/>
          <w:sz w:val="21"/>
          <w:szCs w:val="21"/>
        </w:rPr>
        <w:t>12.2响应人在提交响应文件时须提供法定代表人或代理人身份证原件（</w:t>
      </w:r>
      <w:r>
        <w:rPr>
          <w:rFonts w:asciiTheme="majorEastAsia" w:hAnsiTheme="majorEastAsia" w:eastAsiaTheme="majorEastAsia"/>
          <w:bCs/>
          <w:color w:val="auto"/>
          <w:sz w:val="21"/>
          <w:szCs w:val="21"/>
        </w:rPr>
        <w:t>若身份证遗失的，可提供临时身份证或居民户口簿</w:t>
      </w:r>
      <w:r>
        <w:rPr>
          <w:rFonts w:asciiTheme="majorEastAsia" w:hAnsiTheme="majorEastAsia" w:eastAsiaTheme="majorEastAsia"/>
          <w:bCs/>
          <w:color w:val="auto"/>
          <w:spacing w:val="2"/>
          <w:sz w:val="21"/>
          <w:szCs w:val="21"/>
        </w:rPr>
        <w:t>），未提供的，采购代理机构不接受其响应文件，不予参加磋商和评审。</w:t>
      </w:r>
      <w:bookmarkStart w:id="22" w:name="_Toc288738413"/>
      <w:bookmarkEnd w:id="22"/>
      <w:bookmarkStart w:id="23" w:name="_Toc288738339"/>
      <w:bookmarkEnd w:id="23"/>
      <w:bookmarkStart w:id="24" w:name="_Toc288738807"/>
      <w:bookmarkEnd w:id="24"/>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十三、响应文件的修改和撤回</w:t>
      </w:r>
    </w:p>
    <w:p>
      <w:pPr>
        <w:snapToGrid w:val="0"/>
        <w:spacing w:line="400" w:lineRule="exact"/>
        <w:ind w:firstLine="420" w:firstLineChars="200"/>
        <w:rPr>
          <w:rFonts w:asciiTheme="majorEastAsia" w:hAnsiTheme="majorEastAsia" w:eastAsiaTheme="majorEastAsia"/>
          <w:bCs/>
          <w:color w:val="auto"/>
          <w:sz w:val="21"/>
          <w:szCs w:val="21"/>
        </w:rPr>
      </w:pPr>
      <w:r>
        <w:rPr>
          <w:rFonts w:asciiTheme="majorEastAsia" w:hAnsiTheme="majorEastAsia" w:eastAsiaTheme="majorEastAsia"/>
          <w:color w:val="auto"/>
          <w:sz w:val="21"/>
          <w:szCs w:val="21"/>
        </w:rPr>
        <w:t>13.1在响应文件提交截止时间之前，响应人可以对所提交的响应文件进行修改和撤回，但所提交的修改或撤回通知必须按磋商文件的规定进行编制、密封、标志（在包封上标明“修改”或“撤回”字样，并注</w:t>
      </w:r>
      <w:r>
        <w:rPr>
          <w:rFonts w:asciiTheme="majorEastAsia" w:hAnsiTheme="majorEastAsia" w:eastAsiaTheme="majorEastAsia"/>
          <w:bCs/>
          <w:color w:val="auto"/>
          <w:sz w:val="21"/>
          <w:szCs w:val="21"/>
        </w:rPr>
        <w:t>明修改或撤回的时间）和提交。响应文件提交截止时间之后，响应人不得修改或撤回响应文件。</w:t>
      </w:r>
      <w:bookmarkStart w:id="25" w:name="_Toc288738340"/>
      <w:bookmarkEnd w:id="25"/>
      <w:bookmarkStart w:id="26" w:name="_Toc288738808"/>
      <w:bookmarkEnd w:id="26"/>
      <w:bookmarkStart w:id="27" w:name="_Toc471819247"/>
      <w:bookmarkEnd w:id="27"/>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十四、磋商报价方式</w:t>
      </w:r>
    </w:p>
    <w:p>
      <w:pPr>
        <w:snapToGrid w:val="0"/>
        <w:spacing w:line="400" w:lineRule="exact"/>
        <w:ind w:firstLine="420" w:firstLineChars="2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14.1投标总价应该包含但不限于</w:t>
      </w:r>
      <w:r>
        <w:rPr>
          <w:rFonts w:hint="eastAsia" w:asciiTheme="majorEastAsia" w:hAnsiTheme="majorEastAsia" w:eastAsiaTheme="majorEastAsia"/>
          <w:bCs/>
          <w:color w:val="auto"/>
          <w:sz w:val="21"/>
          <w:szCs w:val="21"/>
        </w:rPr>
        <w:t>提供完成该项目的全部内容。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14.2响应人应按照磋商文件中提供的格式完整、正确填写投标书、报价一览表。报价一览表中的报价应与分项报价明细表的总价完全一致，如有不一致的，以报价一览表的报价为准。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14.3响应文件报价中的单价和总价全部采用人民币表示，除非合同的特殊条款另有规定。</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14.4响应人应按《分项报价明细表》（如有）中的全部货物计算单价和总价《分项报价明细表》（如有）中的每一单项均应计算并填写单价和总价，该表并由法定代表人或代理人签署。响应人未填单价或合价的项目，在实施后，采购人将不予支付，并视为该项费用已包括在其它有价款的单价或合价内。</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14.5响应人应对磋商文件内所要采购的全部内容进行报价，只投其中部分内容者，其标书将被拒绝。但如果磋商文件要求分包段投标的，则响应人可以按磋商文件要求有选择地只投其中一个或几个包段，也可以投全部包段，但各包段应分别计算填写单价和总价。</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14.6磋商报价次数：本项目采用二轮报价，响应文件中书面报价为首轮报价，第二轮报价不得超过首轮报价，第二轮报价即为最终报价；否则作无效响应处理。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14.7最低报价不能作为中标的保证。</w:t>
      </w:r>
    </w:p>
    <w:p>
      <w:pPr>
        <w:snapToGrid w:val="0"/>
        <w:spacing w:line="400" w:lineRule="exact"/>
        <w:rPr>
          <w:rFonts w:asciiTheme="majorEastAsia" w:hAnsiTheme="majorEastAsia" w:eastAsiaTheme="majorEastAsia"/>
          <w:bCs/>
          <w:color w:val="auto"/>
          <w:sz w:val="21"/>
          <w:szCs w:val="21"/>
        </w:rPr>
      </w:pPr>
      <w:bookmarkStart w:id="28" w:name="_Toc288738344"/>
      <w:bookmarkEnd w:id="28"/>
      <w:bookmarkStart w:id="29" w:name="_Toc288738418"/>
      <w:bookmarkEnd w:id="29"/>
      <w:bookmarkStart w:id="30" w:name="_Toc288738812"/>
      <w:r>
        <w:rPr>
          <w:rFonts w:asciiTheme="majorEastAsia" w:hAnsiTheme="majorEastAsia" w:eastAsiaTheme="majorEastAsia"/>
          <w:bCs/>
          <w:color w:val="auto"/>
          <w:sz w:val="21"/>
          <w:szCs w:val="21"/>
        </w:rPr>
        <w:t>十五、响应文件的有效期</w:t>
      </w:r>
      <w:bookmarkEnd w:id="30"/>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15.1本项目响应文件的有效期</w:t>
      </w:r>
      <w:r>
        <w:rPr>
          <w:rFonts w:asciiTheme="majorEastAsia" w:hAnsiTheme="majorEastAsia" w:eastAsiaTheme="majorEastAsia"/>
          <w:bCs/>
          <w:color w:val="auto"/>
          <w:sz w:val="21"/>
          <w:szCs w:val="21"/>
        </w:rPr>
        <w:t>详见响应人须知前附表第</w:t>
      </w:r>
      <w:r>
        <w:rPr>
          <w:rFonts w:hint="eastAsia" w:cs="宋体" w:asciiTheme="majorEastAsia" w:hAnsiTheme="majorEastAsia" w:eastAsiaTheme="majorEastAsia"/>
          <w:bCs/>
          <w:color w:val="auto"/>
          <w:sz w:val="21"/>
          <w:szCs w:val="21"/>
        </w:rPr>
        <w:t>17</w:t>
      </w:r>
      <w:r>
        <w:rPr>
          <w:rFonts w:asciiTheme="majorEastAsia" w:hAnsiTheme="majorEastAsia" w:eastAsiaTheme="majorEastAsia"/>
          <w:bCs/>
          <w:color w:val="auto"/>
          <w:sz w:val="21"/>
          <w:szCs w:val="21"/>
        </w:rPr>
        <w:t>条</w:t>
      </w:r>
      <w:r>
        <w:rPr>
          <w:rFonts w:asciiTheme="majorEastAsia" w:hAnsiTheme="majorEastAsia" w:eastAsiaTheme="majorEastAsia"/>
          <w:color w:val="auto"/>
          <w:sz w:val="21"/>
          <w:szCs w:val="21"/>
        </w:rPr>
        <w:t>。响应截止时间后，响应人在响应有效期内不得撤销响应文件。</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15.2在特殊情况下，采购人或采购代理机构可与响应人协商延长响应文件的有效期。这种要求和答复都应以书面形式进行。同意延长有效期的响应人除按照采购人或采购代理机构要求修改响应文件有效期外，不得修改响应文件的其他内容。</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十六、</w:t>
      </w:r>
      <w:r>
        <w:rPr>
          <w:rFonts w:hint="eastAsia" w:cs="宋体" w:asciiTheme="majorEastAsia" w:hAnsiTheme="majorEastAsia" w:eastAsiaTheme="majorEastAsia"/>
          <w:bCs/>
          <w:color w:val="auto"/>
          <w:sz w:val="21"/>
          <w:szCs w:val="21"/>
        </w:rPr>
        <w:t>标前答疑</w:t>
      </w:r>
      <w:r>
        <w:rPr>
          <w:rFonts w:asciiTheme="majorEastAsia" w:hAnsiTheme="majorEastAsia" w:eastAsiaTheme="majorEastAsia"/>
          <w:bCs/>
          <w:color w:val="auto"/>
          <w:sz w:val="21"/>
          <w:szCs w:val="21"/>
        </w:rPr>
        <w:t>会时间和地点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16.1本项目</w:t>
      </w:r>
      <w:r>
        <w:rPr>
          <w:rFonts w:hint="eastAsia" w:cs="宋体" w:asciiTheme="majorEastAsia" w:hAnsiTheme="majorEastAsia" w:eastAsiaTheme="majorEastAsia"/>
          <w:color w:val="auto"/>
          <w:sz w:val="21"/>
          <w:szCs w:val="21"/>
        </w:rPr>
        <w:t>磋商</w:t>
      </w:r>
      <w:r>
        <w:rPr>
          <w:rFonts w:asciiTheme="majorEastAsia" w:hAnsiTheme="majorEastAsia" w:eastAsiaTheme="majorEastAsia"/>
          <w:color w:val="auto"/>
          <w:sz w:val="21"/>
          <w:szCs w:val="21"/>
        </w:rPr>
        <w:t>文件的</w:t>
      </w:r>
      <w:r>
        <w:rPr>
          <w:rFonts w:hint="eastAsia" w:cs="宋体" w:asciiTheme="majorEastAsia" w:hAnsiTheme="majorEastAsia" w:eastAsiaTheme="majorEastAsia"/>
          <w:color w:val="auto"/>
          <w:sz w:val="21"/>
          <w:szCs w:val="21"/>
        </w:rPr>
        <w:t>标前</w:t>
      </w:r>
      <w:r>
        <w:rPr>
          <w:rFonts w:asciiTheme="majorEastAsia" w:hAnsiTheme="majorEastAsia" w:eastAsiaTheme="majorEastAsia"/>
          <w:color w:val="auto"/>
          <w:sz w:val="21"/>
          <w:szCs w:val="21"/>
        </w:rPr>
        <w:t>答疑会时间和地点详见</w:t>
      </w:r>
      <w:r>
        <w:rPr>
          <w:rFonts w:asciiTheme="majorEastAsia" w:hAnsiTheme="majorEastAsia" w:eastAsiaTheme="majorEastAsia"/>
          <w:bCs/>
          <w:color w:val="auto"/>
          <w:sz w:val="21"/>
          <w:szCs w:val="21"/>
        </w:rPr>
        <w:t>响应人须知前附表第10、11、12条</w:t>
      </w:r>
      <w:r>
        <w:rPr>
          <w:rFonts w:asciiTheme="majorEastAsia" w:hAnsiTheme="majorEastAsia" w:eastAsiaTheme="majorEastAsia"/>
          <w:color w:val="auto"/>
          <w:sz w:val="21"/>
          <w:szCs w:val="21"/>
        </w:rPr>
        <w:t>。</w:t>
      </w:r>
    </w:p>
    <w:p>
      <w:pPr>
        <w:snapToGrid w:val="0"/>
        <w:spacing w:line="400" w:lineRule="exact"/>
        <w:rPr>
          <w:rFonts w:asciiTheme="majorEastAsia" w:hAnsiTheme="majorEastAsia" w:eastAsiaTheme="majorEastAsia"/>
          <w:bCs/>
          <w:color w:val="auto"/>
          <w:sz w:val="21"/>
          <w:szCs w:val="21"/>
        </w:rPr>
      </w:pPr>
      <w:bookmarkStart w:id="31" w:name="_Toc288738813"/>
      <w:bookmarkEnd w:id="31"/>
      <w:bookmarkStart w:id="32" w:name="_Toc288738345"/>
      <w:bookmarkEnd w:id="32"/>
      <w:bookmarkStart w:id="33" w:name="_Toc288738419"/>
      <w:r>
        <w:rPr>
          <w:rFonts w:asciiTheme="majorEastAsia" w:hAnsiTheme="majorEastAsia" w:eastAsiaTheme="majorEastAsia"/>
          <w:bCs/>
          <w:color w:val="auto"/>
          <w:sz w:val="21"/>
          <w:szCs w:val="21"/>
        </w:rPr>
        <w:t>十七、评审、评定成交方法</w:t>
      </w:r>
      <w:bookmarkEnd w:id="33"/>
    </w:p>
    <w:p>
      <w:pPr>
        <w:spacing w:line="400" w:lineRule="exact"/>
        <w:ind w:firstLine="411" w:firstLineChars="196"/>
        <w:rPr>
          <w:rFonts w:asciiTheme="majorEastAsia" w:hAnsiTheme="majorEastAsia" w:eastAsiaTheme="majorEastAsia"/>
          <w:color w:val="auto"/>
          <w:sz w:val="21"/>
          <w:szCs w:val="21"/>
        </w:rPr>
      </w:pPr>
      <w:bookmarkStart w:id="34" w:name="_Toc288738346"/>
      <w:bookmarkEnd w:id="34"/>
      <w:bookmarkStart w:id="35" w:name="_Toc288738814"/>
      <w:bookmarkEnd w:id="35"/>
      <w:bookmarkStart w:id="36" w:name="_Toc288738420"/>
      <w:r>
        <w:rPr>
          <w:rFonts w:asciiTheme="majorEastAsia" w:hAnsiTheme="majorEastAsia" w:eastAsiaTheme="majorEastAsia"/>
          <w:color w:val="auto"/>
          <w:sz w:val="21"/>
          <w:szCs w:val="21"/>
        </w:rPr>
        <w:t>17.1本项目采用综合评</w:t>
      </w:r>
      <w:bookmarkEnd w:id="36"/>
      <w:r>
        <w:rPr>
          <w:rFonts w:hint="eastAsia" w:cs="宋体" w:asciiTheme="majorEastAsia" w:hAnsiTheme="majorEastAsia" w:eastAsiaTheme="majorEastAsia"/>
          <w:color w:val="auto"/>
          <w:sz w:val="21"/>
          <w:szCs w:val="21"/>
        </w:rPr>
        <w:t>分</w:t>
      </w:r>
      <w:r>
        <w:rPr>
          <w:rFonts w:asciiTheme="majorEastAsia" w:hAnsiTheme="majorEastAsia" w:eastAsiaTheme="majorEastAsia"/>
          <w:color w:val="auto"/>
          <w:sz w:val="21"/>
          <w:szCs w:val="21"/>
        </w:rPr>
        <w:t>法，响应文件满足磋商文件全部实质性要求且最终评分最高的响应人为成交供应商。</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十八、磋商及评审程序</w:t>
      </w:r>
    </w:p>
    <w:p>
      <w:pPr>
        <w:spacing w:line="400" w:lineRule="exact"/>
        <w:ind w:firstLine="420"/>
        <w:rPr>
          <w:rFonts w:asciiTheme="majorEastAsia" w:hAnsiTheme="majorEastAsia" w:eastAsiaTheme="majorEastAsia"/>
          <w:bCs/>
          <w:color w:val="auto"/>
          <w:sz w:val="21"/>
          <w:szCs w:val="21"/>
          <w:u w:val="single"/>
        </w:rPr>
      </w:pPr>
      <w:bookmarkStart w:id="37" w:name="_Toc288738423"/>
      <w:bookmarkEnd w:id="37"/>
      <w:bookmarkStart w:id="38" w:name="_Toc288738349"/>
      <w:bookmarkEnd w:id="38"/>
      <w:bookmarkStart w:id="39" w:name="_Toc288738817"/>
      <w:bookmarkEnd w:id="39"/>
      <w:r>
        <w:rPr>
          <w:rFonts w:asciiTheme="majorEastAsia" w:hAnsiTheme="majorEastAsia" w:eastAsiaTheme="majorEastAsia"/>
          <w:color w:val="auto"/>
          <w:sz w:val="21"/>
          <w:szCs w:val="21"/>
        </w:rPr>
        <w:t>18.1成立磋商小组。磋商小组由三人以上单数组成，其中经济、技术等方面的专家不少于磋商小组成员总数的三分之二。</w:t>
      </w:r>
    </w:p>
    <w:p>
      <w:pPr>
        <w:spacing w:line="400" w:lineRule="exact"/>
        <w:ind w:firstLine="420"/>
        <w:rPr>
          <w:rFonts w:asciiTheme="majorEastAsia" w:hAnsiTheme="majorEastAsia" w:eastAsiaTheme="majorEastAsia"/>
          <w:color w:val="auto"/>
          <w:kern w:val="0"/>
          <w:sz w:val="21"/>
          <w:szCs w:val="21"/>
        </w:rPr>
      </w:pPr>
      <w:r>
        <w:rPr>
          <w:rFonts w:asciiTheme="majorEastAsia" w:hAnsiTheme="majorEastAsia" w:eastAsiaTheme="majorEastAsia"/>
          <w:color w:val="auto"/>
          <w:kern w:val="0"/>
          <w:sz w:val="21"/>
          <w:szCs w:val="21"/>
        </w:rPr>
        <w:t>18.2采购代理机构将按</w:t>
      </w:r>
      <w:r>
        <w:rPr>
          <w:rFonts w:asciiTheme="majorEastAsia" w:hAnsiTheme="majorEastAsia" w:eastAsiaTheme="majorEastAsia"/>
          <w:bCs/>
          <w:color w:val="auto"/>
          <w:kern w:val="0"/>
          <w:sz w:val="21"/>
          <w:szCs w:val="21"/>
        </w:rPr>
        <w:t>第一部分采购邀请</w:t>
      </w:r>
      <w:r>
        <w:rPr>
          <w:rFonts w:asciiTheme="majorEastAsia" w:hAnsiTheme="majorEastAsia" w:eastAsiaTheme="majorEastAsia"/>
          <w:color w:val="auto"/>
          <w:kern w:val="0"/>
          <w:sz w:val="21"/>
          <w:szCs w:val="21"/>
        </w:rPr>
        <w:t>中规定的时间和地点举行磋商会议，响应人的法定代表人或其代理人须参加磋商会议。</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18.3磋商会议由采购代理机构组织并主持，由</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或者其推选的代表检查响应文件的密封情况；对响应文件进行检查，确认是否完整，文件签署是否正确，是否按本须知编制。</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18.4经确认无误后，由采购人或者采购代理机构工作人员当众宣布响应文件密封性核查结果；</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18.5</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法定代表人或代理人在评审结果宣布前，未经同意不得擅自离开采购代理机构；</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18.6拆封响应文件；</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18.7磋商小组检验已开封的</w:t>
      </w:r>
      <w:r>
        <w:rPr>
          <w:rFonts w:hint="eastAsia" w:asciiTheme="majorEastAsia" w:hAnsiTheme="majorEastAsia" w:eastAsiaTheme="majorEastAsia"/>
          <w:color w:val="auto"/>
          <w:spacing w:val="2"/>
          <w:sz w:val="21"/>
          <w:szCs w:val="21"/>
        </w:rPr>
        <w:t>响应</w:t>
      </w:r>
      <w:r>
        <w:rPr>
          <w:rFonts w:asciiTheme="majorEastAsia" w:hAnsiTheme="majorEastAsia" w:eastAsiaTheme="majorEastAsia"/>
          <w:color w:val="auto"/>
          <w:spacing w:val="2"/>
          <w:sz w:val="21"/>
          <w:szCs w:val="21"/>
        </w:rPr>
        <w:t>文件是否符合磋商文件有关规定，是否完整，文件签署是否正确；</w:t>
      </w:r>
      <w:r>
        <w:rPr>
          <w:rFonts w:asciiTheme="majorEastAsia" w:hAnsiTheme="majorEastAsia" w:eastAsiaTheme="majorEastAsia"/>
          <w:color w:val="auto"/>
          <w:sz w:val="21"/>
          <w:szCs w:val="21"/>
        </w:rPr>
        <w:t>磋商小组</w:t>
      </w:r>
      <w:r>
        <w:rPr>
          <w:rFonts w:asciiTheme="majorEastAsia" w:hAnsiTheme="majorEastAsia" w:eastAsiaTheme="majorEastAsia"/>
          <w:color w:val="auto"/>
          <w:spacing w:val="2"/>
          <w:sz w:val="21"/>
          <w:szCs w:val="21"/>
        </w:rPr>
        <w:t>依据磋商文件规定进行资格审查、有效性审查，审查每份响应文件是否实质上响应了磋商文件的要求；</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（1）实质上响应的响应是指与磋商文件的主要条款、条件和规格相符，没有重大偏离或保留。</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2）重大偏离或保留系指响应产品的质量、数量和交货期限等明显不能满足磋商文件的要求，或者实质上与磋商文件不一致，而且限制了采购人的权利或响应人的义务，纠正这些偏离或保留将对其他实质上响应要求的响应人的竞争地位产生不公正的影响。包括但不限于：</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a.应当交纳响应保证金的响应人未提交响应保证金或金额不足的；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b.本文件“响应人须知”第6条“响应文件组成及相关要求”部分中，带*的资格证明文件不全或无效的；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c.响应文件未按磋商文件的规定密封、签署、盖章的；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d.响应有效期不足的；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e.响应产品性能、规格、数量、交货时间、货物包装方式、检验标准和方法、售后服务承诺等不满足磋商文件中的相关要求和超出采购人可接受的偏差范围的；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f.未按照磋商文件规定报价的；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g.不符合磋商文件有关分包、转包规定的；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h.联合体响应文件未附联合体响应协议书的（如有）；</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i.响应文件附有采购人不能接受的条件；</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j.不符合磋商文件中规定的其他实质性要求。</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（3）重大偏离不允许在响应截止时间后修正，但磋商小组将允许修正响应中不构成重大偏离的地方，这些修正不会对其他实质上响应磋商文件要求的响应人的竞争地位产生不公正的影响。</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（4）如果响应文件实质上没有响应磋商文件的要求，磋商小组将予以拒绝，响应人不得再对响应文件进行任何修正从而使其响应成为实质上响应的响应。</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18.8只有通过资格审查并合格的</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才能进入下面的磋商程序，同时通过资格审查合格的</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须不少于三家，否则磋商失败。磋商小组核对响应文件一次报价,一次报价不得超过采购预算或采购</w:t>
      </w:r>
      <w:r>
        <w:rPr>
          <w:rFonts w:asciiTheme="majorEastAsia" w:hAnsiTheme="majorEastAsia" w:eastAsiaTheme="majorEastAsia"/>
          <w:color w:val="auto"/>
          <w:sz w:val="21"/>
          <w:szCs w:val="21"/>
        </w:rPr>
        <w:t>最高限价</w:t>
      </w:r>
      <w:r>
        <w:rPr>
          <w:rFonts w:asciiTheme="majorEastAsia" w:hAnsiTheme="majorEastAsia" w:eastAsiaTheme="majorEastAsia"/>
          <w:color w:val="auto"/>
          <w:spacing w:val="2"/>
          <w:sz w:val="21"/>
          <w:szCs w:val="21"/>
        </w:rPr>
        <w:t>,否则不得进入后面的磋商程序。</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18.9按照签到顺序，磋商小组所有成员集中与单一供应商分别就技术、服务等内容进行磋商，确定其是否满足磋商要求，对磋商响应文件中含义不明确的内容磋商小组可要求</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进行澄清说明，磋商文件如有实质性变动的，磋商小组应当以书面形式通知所有参加磋商的</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18.10</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填写有关第二次报价内容（最后总报价）</w:t>
      </w:r>
      <w:r>
        <w:rPr>
          <w:rFonts w:hint="eastAsia" w:asciiTheme="majorEastAsia" w:hAnsiTheme="majorEastAsia" w:eastAsiaTheme="majorEastAsia"/>
          <w:color w:val="auto"/>
          <w:spacing w:val="2"/>
          <w:sz w:val="21"/>
          <w:szCs w:val="21"/>
        </w:rPr>
        <w:t>（</w:t>
      </w:r>
      <w:r>
        <w:rPr>
          <w:rFonts w:asciiTheme="majorEastAsia" w:hAnsiTheme="majorEastAsia" w:eastAsiaTheme="majorEastAsia"/>
          <w:color w:val="auto"/>
          <w:spacing w:val="2"/>
          <w:sz w:val="21"/>
          <w:szCs w:val="21"/>
        </w:rPr>
        <w:t>除因磋商文件修改导致成本增加，二次报价不得超过第一次报价，否则为无效响应报价</w:t>
      </w:r>
      <w:r>
        <w:rPr>
          <w:rFonts w:hint="eastAsia" w:asciiTheme="majorEastAsia" w:hAnsiTheme="majorEastAsia" w:eastAsiaTheme="majorEastAsia"/>
          <w:color w:val="auto"/>
          <w:spacing w:val="2"/>
          <w:sz w:val="21"/>
          <w:szCs w:val="21"/>
        </w:rPr>
        <w:t>）</w:t>
      </w:r>
      <w:r>
        <w:rPr>
          <w:rFonts w:asciiTheme="majorEastAsia" w:hAnsiTheme="majorEastAsia" w:eastAsiaTheme="majorEastAsia"/>
          <w:color w:val="auto"/>
          <w:spacing w:val="2"/>
          <w:sz w:val="21"/>
          <w:szCs w:val="21"/>
        </w:rPr>
        <w:t>，并在最后一个</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磋商结束后十五分钟内同时递交第二次报价表（此表由</w:t>
      </w:r>
      <w:r>
        <w:rPr>
          <w:rFonts w:hint="eastAsia" w:asciiTheme="majorEastAsia" w:hAnsiTheme="majorEastAsia" w:eastAsiaTheme="majorEastAsia"/>
          <w:color w:val="auto"/>
          <w:spacing w:val="2"/>
          <w:sz w:val="21"/>
          <w:szCs w:val="21"/>
        </w:rPr>
        <w:t>采购</w:t>
      </w:r>
      <w:r>
        <w:rPr>
          <w:rFonts w:asciiTheme="majorEastAsia" w:hAnsiTheme="majorEastAsia" w:eastAsiaTheme="majorEastAsia"/>
          <w:color w:val="auto"/>
          <w:spacing w:val="2"/>
          <w:sz w:val="21"/>
          <w:szCs w:val="21"/>
        </w:rPr>
        <w:t>代理机构提供）；如未按上述时间递交承诺函的</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，将作为自动放弃此次磋商，最后总报价超采购预算或采购最高限价的磋商</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不具备成交资格。</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18.11磋商小组根据</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的承诺、响应程度和</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的最后总报价进行按磋商文件规定的评审办法进行评审并给出评审意见。</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18.12磋商小组根据磋商成交原则确定成交供应商，并将结果通知所有参加磋商的未成交的供应商。</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18.13磋商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磋商小组应当将其作为无效投标处理。</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18.14磋商小组各成员应当在评审报告上签字，对自己的评审意见承担法律责任。对需要共同认定的事项存在争议的，应当按照少数服从多数的原则作出结论。持不同意见的磋商小组成员应当在评标报告上签署不同意见及理由，否则视为同意评标报告。</w:t>
      </w:r>
    </w:p>
    <w:p>
      <w:pPr>
        <w:spacing w:line="400" w:lineRule="exact"/>
        <w:ind w:firstLine="417"/>
        <w:rPr>
          <w:rFonts w:asciiTheme="majorEastAsia" w:hAnsiTheme="majorEastAsia" w:eastAsiaTheme="majorEastAsia"/>
          <w:color w:val="auto"/>
          <w:sz w:val="21"/>
          <w:szCs w:val="21"/>
        </w:rPr>
      </w:pPr>
      <w:r>
        <w:rPr>
          <w:rFonts w:asciiTheme="majorEastAsia" w:hAnsiTheme="majorEastAsia" w:eastAsiaTheme="majorEastAsia"/>
          <w:color w:val="auto"/>
          <w:spacing w:val="2"/>
          <w:sz w:val="21"/>
          <w:szCs w:val="21"/>
        </w:rPr>
        <w:t>18.15如磋商过程中出现本采购磋商文件未尽事宜，由磋商小组根据有关法律、法规讨论决定。</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十九、响应文件出现下列情况之一的，将作为无效响应文件处理，无效响应文件不予参加评审。</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19.1响应文件未按规定标志、密封、盖章的；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19.2响应文件未加盖响应人公章的；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19.3授权委托书无响应人公章、法定代表人的印鉴（或签名），或委托书非原件的；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19.4响应人未通过报名的或者在名称上和法人地位上与报名情况发生实质性的改变的；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19.5响应人不符合磋商文件中规定资格要求的，或者资格要求证明材料提供不齐全的；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19.6响应文件未按磋商文件规定的格式、内容和要求编制，响应文件字迹潦草、模糊、难以辨认；</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19.7响应人在一份响应文件中，对同一采购项目报有两个或多个报价，且未书面确定以哪个报价为准的；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19.8响应人在磋商报价中存在严重错误，并影响对其他响应人的评分的；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19.9响应文件材料所述情况和所附相关资料不实的；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19.10响应人以他人的名义投标、串通投标、以行贿手段谋取中标或者以其他弄虚作假方式投标的。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19.11逾期送达的响应文件；</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19.12未按磋商文件规定的方式和时间缴至指定帐户的（达到免收保证金条件的此款忽略）；</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19.13响应人的最终磋商报价超出最高限价；</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19.14</w:t>
      </w:r>
      <w:r>
        <w:rPr>
          <w:rFonts w:hint="eastAsia" w:cs="宋体" w:asciiTheme="majorEastAsia" w:hAnsiTheme="majorEastAsia" w:eastAsiaTheme="majorEastAsia"/>
          <w:color w:val="auto"/>
          <w:sz w:val="21"/>
          <w:szCs w:val="21"/>
        </w:rPr>
        <w:t>响应文件的已标价工程量清单与采购文件提供的工程量清单中的项目编码、项目名称、项目特征、计量单位、工程量不一致的（如有）；</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19.15磋商文件明确规定无效的其他情形，或者其他被磋商小组认定无效的情况；</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19.16磋商文件中约定的其他无效标要求。</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19.17不符合法律、法规和</w:t>
      </w:r>
      <w:r>
        <w:rPr>
          <w:rFonts w:hint="eastAsia" w:cs="宋体" w:asciiTheme="majorEastAsia" w:hAnsiTheme="majorEastAsia" w:eastAsiaTheme="majorEastAsia"/>
          <w:color w:val="auto"/>
          <w:sz w:val="21"/>
          <w:szCs w:val="21"/>
        </w:rPr>
        <w:t>磋商文件</w:t>
      </w:r>
      <w:r>
        <w:rPr>
          <w:rFonts w:asciiTheme="majorEastAsia" w:hAnsiTheme="majorEastAsia" w:eastAsiaTheme="majorEastAsia"/>
          <w:color w:val="auto"/>
          <w:sz w:val="21"/>
          <w:szCs w:val="21"/>
        </w:rPr>
        <w:t>规定的其他实质性要求的。</w:t>
      </w:r>
    </w:p>
    <w:p>
      <w:pPr>
        <w:snapToGrid w:val="0"/>
        <w:spacing w:line="400" w:lineRule="exact"/>
        <w:rPr>
          <w:rFonts w:asciiTheme="majorEastAsia" w:hAnsiTheme="majorEastAsia" w:eastAsiaTheme="majorEastAsia"/>
          <w:bCs/>
          <w:color w:val="auto"/>
          <w:sz w:val="21"/>
          <w:szCs w:val="21"/>
        </w:rPr>
      </w:pPr>
      <w:bookmarkStart w:id="40" w:name="_Toc288738424"/>
      <w:bookmarkEnd w:id="40"/>
      <w:bookmarkStart w:id="41" w:name="_Toc288738818"/>
      <w:bookmarkEnd w:id="41"/>
      <w:bookmarkStart w:id="42" w:name="_Toc288738350"/>
      <w:r>
        <w:rPr>
          <w:rFonts w:asciiTheme="majorEastAsia" w:hAnsiTheme="majorEastAsia" w:eastAsiaTheme="majorEastAsia"/>
          <w:bCs/>
          <w:color w:val="auto"/>
          <w:sz w:val="21"/>
          <w:szCs w:val="21"/>
        </w:rPr>
        <w:t>二十、</w:t>
      </w:r>
      <w:bookmarkEnd w:id="42"/>
      <w:r>
        <w:rPr>
          <w:rFonts w:asciiTheme="majorEastAsia" w:hAnsiTheme="majorEastAsia" w:eastAsiaTheme="majorEastAsia"/>
          <w:bCs/>
          <w:color w:val="auto"/>
          <w:sz w:val="21"/>
          <w:szCs w:val="21"/>
        </w:rPr>
        <w:t>确定成交供应商</w:t>
      </w:r>
    </w:p>
    <w:p>
      <w:pPr>
        <w:snapToGrid w:val="0"/>
        <w:spacing w:line="400" w:lineRule="exact"/>
        <w:ind w:firstLine="420" w:firstLineChars="200"/>
        <w:rPr>
          <w:rFonts w:asciiTheme="majorEastAsia" w:hAnsiTheme="majorEastAsia" w:eastAsiaTheme="majorEastAsia"/>
          <w:color w:val="auto"/>
          <w:sz w:val="21"/>
          <w:szCs w:val="21"/>
        </w:rPr>
      </w:pPr>
      <w:bookmarkStart w:id="43" w:name="_Toc288738819"/>
      <w:bookmarkEnd w:id="43"/>
      <w:bookmarkStart w:id="44" w:name="_Toc288738351"/>
      <w:bookmarkEnd w:id="44"/>
      <w:bookmarkStart w:id="45" w:name="_Toc288738425"/>
      <w:r>
        <w:rPr>
          <w:rFonts w:asciiTheme="majorEastAsia" w:hAnsiTheme="majorEastAsia" w:eastAsiaTheme="majorEastAsia"/>
          <w:color w:val="auto"/>
          <w:sz w:val="21"/>
          <w:szCs w:val="21"/>
        </w:rPr>
        <w:t>20.1磋商小组应当根据综合评分情况，按照评审得分由高到低顺序推荐3名以上成交候选响应人，并编写评审报告。评审得分且最后报价相同的，</w:t>
      </w:r>
      <w:bookmarkEnd w:id="45"/>
      <w:r>
        <w:rPr>
          <w:rFonts w:asciiTheme="majorEastAsia" w:hAnsiTheme="majorEastAsia" w:eastAsiaTheme="majorEastAsia"/>
          <w:bCs/>
          <w:color w:val="auto"/>
          <w:sz w:val="21"/>
          <w:szCs w:val="21"/>
        </w:rPr>
        <w:t>则采取随机抽取方式确定</w:t>
      </w:r>
      <w:r>
        <w:rPr>
          <w:rFonts w:asciiTheme="majorEastAsia" w:hAnsiTheme="majorEastAsia" w:eastAsiaTheme="majorEastAsia"/>
          <w:color w:val="auto"/>
          <w:sz w:val="21"/>
          <w:szCs w:val="21"/>
        </w:rPr>
        <w:t>。</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20.</w:t>
      </w:r>
      <w:r>
        <w:rPr>
          <w:rFonts w:hint="eastAsia" w:asciiTheme="majorEastAsia" w:hAnsiTheme="majorEastAsia" w:eastAsiaTheme="majorEastAsia"/>
          <w:color w:val="auto"/>
          <w:sz w:val="21"/>
          <w:szCs w:val="21"/>
        </w:rPr>
        <w:t>2</w:t>
      </w:r>
      <w:r>
        <w:rPr>
          <w:rFonts w:asciiTheme="majorEastAsia" w:hAnsiTheme="majorEastAsia" w:eastAsiaTheme="majorEastAsia"/>
          <w:color w:val="auto"/>
          <w:sz w:val="21"/>
          <w:szCs w:val="21"/>
        </w:rPr>
        <w:t>采购人将确定排名第一的成交候选人为成交供应商并向其授予合同。</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20.</w:t>
      </w:r>
      <w:r>
        <w:rPr>
          <w:rFonts w:hint="eastAsia" w:asciiTheme="majorEastAsia" w:hAnsiTheme="majorEastAsia" w:eastAsiaTheme="majorEastAsia"/>
          <w:color w:val="auto"/>
          <w:sz w:val="21"/>
          <w:szCs w:val="21"/>
        </w:rPr>
        <w:t>3</w:t>
      </w:r>
      <w:r>
        <w:rPr>
          <w:rFonts w:asciiTheme="majorEastAsia" w:hAnsiTheme="majorEastAsia" w:eastAsiaTheme="majorEastAsia"/>
          <w:color w:val="auto"/>
          <w:sz w:val="21"/>
          <w:szCs w:val="21"/>
        </w:rPr>
        <w:t>采购人也可授权磋商小组按本条规定直接确定成交供应商。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20.</w:t>
      </w:r>
      <w:r>
        <w:rPr>
          <w:rFonts w:hint="eastAsia" w:asciiTheme="majorEastAsia" w:hAnsiTheme="majorEastAsia" w:eastAsiaTheme="majorEastAsia"/>
          <w:color w:val="auto"/>
          <w:sz w:val="21"/>
          <w:szCs w:val="21"/>
        </w:rPr>
        <w:t>4</w:t>
      </w:r>
      <w:r>
        <w:rPr>
          <w:rFonts w:asciiTheme="majorEastAsia" w:hAnsiTheme="majorEastAsia" w:eastAsiaTheme="majorEastAsia"/>
          <w:color w:val="auto"/>
          <w:sz w:val="21"/>
          <w:szCs w:val="21"/>
        </w:rPr>
        <w:t>除资格性检查认定错误、分值汇总计算错误、分项评分超出评分标准范围、客观分评分不一致、经磋商小组一致认定评分畸高、畸低的情形外，采购人或者采购代理机构不得以任何理由组织重新评审。采购人、采购代理机构发现磋商小组未按照磋商文件规定的评审标准进行评审的，应当重新开展采购活动，并同时书面报告本级监督部门。</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二十一、响应文件的澄清</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21.1为了有助于响应文件的审查、评价和比较，磋商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21.2响应文件中的大写金额和小写金额不一致时的，以大写金额为准；单价乘数量不等于总价，数量符合磋商文件要求，以单价计算金额为准；单价金额小数点有明细错位的，应以总价为准，并修改单价；</w:t>
      </w:r>
      <w:r>
        <w:rPr>
          <w:rFonts w:asciiTheme="majorEastAsia" w:hAnsiTheme="majorEastAsia" w:eastAsiaTheme="majorEastAsia"/>
          <w:bCs/>
          <w:color w:val="auto"/>
          <w:sz w:val="21"/>
          <w:szCs w:val="21"/>
        </w:rPr>
        <w:t>缺项漏项或者数量不符合磋商文件要求的作为无效响应文件处理；</w:t>
      </w:r>
      <w:r>
        <w:rPr>
          <w:rFonts w:asciiTheme="majorEastAsia" w:hAnsiTheme="majorEastAsia" w:eastAsiaTheme="majorEastAsia"/>
          <w:color w:val="auto"/>
          <w:sz w:val="21"/>
          <w:szCs w:val="21"/>
        </w:rPr>
        <w:t>对不同文字文本响应文件的解释发生异议的，以中文文本为准。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21.3所有澄清或说明必须以书面方式正式为之，由法定代表人或其代理人的签名或盖章。</w:t>
      </w:r>
    </w:p>
    <w:p>
      <w:pPr>
        <w:snapToGrid w:val="0"/>
        <w:spacing w:line="400" w:lineRule="exact"/>
        <w:rPr>
          <w:rFonts w:asciiTheme="majorEastAsia" w:hAnsiTheme="majorEastAsia" w:eastAsiaTheme="majorEastAsia"/>
          <w:bCs/>
          <w:color w:val="auto"/>
          <w:sz w:val="21"/>
          <w:szCs w:val="21"/>
        </w:rPr>
      </w:pPr>
      <w:bookmarkStart w:id="46" w:name="_Toc288738426"/>
      <w:bookmarkEnd w:id="46"/>
      <w:bookmarkStart w:id="47" w:name="_Toc288738352"/>
      <w:bookmarkEnd w:id="47"/>
      <w:bookmarkStart w:id="48" w:name="_Toc288738820"/>
      <w:r>
        <w:rPr>
          <w:rFonts w:asciiTheme="majorEastAsia" w:hAnsiTheme="majorEastAsia" w:eastAsiaTheme="majorEastAsia"/>
          <w:bCs/>
          <w:color w:val="auto"/>
          <w:sz w:val="21"/>
          <w:szCs w:val="21"/>
        </w:rPr>
        <w:t>二十二、评审中作为终止竞争性磋商活动的情况</w:t>
      </w:r>
      <w:bookmarkEnd w:id="48"/>
    </w:p>
    <w:p>
      <w:pPr>
        <w:snapToGrid w:val="0"/>
        <w:spacing w:line="400" w:lineRule="exact"/>
        <w:ind w:firstLine="420" w:firstLineChars="200"/>
        <w:rPr>
          <w:rFonts w:asciiTheme="majorEastAsia" w:hAnsiTheme="majorEastAsia" w:eastAsiaTheme="majorEastAsia"/>
          <w:color w:val="auto"/>
          <w:sz w:val="21"/>
          <w:szCs w:val="21"/>
        </w:rPr>
      </w:pPr>
      <w:bookmarkStart w:id="49" w:name="_Toc288738354"/>
      <w:bookmarkEnd w:id="49"/>
      <w:bookmarkStart w:id="50" w:name="_Toc288738822"/>
      <w:bookmarkEnd w:id="50"/>
      <w:bookmarkStart w:id="51" w:name="_Toc288738428"/>
      <w:r>
        <w:rPr>
          <w:rFonts w:asciiTheme="majorEastAsia" w:hAnsiTheme="majorEastAsia" w:eastAsiaTheme="majorEastAsia"/>
          <w:color w:val="auto"/>
          <w:sz w:val="21"/>
          <w:szCs w:val="21"/>
        </w:rPr>
        <w:t>22.1在磋商过程中，磋商小组发现有下列情形之一的，应当终止竞争性磋商采购活动：</w:t>
      </w:r>
      <w:bookmarkEnd w:id="51"/>
    </w:p>
    <w:p>
      <w:pPr>
        <w:snapToGrid w:val="0"/>
        <w:spacing w:line="400" w:lineRule="exact"/>
        <w:ind w:firstLine="1050" w:firstLineChars="5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w:t>
      </w:r>
      <w:r>
        <w:rPr>
          <w:rFonts w:hint="eastAsia" w:asciiTheme="majorEastAsia" w:hAnsiTheme="majorEastAsia" w:eastAsiaTheme="majorEastAsia"/>
          <w:color w:val="auto"/>
          <w:sz w:val="21"/>
          <w:szCs w:val="21"/>
        </w:rPr>
        <w:t>）</w:t>
      </w:r>
      <w:r>
        <w:rPr>
          <w:rFonts w:asciiTheme="majorEastAsia" w:hAnsiTheme="majorEastAsia" w:eastAsiaTheme="majorEastAsia"/>
          <w:color w:val="auto"/>
          <w:sz w:val="21"/>
          <w:szCs w:val="21"/>
        </w:rPr>
        <w:t>因情况变化，不再符合规定的竞争性磋商采购方式适用情形的；</w:t>
      </w:r>
    </w:p>
    <w:p>
      <w:pPr>
        <w:snapToGrid w:val="0"/>
        <w:spacing w:line="400" w:lineRule="exact"/>
        <w:ind w:firstLine="1050" w:firstLineChars="5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w:t>
      </w:r>
      <w:r>
        <w:rPr>
          <w:rFonts w:asciiTheme="majorEastAsia" w:hAnsiTheme="majorEastAsia" w:eastAsiaTheme="majorEastAsia"/>
          <w:color w:val="auto"/>
          <w:sz w:val="21"/>
          <w:szCs w:val="21"/>
        </w:rPr>
        <w:t>出现影响采购公正的违法、违规行为的；</w:t>
      </w:r>
    </w:p>
    <w:p>
      <w:pPr>
        <w:snapToGrid w:val="0"/>
        <w:spacing w:line="400" w:lineRule="exact"/>
        <w:ind w:firstLine="1050" w:firstLineChars="5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竞争性磋商采购活动终止后，磋商小组应作出书面报告。</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22.2在采购活动中因重大变故，采购任务取消的，采购人或者采购代理机构应当终止采购活动，通知所有参加采购活动的响应人，并将项目实施情况和采购任务取消原因报送本级监督部门。</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22.3终止后，采购代理机构应当将终止原因通知所有响应人。</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二十三、成交通知</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23.1采购人或者采购代理机构应当在成交供应商确定后2个工作日内，在指定信息发布媒体上公告成交结果，公示无异议后向成交供应商发出成交通知书，但该成交结果的有效性不依赖于未成交的响应人是否已经收到该通知。成交通知书对采购人和成交供应商具有同等法律效力。成交通知书发出以后，采购人改变成交结果或者成交供应商放弃成交，应当承担相应的法律责任。</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23.2采购代理机构同时向其他响应人发出未成交通知书。</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23.3成交通知书是合同的组成部分。</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二十四、签订合同</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24.1采购人与成交供应商应当在成交通知书发出之日起30个日内，按照磋商文件确定的合同文本以及采购标的、规格型号、采购金额、采购数量、技术和服务要求等事项签订合同。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24.2采购人如需追加与合同标的相同的货物，在不改变合同其他条款的前提下，成交供应商可与采购人协商签订补充合同，但所有补充合同的采购金额不得超过原合同金额的百分之十。</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24.</w:t>
      </w:r>
      <w:r>
        <w:rPr>
          <w:rFonts w:hint="eastAsia" w:asciiTheme="majorEastAsia" w:hAnsiTheme="majorEastAsia" w:eastAsiaTheme="majorEastAsia"/>
          <w:color w:val="auto"/>
          <w:sz w:val="21"/>
          <w:szCs w:val="21"/>
        </w:rPr>
        <w:t>3</w:t>
      </w:r>
      <w:r>
        <w:rPr>
          <w:rFonts w:asciiTheme="majorEastAsia" w:hAnsiTheme="majorEastAsia" w:eastAsiaTheme="majorEastAsia"/>
          <w:color w:val="auto"/>
          <w:sz w:val="21"/>
          <w:szCs w:val="21"/>
        </w:rPr>
        <w:t>成交供应商一旦成交，及签订合同后，不得转包、分包，亦不得将合同全部及任何权利、义务向第三方转让，否则将被视为严重违约，采购代理机构有权决定按照成交供应商成交后终止或解除合同等依约处理。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24.</w:t>
      </w:r>
      <w:r>
        <w:rPr>
          <w:rFonts w:hint="eastAsia" w:asciiTheme="majorEastAsia" w:hAnsiTheme="majorEastAsia" w:eastAsiaTheme="majorEastAsia"/>
          <w:color w:val="auto"/>
          <w:sz w:val="21"/>
          <w:szCs w:val="21"/>
        </w:rPr>
        <w:t>4</w:t>
      </w:r>
      <w:r>
        <w:rPr>
          <w:rFonts w:asciiTheme="majorEastAsia" w:hAnsiTheme="majorEastAsia" w:eastAsiaTheme="majorEastAsia"/>
          <w:color w:val="auto"/>
          <w:sz w:val="21"/>
          <w:szCs w:val="21"/>
        </w:rPr>
        <w:t>违反24.1条、24.2的规定，给对方造成损失的，应承担赔偿责任。</w:t>
      </w:r>
    </w:p>
    <w:p>
      <w:pPr>
        <w:snapToGrid w:val="0"/>
        <w:spacing w:line="400" w:lineRule="exact"/>
        <w:rPr>
          <w:rFonts w:cs="宋体" w:asciiTheme="majorEastAsia" w:hAnsiTheme="majorEastAsia" w:eastAsiaTheme="majorEastAsia"/>
          <w:b/>
          <w:color w:val="auto"/>
          <w:sz w:val="21"/>
          <w:szCs w:val="21"/>
        </w:rPr>
      </w:pPr>
      <w:r>
        <w:rPr>
          <w:rFonts w:asciiTheme="majorEastAsia" w:hAnsiTheme="majorEastAsia" w:eastAsiaTheme="majorEastAsia"/>
          <w:bCs/>
          <w:color w:val="auto"/>
          <w:sz w:val="21"/>
          <w:szCs w:val="21"/>
        </w:rPr>
        <w:t>二十五、</w:t>
      </w:r>
      <w:r>
        <w:rPr>
          <w:rFonts w:asciiTheme="majorEastAsia" w:hAnsiTheme="majorEastAsia" w:eastAsiaTheme="majorEastAsia"/>
          <w:b/>
          <w:color w:val="auto"/>
          <w:sz w:val="21"/>
          <w:szCs w:val="21"/>
        </w:rPr>
        <w:t>询问、质疑、投诉</w:t>
      </w:r>
    </w:p>
    <w:p>
      <w:pPr>
        <w:snapToGrid w:val="0"/>
        <w:spacing w:line="400" w:lineRule="exact"/>
        <w:ind w:firstLine="422" w:firstLineChars="200"/>
        <w:rPr>
          <w:rFonts w:asciiTheme="majorEastAsia" w:hAnsiTheme="majorEastAsia" w:eastAsiaTheme="majorEastAsia"/>
          <w:b/>
          <w:color w:val="auto"/>
          <w:sz w:val="21"/>
          <w:szCs w:val="21"/>
        </w:rPr>
      </w:pPr>
      <w:r>
        <w:rPr>
          <w:rFonts w:asciiTheme="majorEastAsia" w:hAnsiTheme="majorEastAsia" w:eastAsiaTheme="majorEastAsia"/>
          <w:b/>
          <w:color w:val="auto"/>
          <w:sz w:val="21"/>
          <w:szCs w:val="21"/>
        </w:rPr>
        <w:t>25.1询问</w:t>
      </w:r>
    </w:p>
    <w:p>
      <w:pPr>
        <w:snapToGrid w:val="0"/>
        <w:spacing w:line="400" w:lineRule="exact"/>
        <w:ind w:firstLine="420" w:firstLineChars="2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供应商对采购活动有疑问的，可以按照</w:t>
      </w:r>
      <w:r>
        <w:rPr>
          <w:rFonts w:hint="eastAsia" w:asciiTheme="majorEastAsia" w:hAnsiTheme="majorEastAsia" w:eastAsiaTheme="majorEastAsia"/>
          <w:b/>
          <w:color w:val="auto"/>
          <w:sz w:val="21"/>
          <w:szCs w:val="21"/>
        </w:rPr>
        <w:t>响应人</w:t>
      </w:r>
      <w:r>
        <w:rPr>
          <w:rFonts w:asciiTheme="majorEastAsia" w:hAnsiTheme="majorEastAsia" w:eastAsiaTheme="majorEastAsia"/>
          <w:b/>
          <w:color w:val="auto"/>
          <w:sz w:val="21"/>
          <w:szCs w:val="21"/>
        </w:rPr>
        <w:t>须知前附表第10条要求</w:t>
      </w:r>
      <w:r>
        <w:rPr>
          <w:rFonts w:asciiTheme="majorEastAsia" w:hAnsiTheme="majorEastAsia" w:eastAsiaTheme="majorEastAsia"/>
          <w:bCs/>
          <w:color w:val="auto"/>
          <w:sz w:val="21"/>
          <w:szCs w:val="21"/>
        </w:rPr>
        <w:t>向采购人或代理机构提出询问。</w:t>
      </w:r>
    </w:p>
    <w:p>
      <w:pPr>
        <w:snapToGrid w:val="0"/>
        <w:spacing w:line="400" w:lineRule="exact"/>
        <w:ind w:firstLine="422" w:firstLineChars="200"/>
        <w:rPr>
          <w:rFonts w:asciiTheme="majorEastAsia" w:hAnsiTheme="majorEastAsia" w:eastAsiaTheme="majorEastAsia"/>
          <w:b/>
          <w:color w:val="auto"/>
          <w:sz w:val="21"/>
          <w:szCs w:val="21"/>
        </w:rPr>
      </w:pPr>
      <w:r>
        <w:rPr>
          <w:rFonts w:asciiTheme="majorEastAsia" w:hAnsiTheme="majorEastAsia" w:eastAsiaTheme="majorEastAsia"/>
          <w:b/>
          <w:color w:val="auto"/>
          <w:sz w:val="21"/>
          <w:szCs w:val="21"/>
        </w:rPr>
        <w:t>25.2质疑</w:t>
      </w:r>
    </w:p>
    <w:p>
      <w:pPr>
        <w:snapToGrid w:val="0"/>
        <w:spacing w:line="400" w:lineRule="exact"/>
        <w:ind w:firstLine="420" w:firstLineChars="2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（1）</w:t>
      </w:r>
      <w:r>
        <w:rPr>
          <w:rFonts w:hint="eastAsia" w:asciiTheme="majorEastAsia" w:hAnsiTheme="majorEastAsia" w:eastAsiaTheme="majorEastAsia"/>
          <w:bCs/>
          <w:color w:val="auto"/>
          <w:sz w:val="21"/>
          <w:szCs w:val="21"/>
        </w:rPr>
        <w:t>响应人</w:t>
      </w:r>
      <w:r>
        <w:rPr>
          <w:rFonts w:asciiTheme="majorEastAsia" w:hAnsiTheme="majorEastAsia" w:eastAsiaTheme="majorEastAsia"/>
          <w:bCs/>
          <w:color w:val="auto"/>
          <w:sz w:val="21"/>
          <w:szCs w:val="21"/>
        </w:rPr>
        <w:t>（潜在</w:t>
      </w:r>
      <w:r>
        <w:rPr>
          <w:rFonts w:hint="eastAsia" w:asciiTheme="majorEastAsia" w:hAnsiTheme="majorEastAsia" w:eastAsiaTheme="majorEastAsia"/>
          <w:bCs/>
          <w:color w:val="auto"/>
          <w:sz w:val="21"/>
          <w:szCs w:val="21"/>
        </w:rPr>
        <w:t>响应人</w:t>
      </w:r>
      <w:r>
        <w:rPr>
          <w:rFonts w:asciiTheme="majorEastAsia" w:hAnsiTheme="majorEastAsia" w:eastAsiaTheme="majorEastAsia"/>
          <w:bCs/>
          <w:color w:val="auto"/>
          <w:sz w:val="21"/>
          <w:szCs w:val="21"/>
        </w:rPr>
        <w:t>）对磋商文件条款或技术参数有异议的，应当在投标截止时间前提出，于投标截止时间后对磋商文件提出质疑的，其质疑被视为无效质疑。</w:t>
      </w:r>
    </w:p>
    <w:p>
      <w:pPr>
        <w:snapToGrid w:val="0"/>
        <w:spacing w:line="400" w:lineRule="exact"/>
        <w:ind w:firstLine="420" w:firstLineChars="2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（2）</w:t>
      </w:r>
      <w:r>
        <w:rPr>
          <w:rFonts w:hint="eastAsia" w:asciiTheme="majorEastAsia" w:hAnsiTheme="majorEastAsia" w:eastAsiaTheme="majorEastAsia"/>
          <w:bCs/>
          <w:color w:val="auto"/>
          <w:sz w:val="21"/>
          <w:szCs w:val="21"/>
        </w:rPr>
        <w:t>响应人</w:t>
      </w:r>
      <w:r>
        <w:rPr>
          <w:rFonts w:asciiTheme="majorEastAsia" w:hAnsiTheme="majorEastAsia" w:eastAsiaTheme="majorEastAsia"/>
          <w:bCs/>
          <w:color w:val="auto"/>
          <w:sz w:val="21"/>
          <w:szCs w:val="21"/>
        </w:rPr>
        <w:t>（潜在</w:t>
      </w:r>
      <w:r>
        <w:rPr>
          <w:rFonts w:hint="eastAsia" w:asciiTheme="majorEastAsia" w:hAnsiTheme="majorEastAsia" w:eastAsiaTheme="majorEastAsia"/>
          <w:bCs/>
          <w:color w:val="auto"/>
          <w:sz w:val="21"/>
          <w:szCs w:val="21"/>
        </w:rPr>
        <w:t>响应人</w:t>
      </w:r>
      <w:r>
        <w:rPr>
          <w:rFonts w:asciiTheme="majorEastAsia" w:hAnsiTheme="majorEastAsia" w:eastAsiaTheme="majorEastAsia"/>
          <w:bCs/>
          <w:color w:val="auto"/>
          <w:sz w:val="21"/>
          <w:szCs w:val="21"/>
        </w:rPr>
        <w:t>）认为磋商文件、招标过程、中标结果使自己的权益受到损害的，可以在知道或者应知其权益受到损害之日起7个工作日内，通过书面材料向代理机构提出质疑。</w:t>
      </w:r>
      <w:r>
        <w:rPr>
          <w:rFonts w:hint="eastAsia" w:asciiTheme="majorEastAsia" w:hAnsiTheme="majorEastAsia" w:eastAsiaTheme="majorEastAsia"/>
          <w:bCs/>
          <w:color w:val="auto"/>
          <w:sz w:val="21"/>
          <w:szCs w:val="21"/>
        </w:rPr>
        <w:t>响应人</w:t>
      </w:r>
      <w:r>
        <w:rPr>
          <w:rFonts w:asciiTheme="majorEastAsia" w:hAnsiTheme="majorEastAsia" w:eastAsiaTheme="majorEastAsia"/>
          <w:bCs/>
          <w:color w:val="auto"/>
          <w:sz w:val="21"/>
          <w:szCs w:val="21"/>
        </w:rPr>
        <w:t>应知其权益受到损害之日，是指：</w:t>
      </w:r>
    </w:p>
    <w:p>
      <w:pPr>
        <w:snapToGrid w:val="0"/>
        <w:spacing w:line="400" w:lineRule="exact"/>
        <w:ind w:firstLine="840" w:firstLineChars="4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a.对磋商文件提出质疑的，在满足25.2第（1）条款的前提下，为获取磋商文件之日或者磋商文件公告期限届满之日；</w:t>
      </w:r>
    </w:p>
    <w:p>
      <w:pPr>
        <w:snapToGrid w:val="0"/>
        <w:spacing w:line="400" w:lineRule="exact"/>
        <w:ind w:firstLine="840" w:firstLineChars="4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b.对招标过程提出质疑的，为各招标程序环节结束之日；</w:t>
      </w:r>
    </w:p>
    <w:p>
      <w:pPr>
        <w:snapToGrid w:val="0"/>
        <w:spacing w:line="400" w:lineRule="exact"/>
        <w:ind w:firstLine="840" w:firstLineChars="4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c.对中标结果提出质疑的，为中标结果公告期限届满之日。</w:t>
      </w:r>
    </w:p>
    <w:p>
      <w:pPr>
        <w:snapToGrid w:val="0"/>
        <w:spacing w:line="400" w:lineRule="exact"/>
        <w:ind w:firstLine="840" w:firstLineChars="400"/>
        <w:rPr>
          <w:rFonts w:asciiTheme="majorEastAsia" w:hAnsiTheme="majorEastAsia" w:eastAsiaTheme="majorEastAsia"/>
          <w:bCs/>
          <w:color w:val="auto"/>
          <w:sz w:val="21"/>
          <w:szCs w:val="21"/>
        </w:rPr>
      </w:pPr>
      <w:r>
        <w:rPr>
          <w:rFonts w:hint="eastAsia" w:asciiTheme="majorEastAsia" w:hAnsiTheme="majorEastAsia" w:eastAsiaTheme="majorEastAsia"/>
          <w:bCs/>
          <w:color w:val="auto"/>
          <w:sz w:val="21"/>
          <w:szCs w:val="21"/>
        </w:rPr>
        <w:t>响应人</w:t>
      </w:r>
      <w:r>
        <w:rPr>
          <w:rFonts w:asciiTheme="majorEastAsia" w:hAnsiTheme="majorEastAsia" w:eastAsiaTheme="majorEastAsia"/>
          <w:bCs/>
          <w:color w:val="auto"/>
          <w:sz w:val="21"/>
          <w:szCs w:val="21"/>
        </w:rPr>
        <w:t>（潜在</w:t>
      </w:r>
      <w:r>
        <w:rPr>
          <w:rFonts w:hint="eastAsia" w:asciiTheme="majorEastAsia" w:hAnsiTheme="majorEastAsia" w:eastAsiaTheme="majorEastAsia"/>
          <w:bCs/>
          <w:color w:val="auto"/>
          <w:sz w:val="21"/>
          <w:szCs w:val="21"/>
        </w:rPr>
        <w:t>响应人</w:t>
      </w:r>
      <w:r>
        <w:rPr>
          <w:rFonts w:asciiTheme="majorEastAsia" w:hAnsiTheme="majorEastAsia" w:eastAsiaTheme="majorEastAsia"/>
          <w:bCs/>
          <w:color w:val="auto"/>
          <w:sz w:val="21"/>
          <w:szCs w:val="21"/>
        </w:rPr>
        <w:t>）针对同一采购程序环节的质疑须一次性提出。</w:t>
      </w:r>
    </w:p>
    <w:p>
      <w:pPr>
        <w:snapToGrid w:val="0"/>
        <w:spacing w:line="400" w:lineRule="exact"/>
        <w:ind w:firstLine="420" w:firstLineChars="2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（3）提出质疑的</w:t>
      </w:r>
      <w:r>
        <w:rPr>
          <w:rFonts w:hint="eastAsia" w:asciiTheme="majorEastAsia" w:hAnsiTheme="majorEastAsia" w:eastAsiaTheme="majorEastAsia"/>
          <w:bCs/>
          <w:color w:val="auto"/>
          <w:sz w:val="21"/>
          <w:szCs w:val="21"/>
        </w:rPr>
        <w:t>响应人</w:t>
      </w:r>
      <w:r>
        <w:rPr>
          <w:rFonts w:asciiTheme="majorEastAsia" w:hAnsiTheme="majorEastAsia" w:eastAsiaTheme="majorEastAsia"/>
          <w:bCs/>
          <w:color w:val="auto"/>
          <w:sz w:val="21"/>
          <w:szCs w:val="21"/>
        </w:rPr>
        <w:t>（潜在</w:t>
      </w:r>
      <w:r>
        <w:rPr>
          <w:rFonts w:hint="eastAsia" w:asciiTheme="majorEastAsia" w:hAnsiTheme="majorEastAsia" w:eastAsiaTheme="majorEastAsia"/>
          <w:bCs/>
          <w:color w:val="auto"/>
          <w:sz w:val="21"/>
          <w:szCs w:val="21"/>
        </w:rPr>
        <w:t>响应人</w:t>
      </w:r>
      <w:r>
        <w:rPr>
          <w:rFonts w:asciiTheme="majorEastAsia" w:hAnsiTheme="majorEastAsia" w:eastAsiaTheme="majorEastAsia"/>
          <w:bCs/>
          <w:color w:val="auto"/>
          <w:sz w:val="21"/>
          <w:szCs w:val="21"/>
        </w:rPr>
        <w:t>）应当是参与所质疑项目采购活动的供应商，潜在</w:t>
      </w:r>
      <w:r>
        <w:rPr>
          <w:rFonts w:hint="eastAsia" w:asciiTheme="majorEastAsia" w:hAnsiTheme="majorEastAsia" w:eastAsiaTheme="majorEastAsia"/>
          <w:bCs/>
          <w:color w:val="auto"/>
          <w:sz w:val="21"/>
          <w:szCs w:val="21"/>
        </w:rPr>
        <w:t>响应人</w:t>
      </w:r>
      <w:r>
        <w:rPr>
          <w:rFonts w:asciiTheme="majorEastAsia" w:hAnsiTheme="majorEastAsia" w:eastAsiaTheme="majorEastAsia"/>
          <w:bCs/>
          <w:color w:val="auto"/>
          <w:sz w:val="21"/>
          <w:szCs w:val="21"/>
        </w:rPr>
        <w:t>已依法获取其可质疑的磋商文件的，可以对该文件提出质疑。</w:t>
      </w:r>
    </w:p>
    <w:p>
      <w:pPr>
        <w:snapToGrid w:val="0"/>
        <w:spacing w:line="400" w:lineRule="exact"/>
        <w:ind w:firstLine="420" w:firstLineChars="2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（4）</w:t>
      </w:r>
      <w:r>
        <w:rPr>
          <w:rFonts w:hint="eastAsia" w:asciiTheme="majorEastAsia" w:hAnsiTheme="majorEastAsia" w:eastAsiaTheme="majorEastAsia"/>
          <w:bCs/>
          <w:color w:val="auto"/>
          <w:sz w:val="21"/>
          <w:szCs w:val="21"/>
        </w:rPr>
        <w:t>响应人</w:t>
      </w:r>
      <w:r>
        <w:rPr>
          <w:rFonts w:asciiTheme="majorEastAsia" w:hAnsiTheme="majorEastAsia" w:eastAsiaTheme="majorEastAsia"/>
          <w:bCs/>
          <w:color w:val="auto"/>
          <w:sz w:val="21"/>
          <w:szCs w:val="21"/>
        </w:rPr>
        <w:t>（潜在</w:t>
      </w:r>
      <w:r>
        <w:rPr>
          <w:rFonts w:hint="eastAsia" w:asciiTheme="majorEastAsia" w:hAnsiTheme="majorEastAsia" w:eastAsiaTheme="majorEastAsia"/>
          <w:bCs/>
          <w:color w:val="auto"/>
          <w:sz w:val="21"/>
          <w:szCs w:val="21"/>
        </w:rPr>
        <w:t>响应人</w:t>
      </w:r>
      <w:r>
        <w:rPr>
          <w:rFonts w:asciiTheme="majorEastAsia" w:hAnsiTheme="majorEastAsia" w:eastAsiaTheme="majorEastAsia"/>
          <w:bCs/>
          <w:color w:val="auto"/>
          <w:sz w:val="21"/>
          <w:szCs w:val="21"/>
        </w:rPr>
        <w:t>）提出质疑应当提交质疑函和必要的证明材料。质疑函应当包括下列内容：</w:t>
      </w:r>
    </w:p>
    <w:p>
      <w:pPr>
        <w:snapToGrid w:val="0"/>
        <w:spacing w:line="400" w:lineRule="exact"/>
        <w:ind w:firstLine="840" w:firstLineChars="4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a.</w:t>
      </w:r>
      <w:r>
        <w:rPr>
          <w:rFonts w:hint="eastAsia" w:asciiTheme="majorEastAsia" w:hAnsiTheme="majorEastAsia" w:eastAsiaTheme="majorEastAsia"/>
          <w:bCs/>
          <w:color w:val="auto"/>
          <w:sz w:val="21"/>
          <w:szCs w:val="21"/>
        </w:rPr>
        <w:t>响应人</w:t>
      </w:r>
      <w:r>
        <w:rPr>
          <w:rFonts w:asciiTheme="majorEastAsia" w:hAnsiTheme="majorEastAsia" w:eastAsiaTheme="majorEastAsia"/>
          <w:bCs/>
          <w:color w:val="auto"/>
          <w:sz w:val="21"/>
          <w:szCs w:val="21"/>
        </w:rPr>
        <w:t>（潜在</w:t>
      </w:r>
      <w:r>
        <w:rPr>
          <w:rFonts w:hint="eastAsia" w:asciiTheme="majorEastAsia" w:hAnsiTheme="majorEastAsia" w:eastAsiaTheme="majorEastAsia"/>
          <w:bCs/>
          <w:color w:val="auto"/>
          <w:sz w:val="21"/>
          <w:szCs w:val="21"/>
        </w:rPr>
        <w:t>响应人</w:t>
      </w:r>
      <w:r>
        <w:rPr>
          <w:rFonts w:asciiTheme="majorEastAsia" w:hAnsiTheme="majorEastAsia" w:eastAsiaTheme="majorEastAsia"/>
          <w:bCs/>
          <w:color w:val="auto"/>
          <w:sz w:val="21"/>
          <w:szCs w:val="21"/>
        </w:rPr>
        <w:t>）的姓名或者名称、地址、邮编、联系人及联系电话；</w:t>
      </w:r>
    </w:p>
    <w:p>
      <w:pPr>
        <w:snapToGrid w:val="0"/>
        <w:spacing w:line="400" w:lineRule="exact"/>
        <w:ind w:firstLine="840" w:firstLineChars="4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b.质疑项目的名称、编号；</w:t>
      </w:r>
    </w:p>
    <w:p>
      <w:pPr>
        <w:snapToGrid w:val="0"/>
        <w:spacing w:line="400" w:lineRule="exact"/>
        <w:ind w:firstLine="840" w:firstLineChars="4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c.具体、明确的质疑事项和与质疑事项相关的请求；</w:t>
      </w:r>
    </w:p>
    <w:p>
      <w:pPr>
        <w:snapToGrid w:val="0"/>
        <w:spacing w:line="400" w:lineRule="exact"/>
        <w:ind w:firstLine="840" w:firstLineChars="4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d.事实依据；</w:t>
      </w:r>
    </w:p>
    <w:p>
      <w:pPr>
        <w:snapToGrid w:val="0"/>
        <w:spacing w:line="400" w:lineRule="exact"/>
        <w:ind w:firstLine="840" w:firstLineChars="4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e.必要的法律依据；</w:t>
      </w:r>
    </w:p>
    <w:p>
      <w:pPr>
        <w:snapToGrid w:val="0"/>
        <w:spacing w:line="400" w:lineRule="exact"/>
        <w:ind w:firstLine="840" w:firstLineChars="4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f.提出质疑的日期。</w:t>
      </w:r>
    </w:p>
    <w:p>
      <w:pPr>
        <w:snapToGrid w:val="0"/>
        <w:spacing w:line="400" w:lineRule="exact"/>
        <w:ind w:firstLine="630" w:firstLineChars="300"/>
        <w:rPr>
          <w:rFonts w:asciiTheme="majorEastAsia" w:hAnsiTheme="majorEastAsia" w:eastAsiaTheme="majorEastAsia"/>
          <w:b/>
          <w:color w:val="auto"/>
          <w:sz w:val="21"/>
          <w:szCs w:val="21"/>
        </w:rPr>
      </w:pPr>
      <w:r>
        <w:rPr>
          <w:rFonts w:hint="eastAsia" w:asciiTheme="majorEastAsia" w:hAnsiTheme="majorEastAsia" w:eastAsiaTheme="majorEastAsia"/>
          <w:bCs/>
          <w:color w:val="auto"/>
          <w:sz w:val="21"/>
          <w:szCs w:val="21"/>
        </w:rPr>
        <w:t>响应人</w:t>
      </w:r>
      <w:r>
        <w:rPr>
          <w:rFonts w:asciiTheme="majorEastAsia" w:hAnsiTheme="majorEastAsia" w:eastAsiaTheme="majorEastAsia"/>
          <w:bCs/>
          <w:color w:val="auto"/>
          <w:sz w:val="21"/>
          <w:szCs w:val="21"/>
        </w:rPr>
        <w:t>（潜在</w:t>
      </w:r>
      <w:r>
        <w:rPr>
          <w:rFonts w:hint="eastAsia" w:asciiTheme="majorEastAsia" w:hAnsiTheme="majorEastAsia" w:eastAsiaTheme="majorEastAsia"/>
          <w:bCs/>
          <w:color w:val="auto"/>
          <w:sz w:val="21"/>
          <w:szCs w:val="21"/>
        </w:rPr>
        <w:t>响应人</w:t>
      </w:r>
      <w:r>
        <w:rPr>
          <w:rFonts w:asciiTheme="majorEastAsia" w:hAnsiTheme="majorEastAsia" w:eastAsiaTheme="majorEastAsia"/>
          <w:bCs/>
          <w:color w:val="auto"/>
          <w:sz w:val="21"/>
          <w:szCs w:val="21"/>
        </w:rPr>
        <w:t>）为自然人的，应当由本人签字；</w:t>
      </w:r>
      <w:r>
        <w:rPr>
          <w:rFonts w:hint="eastAsia" w:asciiTheme="majorEastAsia" w:hAnsiTheme="majorEastAsia" w:eastAsiaTheme="majorEastAsia"/>
          <w:bCs/>
          <w:color w:val="auto"/>
          <w:sz w:val="21"/>
          <w:szCs w:val="21"/>
        </w:rPr>
        <w:t>响应人</w:t>
      </w:r>
      <w:r>
        <w:rPr>
          <w:rFonts w:asciiTheme="majorEastAsia" w:hAnsiTheme="majorEastAsia" w:eastAsiaTheme="majorEastAsia"/>
          <w:bCs/>
          <w:color w:val="auto"/>
          <w:sz w:val="21"/>
          <w:szCs w:val="21"/>
        </w:rPr>
        <w:t>（潜在</w:t>
      </w:r>
      <w:r>
        <w:rPr>
          <w:rFonts w:hint="eastAsia" w:asciiTheme="majorEastAsia" w:hAnsiTheme="majorEastAsia" w:eastAsiaTheme="majorEastAsia"/>
          <w:bCs/>
          <w:color w:val="auto"/>
          <w:sz w:val="21"/>
          <w:szCs w:val="21"/>
        </w:rPr>
        <w:t>响应人</w:t>
      </w:r>
      <w:r>
        <w:rPr>
          <w:rFonts w:asciiTheme="majorEastAsia" w:hAnsiTheme="majorEastAsia" w:eastAsiaTheme="majorEastAsia"/>
          <w:bCs/>
          <w:color w:val="auto"/>
          <w:sz w:val="21"/>
          <w:szCs w:val="21"/>
        </w:rPr>
        <w:t>）为法人或者其他组织的，应当由法定代表人、主要负责人，或者其授权代表签字或者盖名章，并加盖公章。质疑函内容有缺失的，代理机构、采购人应当一次性告知质疑人需补全的材料及补交的截止时间。补交的截止时间与法定质疑期的截止时间一致。质疑人于截止时间后递交补充材料的，将被拒绝</w:t>
      </w:r>
      <w:r>
        <w:rPr>
          <w:rFonts w:hint="eastAsia" w:asciiTheme="majorEastAsia" w:hAnsiTheme="majorEastAsia" w:eastAsiaTheme="majorEastAsia"/>
          <w:bCs/>
          <w:color w:val="auto"/>
          <w:sz w:val="21"/>
          <w:szCs w:val="21"/>
        </w:rPr>
        <w:t>。</w:t>
      </w:r>
    </w:p>
    <w:p>
      <w:pPr>
        <w:snapToGrid w:val="0"/>
        <w:spacing w:line="400" w:lineRule="exact"/>
        <w:ind w:firstLine="420" w:firstLineChars="2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（5）质疑事项如无实质内容，仅为询问质疑人得分情况或质疑人未中标原因等的，代理机构、采购人可将此类质疑函作为书面询问接收，代理机构按询问程序处理。</w:t>
      </w:r>
    </w:p>
    <w:p>
      <w:pPr>
        <w:snapToGrid w:val="0"/>
        <w:spacing w:line="400" w:lineRule="exact"/>
        <w:ind w:firstLine="420" w:firstLineChars="2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（6）采购人、代理机构不得拒收质疑供应商在法定质疑期内发出的质疑函，应当在收到质疑函后7个工作日内作出答复，并通过书面答复质疑供应商和其他相关当事人。</w:t>
      </w:r>
    </w:p>
    <w:p>
      <w:pPr>
        <w:snapToGrid w:val="0"/>
        <w:spacing w:line="400" w:lineRule="exact"/>
        <w:ind w:firstLine="422" w:firstLineChars="200"/>
        <w:rPr>
          <w:rFonts w:asciiTheme="majorEastAsia" w:hAnsiTheme="majorEastAsia" w:eastAsiaTheme="majorEastAsia"/>
          <w:b/>
          <w:color w:val="auto"/>
          <w:sz w:val="21"/>
          <w:szCs w:val="21"/>
        </w:rPr>
      </w:pPr>
      <w:r>
        <w:rPr>
          <w:rFonts w:asciiTheme="majorEastAsia" w:hAnsiTheme="majorEastAsia" w:eastAsiaTheme="majorEastAsia"/>
          <w:b/>
          <w:color w:val="auto"/>
          <w:sz w:val="21"/>
          <w:szCs w:val="21"/>
        </w:rPr>
        <w:t>25.3投诉</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bCs/>
          <w:color w:val="auto"/>
          <w:sz w:val="21"/>
          <w:szCs w:val="21"/>
        </w:rPr>
        <w:t>质疑人对采购人、代理机构的答复不满意，或者采购人、代理机构未在规定时间内作出答复的，质疑人可以在答复期满后15个工作日内依法向财政相关部门提起投诉。</w:t>
      </w:r>
    </w:p>
    <w:p>
      <w:pPr>
        <w:snapToGrid w:val="0"/>
        <w:spacing w:line="400" w:lineRule="exact"/>
        <w:rPr>
          <w:rFonts w:ascii="宋体" w:hAnsi="宋体" w:cs="宋体"/>
          <w:b/>
          <w:color w:val="auto"/>
          <w:sz w:val="21"/>
          <w:szCs w:val="21"/>
        </w:rPr>
      </w:pPr>
      <w:r>
        <w:rPr>
          <w:rFonts w:hint="eastAsia" w:ascii="宋体" w:hAnsi="宋体" w:cs="宋体"/>
          <w:b/>
          <w:color w:val="auto"/>
          <w:sz w:val="21"/>
          <w:szCs w:val="21"/>
          <w:lang w:bidi="ar"/>
        </w:rPr>
        <w:t>二十六、保密和披露</w:t>
      </w: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sz w:val="21"/>
          <w:szCs w:val="21"/>
          <w:lang w:bidi="ar"/>
        </w:rPr>
        <w:t>26.1响应人自获取磋商文件之日起，须履行本招标项目下保密义务，不得将因本次招标获得的信息向第三人外传。</w:t>
      </w:r>
    </w:p>
    <w:p>
      <w:pPr>
        <w:snapToGrid w:val="0"/>
        <w:spacing w:line="400" w:lineRule="exact"/>
        <w:ind w:firstLine="420" w:firstLineChars="200"/>
        <w:rPr>
          <w:rFonts w:ascii="宋体" w:hAnsi="宋体" w:cs="宋体"/>
          <w:color w:val="auto"/>
          <w:sz w:val="21"/>
          <w:szCs w:val="21"/>
          <w:lang w:bidi="ar"/>
        </w:rPr>
      </w:pPr>
      <w:r>
        <w:rPr>
          <w:rFonts w:hint="eastAsia" w:ascii="宋体" w:hAnsi="宋体" w:cs="宋体"/>
          <w:color w:val="auto"/>
          <w:sz w:val="21"/>
          <w:szCs w:val="21"/>
          <w:lang w:bidi="ar"/>
        </w:rPr>
        <w:t>26.2采购人或代理机构有权将响应人提供的所有资料向有关部门或评审委员会披露。</w:t>
      </w:r>
    </w:p>
    <w:p>
      <w:pPr>
        <w:snapToGrid w:val="0"/>
        <w:spacing w:line="400" w:lineRule="exact"/>
        <w:ind w:firstLine="420" w:firstLineChars="200"/>
        <w:rPr>
          <w:rFonts w:ascii="宋体" w:hAnsi="宋体" w:cs="宋体"/>
          <w:color w:val="auto"/>
          <w:sz w:val="21"/>
          <w:szCs w:val="21"/>
          <w:lang w:bidi="ar"/>
        </w:rPr>
      </w:pPr>
      <w:r>
        <w:rPr>
          <w:rFonts w:hint="eastAsia" w:ascii="宋体" w:hAnsi="宋体" w:cs="宋体"/>
          <w:color w:val="auto"/>
          <w:sz w:val="21"/>
          <w:szCs w:val="21"/>
          <w:lang w:bidi="ar"/>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pPr>
        <w:snapToGrid w:val="0"/>
        <w:spacing w:line="420" w:lineRule="exact"/>
        <w:jc w:val="center"/>
        <w:outlineLvl w:val="0"/>
        <w:rPr>
          <w:rFonts w:ascii="宋体" w:hAnsi="宋体" w:cs="宋体"/>
          <w:color w:val="auto"/>
          <w:szCs w:val="28"/>
        </w:rPr>
      </w:pPr>
      <w:r>
        <w:rPr>
          <w:rFonts w:asciiTheme="majorEastAsia" w:hAnsiTheme="majorEastAsia" w:eastAsiaTheme="majorEastAsia"/>
          <w:bCs/>
          <w:color w:val="auto"/>
          <w:szCs w:val="21"/>
        </w:rPr>
        <w:br w:type="page"/>
      </w:r>
      <w:r>
        <w:rPr>
          <w:rFonts w:hint="eastAsia" w:ascii="宋体" w:hAnsi="宋体" w:cs="宋体"/>
          <w:b/>
          <w:bCs/>
          <w:color w:val="auto"/>
          <w:szCs w:val="28"/>
          <w:u w:color="000000"/>
        </w:rPr>
        <w:t>第四部分  采购需求</w:t>
      </w:r>
    </w:p>
    <w:p>
      <w:pPr>
        <w:spacing w:line="420" w:lineRule="exact"/>
        <w:ind w:right="420"/>
        <w:rPr>
          <w:b/>
          <w:color w:val="auto"/>
          <w:sz w:val="21"/>
          <w:szCs w:val="21"/>
        </w:rPr>
      </w:pPr>
      <w:r>
        <w:rPr>
          <w:rFonts w:hint="eastAsia" w:ascii="宋体" w:hAnsi="宋体"/>
          <w:b/>
          <w:color w:val="auto"/>
          <w:sz w:val="21"/>
          <w:szCs w:val="21"/>
        </w:rPr>
        <w:t>一、总体要求</w:t>
      </w:r>
    </w:p>
    <w:p>
      <w:pPr>
        <w:adjustRightInd w:val="0"/>
        <w:snapToGrid w:val="0"/>
        <w:spacing w:line="420" w:lineRule="exact"/>
        <w:ind w:firstLine="420" w:firstLineChars="200"/>
        <w:rPr>
          <w:rFonts w:ascii="宋体" w:hAnsi="宋体"/>
          <w:color w:val="auto"/>
          <w:sz w:val="21"/>
          <w:szCs w:val="21"/>
        </w:rPr>
      </w:pPr>
      <w:r>
        <w:rPr>
          <w:rFonts w:hint="eastAsia" w:ascii="宋体" w:hAnsi="宋体"/>
          <w:color w:val="auto"/>
          <w:sz w:val="21"/>
          <w:szCs w:val="21"/>
        </w:rPr>
        <w:t>（一）作业服务量清单：见附表。</w:t>
      </w:r>
    </w:p>
    <w:p>
      <w:pPr>
        <w:adjustRightInd w:val="0"/>
        <w:snapToGrid w:val="0"/>
        <w:spacing w:line="420" w:lineRule="exact"/>
        <w:ind w:firstLine="420" w:firstLineChars="200"/>
        <w:rPr>
          <w:rFonts w:ascii="宋体" w:hAnsi="宋体"/>
          <w:color w:val="auto"/>
          <w:sz w:val="21"/>
          <w:szCs w:val="21"/>
        </w:rPr>
      </w:pPr>
      <w:r>
        <w:rPr>
          <w:rFonts w:hint="eastAsia" w:ascii="宋体" w:hAnsi="宋体"/>
          <w:color w:val="auto"/>
          <w:sz w:val="21"/>
          <w:szCs w:val="21"/>
        </w:rPr>
        <w:t>（二）作业服务量说明</w:t>
      </w:r>
    </w:p>
    <w:p>
      <w:pPr>
        <w:spacing w:line="420" w:lineRule="exact"/>
        <w:ind w:firstLine="420" w:firstLineChars="200"/>
        <w:jc w:val="left"/>
        <w:outlineLvl w:val="0"/>
        <w:rPr>
          <w:rFonts w:ascii="宋体" w:hAnsi="宋体"/>
          <w:color w:val="auto"/>
          <w:sz w:val="21"/>
          <w:szCs w:val="21"/>
        </w:rPr>
      </w:pPr>
      <w:bookmarkStart w:id="52" w:name="_Toc19456601"/>
      <w:bookmarkStart w:id="53" w:name="_Toc13909114"/>
      <w:bookmarkStart w:id="54" w:name="_Toc13909058"/>
      <w:r>
        <w:rPr>
          <w:rFonts w:hint="eastAsia" w:ascii="宋体" w:hAnsi="宋体"/>
          <w:color w:val="auto"/>
          <w:sz w:val="21"/>
          <w:szCs w:val="21"/>
        </w:rPr>
        <w:t>1、服务内容：</w:t>
      </w:r>
      <w:bookmarkEnd w:id="52"/>
      <w:bookmarkEnd w:id="53"/>
      <w:bookmarkEnd w:id="54"/>
    </w:p>
    <w:p>
      <w:pPr>
        <w:spacing w:line="420" w:lineRule="exact"/>
        <w:ind w:firstLine="420" w:firstLineChars="200"/>
        <w:jc w:val="left"/>
        <w:outlineLvl w:val="0"/>
        <w:rPr>
          <w:color w:val="auto"/>
          <w:sz w:val="21"/>
          <w:szCs w:val="21"/>
        </w:rPr>
      </w:pPr>
      <w:bookmarkStart w:id="55" w:name="_Toc19456602"/>
      <w:bookmarkStart w:id="56" w:name="_Toc13909064"/>
      <w:bookmarkStart w:id="57" w:name="_Toc19456609"/>
      <w:bookmarkStart w:id="58" w:name="_Toc13909120"/>
      <w:r>
        <w:rPr>
          <w:rFonts w:hint="eastAsia"/>
          <w:color w:val="auto"/>
          <w:sz w:val="21"/>
          <w:szCs w:val="21"/>
        </w:rPr>
        <w:t>（1）a、对各村委的所有自然村的垃圾收集点的垃圾（包括但不限于垃圾收集房、垃圾收集池、垃圾桶、垃圾收集亭等）运至儒林镇生活垃圾综合处置站，做到日产日清；</w:t>
      </w:r>
      <w:bookmarkEnd w:id="55"/>
    </w:p>
    <w:p>
      <w:pPr>
        <w:spacing w:line="420" w:lineRule="exact"/>
        <w:ind w:firstLine="420" w:firstLineChars="200"/>
        <w:jc w:val="left"/>
        <w:outlineLvl w:val="0"/>
        <w:rPr>
          <w:color w:val="auto"/>
          <w:sz w:val="21"/>
          <w:szCs w:val="21"/>
        </w:rPr>
      </w:pPr>
      <w:bookmarkStart w:id="59" w:name="_Toc19456603"/>
      <w:r>
        <w:rPr>
          <w:rFonts w:hint="eastAsia"/>
          <w:color w:val="auto"/>
          <w:sz w:val="21"/>
          <w:szCs w:val="21"/>
        </w:rPr>
        <w:t>b、各自然村内村庄卫生保洁、白色垃圾清理、农户家前屋后乱堆乱放的整理、乱涂乱画、乱张贴等广告的清除、村庄内塘沟渠漂浮物（含水生植物）的清理、村庄主次干道保洁、主次干道两侧保洁、杂草清除及省县干道绿化区域内卫生保洁等；</w:t>
      </w:r>
      <w:bookmarkEnd w:id="59"/>
    </w:p>
    <w:p>
      <w:pPr>
        <w:spacing w:line="420" w:lineRule="exact"/>
        <w:ind w:firstLine="420" w:firstLineChars="200"/>
        <w:jc w:val="left"/>
        <w:outlineLvl w:val="0"/>
        <w:rPr>
          <w:color w:val="auto"/>
          <w:sz w:val="21"/>
          <w:szCs w:val="21"/>
        </w:rPr>
      </w:pPr>
      <w:bookmarkStart w:id="60" w:name="_Toc19456604"/>
      <w:r>
        <w:rPr>
          <w:rFonts w:hint="eastAsia"/>
          <w:color w:val="auto"/>
          <w:sz w:val="21"/>
          <w:szCs w:val="21"/>
        </w:rPr>
        <w:t>c、各自然村内垃圾收集点（包括但不限于垃圾收集房、垃圾收集池、垃圾桶、垃圾收集亭等）定期维护、清洗；</w:t>
      </w:r>
      <w:bookmarkEnd w:id="60"/>
    </w:p>
    <w:p>
      <w:pPr>
        <w:spacing w:line="420" w:lineRule="exact"/>
        <w:ind w:firstLine="420" w:firstLineChars="200"/>
        <w:jc w:val="left"/>
        <w:outlineLvl w:val="0"/>
        <w:rPr>
          <w:color w:val="auto"/>
          <w:sz w:val="21"/>
          <w:szCs w:val="21"/>
        </w:rPr>
      </w:pPr>
      <w:bookmarkStart w:id="61" w:name="_Toc19456605"/>
      <w:r>
        <w:rPr>
          <w:rFonts w:hint="eastAsia"/>
          <w:color w:val="auto"/>
          <w:sz w:val="21"/>
          <w:szCs w:val="21"/>
        </w:rPr>
        <w:t>d、各村自然村内公厕的保洁、管理及维护；</w:t>
      </w:r>
      <w:bookmarkEnd w:id="61"/>
    </w:p>
    <w:p>
      <w:pPr>
        <w:spacing w:line="420" w:lineRule="exact"/>
        <w:ind w:firstLine="420" w:firstLineChars="200"/>
        <w:jc w:val="left"/>
        <w:outlineLvl w:val="0"/>
        <w:rPr>
          <w:color w:val="auto"/>
          <w:sz w:val="21"/>
          <w:szCs w:val="21"/>
        </w:rPr>
      </w:pPr>
      <w:bookmarkStart w:id="62" w:name="_Toc19456606"/>
      <w:r>
        <w:rPr>
          <w:rFonts w:hint="eastAsia"/>
          <w:color w:val="auto"/>
          <w:sz w:val="21"/>
          <w:szCs w:val="21"/>
        </w:rPr>
        <w:t>e、村健身广场公共设施卫生保洁；</w:t>
      </w:r>
      <w:bookmarkEnd w:id="62"/>
    </w:p>
    <w:p>
      <w:pPr>
        <w:spacing w:line="420" w:lineRule="exact"/>
        <w:ind w:firstLine="420" w:firstLineChars="200"/>
        <w:jc w:val="left"/>
        <w:outlineLvl w:val="0"/>
        <w:rPr>
          <w:color w:val="auto"/>
          <w:sz w:val="21"/>
          <w:szCs w:val="21"/>
        </w:rPr>
      </w:pPr>
      <w:bookmarkStart w:id="63" w:name="_Toc19456607"/>
      <w:r>
        <w:rPr>
          <w:rFonts w:hint="eastAsia"/>
          <w:color w:val="auto"/>
          <w:sz w:val="21"/>
          <w:szCs w:val="21"/>
        </w:rPr>
        <w:t>f、村庄绿化的修剪及管养。</w:t>
      </w:r>
      <w:bookmarkEnd w:id="63"/>
    </w:p>
    <w:p>
      <w:pPr>
        <w:spacing w:line="420" w:lineRule="exact"/>
        <w:ind w:firstLine="420" w:firstLineChars="200"/>
        <w:jc w:val="left"/>
        <w:outlineLvl w:val="0"/>
        <w:rPr>
          <w:color w:val="auto"/>
          <w:sz w:val="21"/>
          <w:szCs w:val="21"/>
        </w:rPr>
      </w:pPr>
      <w:bookmarkStart w:id="64" w:name="_Toc19456608"/>
      <w:r>
        <w:rPr>
          <w:rFonts w:hint="eastAsia"/>
          <w:color w:val="auto"/>
          <w:sz w:val="21"/>
          <w:szCs w:val="21"/>
        </w:rPr>
        <w:t>（2）</w:t>
      </w:r>
      <w:r>
        <w:rPr>
          <w:rFonts w:hint="eastAsia" w:ascii="宋体" w:hAnsi="宋体"/>
          <w:color w:val="auto"/>
          <w:sz w:val="21"/>
          <w:szCs w:val="21"/>
        </w:rPr>
        <w:t>村（含道路）保洁、垃圾收集及清运、乱垦种清除、垃圾桶（箱、房）清洗保洁、乱张贴涂写清除、散养家禽管理、沟（塘、渠）漂浮物（含垃圾）、</w:t>
      </w:r>
      <w:r>
        <w:rPr>
          <w:rFonts w:hint="eastAsia"/>
          <w:color w:val="auto"/>
          <w:sz w:val="21"/>
          <w:szCs w:val="21"/>
        </w:rPr>
        <w:t>水生植物</w:t>
      </w:r>
      <w:r>
        <w:rPr>
          <w:rFonts w:hint="eastAsia" w:ascii="宋体" w:hAnsi="宋体"/>
          <w:color w:val="auto"/>
          <w:sz w:val="21"/>
          <w:szCs w:val="21"/>
        </w:rPr>
        <w:t>清除、公厕保洁、绿化养护等，确保无以下现象：乱堆放、乱垦种、乱张贴、乱涂写、暴露垃圾（含建筑垃圾、废弃物）、焚烧垃圾、污水横溢、垃圾桶破损、垃圾桶（箱、房）脏乱、周边有暴露垃圾、散养家禽、沟（塘、渠）漂浮物（垃圾）保洁、绿化修剪不到位、杂草丛生等；各村庄服务范围以各自然村边界为界。</w:t>
      </w:r>
      <w:bookmarkEnd w:id="64"/>
    </w:p>
    <w:p>
      <w:pPr>
        <w:spacing w:line="420" w:lineRule="exact"/>
        <w:ind w:firstLine="420" w:firstLineChars="200"/>
        <w:jc w:val="left"/>
        <w:outlineLvl w:val="0"/>
        <w:rPr>
          <w:rFonts w:ascii="宋体" w:hAnsi="宋体"/>
          <w:color w:val="auto"/>
          <w:sz w:val="21"/>
          <w:szCs w:val="21"/>
        </w:rPr>
      </w:pPr>
      <w:r>
        <w:rPr>
          <w:rFonts w:hint="eastAsia" w:ascii="宋体" w:hAnsi="宋体"/>
          <w:color w:val="auto"/>
          <w:sz w:val="21"/>
          <w:szCs w:val="21"/>
        </w:rPr>
        <w:t>2、本作业服务量清单中含“交界处清扫保洁应各延伸5米”的作业范围。</w:t>
      </w:r>
      <w:bookmarkEnd w:id="56"/>
      <w:bookmarkEnd w:id="57"/>
      <w:bookmarkEnd w:id="58"/>
    </w:p>
    <w:p>
      <w:pPr>
        <w:spacing w:line="420" w:lineRule="exact"/>
        <w:ind w:firstLine="420" w:firstLineChars="200"/>
        <w:rPr>
          <w:rFonts w:ascii="宋体" w:hAnsi="宋体" w:cs="宋体"/>
          <w:color w:val="auto"/>
          <w:sz w:val="21"/>
          <w:szCs w:val="21"/>
        </w:rPr>
      </w:pPr>
      <w:r>
        <w:rPr>
          <w:rFonts w:hint="eastAsia" w:ascii="宋体" w:hAnsi="宋体" w:cs="宋体"/>
          <w:color w:val="auto"/>
          <w:sz w:val="21"/>
          <w:szCs w:val="21"/>
        </w:rPr>
        <w:t>3、基本要求：</w:t>
      </w:r>
    </w:p>
    <w:p>
      <w:pPr>
        <w:snapToGrid w:val="0"/>
        <w:spacing w:line="420" w:lineRule="exact"/>
        <w:ind w:firstLine="420" w:firstLineChars="200"/>
        <w:rPr>
          <w:rFonts w:hint="eastAsia" w:ascii="宋体" w:hAnsi="宋体"/>
          <w:color w:val="auto"/>
          <w:sz w:val="21"/>
          <w:szCs w:val="21"/>
          <w:lang w:val="zh-CN"/>
        </w:rPr>
      </w:pPr>
      <w:r>
        <w:rPr>
          <w:rFonts w:hint="eastAsia" w:ascii="宋体" w:hAnsi="宋体"/>
          <w:color w:val="auto"/>
          <w:sz w:val="21"/>
          <w:szCs w:val="21"/>
        </w:rPr>
        <w:t>（1）</w:t>
      </w:r>
      <w:r>
        <w:rPr>
          <w:rFonts w:hint="eastAsia" w:ascii="宋体" w:hAnsi="宋体" w:cs="宋体"/>
          <w:color w:val="auto"/>
          <w:sz w:val="21"/>
          <w:szCs w:val="21"/>
        </w:rPr>
        <w:t>★</w:t>
      </w:r>
      <w:r>
        <w:rPr>
          <w:rFonts w:hint="eastAsia" w:ascii="宋体" w:hAnsi="宋体"/>
          <w:color w:val="auto"/>
          <w:sz w:val="21"/>
          <w:szCs w:val="21"/>
          <w:lang w:val="zh-CN"/>
        </w:rPr>
        <w:t>人员配备：根据招标要求，人员需满足最低服务要求（总人数不低于</w:t>
      </w:r>
      <w:r>
        <w:rPr>
          <w:rFonts w:hint="eastAsia" w:ascii="宋体" w:hAnsi="宋体"/>
          <w:color w:val="auto"/>
          <w:sz w:val="21"/>
          <w:szCs w:val="21"/>
          <w:lang w:val="en-US" w:eastAsia="zh-CN"/>
        </w:rPr>
        <w:t>25</w:t>
      </w:r>
      <w:r>
        <w:rPr>
          <w:rFonts w:hint="eastAsia" w:ascii="宋体" w:hAnsi="宋体"/>
          <w:color w:val="auto"/>
          <w:sz w:val="21"/>
          <w:szCs w:val="21"/>
          <w:lang w:val="zh-CN"/>
        </w:rPr>
        <w:t>人：</w:t>
      </w:r>
      <w:r>
        <w:rPr>
          <w:rFonts w:hint="eastAsia" w:ascii="宋体" w:hAnsi="宋体"/>
          <w:color w:val="auto"/>
          <w:sz w:val="21"/>
          <w:szCs w:val="21"/>
          <w:lang w:val="en-US" w:eastAsia="zh-CN"/>
        </w:rPr>
        <w:t>其中项目负责人1人，垃圾清运人员不少于4人，保洁人员不少于20人</w:t>
      </w:r>
      <w:r>
        <w:rPr>
          <w:rFonts w:hint="eastAsia" w:ascii="宋体" w:hAnsi="宋体"/>
          <w:color w:val="auto"/>
          <w:sz w:val="21"/>
          <w:szCs w:val="21"/>
          <w:lang w:val="zh-CN"/>
        </w:rPr>
        <w:t>），并保证服务过程中人员总数量不得减少。</w:t>
      </w:r>
    </w:p>
    <w:p>
      <w:pPr>
        <w:spacing w:line="420" w:lineRule="exact"/>
        <w:ind w:firstLine="420" w:firstLineChars="200"/>
        <w:rPr>
          <w:rFonts w:ascii="宋体" w:hAnsi="宋体"/>
          <w:color w:val="auto"/>
          <w:sz w:val="21"/>
          <w:szCs w:val="21"/>
        </w:rPr>
      </w:pPr>
      <w:r>
        <w:rPr>
          <w:rFonts w:hint="eastAsia" w:ascii="宋体" w:hAnsi="宋体"/>
          <w:color w:val="auto"/>
          <w:sz w:val="21"/>
          <w:szCs w:val="21"/>
        </w:rPr>
        <w:t>（2）</w:t>
      </w:r>
      <w:r>
        <w:rPr>
          <w:rFonts w:hint="eastAsia" w:ascii="宋体" w:hAnsi="宋体" w:cs="宋体"/>
          <w:color w:val="auto"/>
          <w:sz w:val="21"/>
          <w:szCs w:val="21"/>
        </w:rPr>
        <w:t>★</w:t>
      </w:r>
      <w:r>
        <w:rPr>
          <w:rFonts w:hint="eastAsia" w:ascii="宋体" w:hAnsi="宋体"/>
          <w:color w:val="auto"/>
          <w:sz w:val="21"/>
          <w:szCs w:val="21"/>
        </w:rPr>
        <w:t>车辆配备：</w:t>
      </w:r>
    </w:p>
    <w:p>
      <w:pPr>
        <w:spacing w:line="420" w:lineRule="exact"/>
        <w:ind w:firstLine="420" w:firstLineChars="200"/>
        <w:rPr>
          <w:rFonts w:ascii="宋体" w:hAnsi="宋体"/>
          <w:color w:val="auto"/>
          <w:sz w:val="21"/>
          <w:szCs w:val="21"/>
        </w:rPr>
      </w:pPr>
      <w:r>
        <w:rPr>
          <w:rFonts w:hint="eastAsia" w:ascii="宋体" w:hAnsi="宋体"/>
          <w:color w:val="auto"/>
          <w:sz w:val="21"/>
          <w:szCs w:val="21"/>
        </w:rPr>
        <w:t>小型电动垃圾收集车（1.5吨）不少于4辆</w:t>
      </w:r>
    </w:p>
    <w:p>
      <w:pPr>
        <w:spacing w:line="420" w:lineRule="exact"/>
        <w:ind w:firstLine="420" w:firstLineChars="200"/>
        <w:rPr>
          <w:rFonts w:ascii="宋体" w:hAnsi="宋体"/>
          <w:color w:val="auto"/>
          <w:sz w:val="21"/>
          <w:szCs w:val="21"/>
        </w:rPr>
      </w:pPr>
      <w:r>
        <w:rPr>
          <w:rFonts w:hint="eastAsia" w:ascii="宋体" w:hAnsi="宋体"/>
          <w:color w:val="auto"/>
          <w:sz w:val="21"/>
          <w:szCs w:val="21"/>
        </w:rPr>
        <w:t>电动保洁车不少于13辆</w:t>
      </w:r>
    </w:p>
    <w:p>
      <w:pPr>
        <w:spacing w:line="420" w:lineRule="exact"/>
        <w:ind w:firstLine="420" w:firstLineChars="200"/>
        <w:rPr>
          <w:rFonts w:ascii="宋体" w:hAnsi="宋体" w:cs="宋体"/>
          <w:color w:val="auto"/>
          <w:sz w:val="21"/>
          <w:szCs w:val="21"/>
        </w:rPr>
      </w:pPr>
      <w:r>
        <w:rPr>
          <w:rFonts w:hint="eastAsia" w:ascii="宋体" w:hAnsi="宋体" w:cs="宋体"/>
          <w:color w:val="auto"/>
          <w:sz w:val="21"/>
          <w:szCs w:val="21"/>
        </w:rPr>
        <w:t>★项为本次采购的实质性要求不允许负偏离，投标时无须提供具体信息，但所有配备人员及车辆须按以上要求执行。如未按以上要求执行，采购人有权取消其中标资格，给采购人人造成的损失的应予以赔偿。给招标人造成的损失超过保证金数额的，中标人还应当对超过部分予以赔偿。招标人可以按照评标委员会提出的中标候选人名单排序依次确定其他中标候选人为中标人，依次确定其他中标候选人与招标人预期差距较大，或者对招标人明显不利的，</w:t>
      </w:r>
      <w:r>
        <w:rPr>
          <w:rFonts w:hint="eastAsia" w:ascii="宋体" w:hAnsi="宋体" w:cs="宋体"/>
          <w:color w:val="auto"/>
          <w:sz w:val="21"/>
          <w:szCs w:val="21"/>
          <w:highlight w:val="none"/>
          <w:lang w:val="en-US" w:eastAsia="zh-CN"/>
        </w:rPr>
        <w:t>采购人可以重新采购（招标）。</w:t>
      </w:r>
    </w:p>
    <w:p>
      <w:pPr>
        <w:spacing w:line="420" w:lineRule="exact"/>
        <w:ind w:firstLine="420" w:firstLineChars="200"/>
        <w:rPr>
          <w:rFonts w:ascii="宋体" w:hAnsi="宋体"/>
          <w:color w:val="auto"/>
          <w:sz w:val="21"/>
          <w:szCs w:val="21"/>
        </w:rPr>
      </w:pPr>
      <w:r>
        <w:rPr>
          <w:rFonts w:hint="eastAsia" w:ascii="宋体" w:hAnsi="宋体"/>
          <w:color w:val="auto"/>
          <w:sz w:val="21"/>
          <w:szCs w:val="21"/>
        </w:rPr>
        <w:t>5、“作业时间要求”说明：中标单位要做到8小时作业时间。服务期间应该配备足够的人员、作业工具及劳防用品根据相关作业要求，落实相应工作，并保证服务工作的正常运行。及时清理包括生活垃圾、建筑垃圾、沟（塘）漂浮物等在内的一切垃圾，确保保洁范围内无卫生死角、无乱堆放、无乱披挂、无散养家禽、无乱张贴涂写、无违规设置广告，保证在规定时限内（24小时）完成对除违章搭建以外的农村长效管理考核派遣案件的整改，不整改或逾期整改的，每件扣款100元。</w:t>
      </w:r>
    </w:p>
    <w:p>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ascii="宋体" w:hAnsi="宋体"/>
          <w:color w:val="auto"/>
          <w:sz w:val="21"/>
          <w:szCs w:val="21"/>
        </w:rPr>
      </w:pPr>
      <w:r>
        <w:rPr>
          <w:rFonts w:hint="eastAsia" w:ascii="宋体" w:hAnsi="宋体"/>
          <w:color w:val="auto"/>
          <w:sz w:val="21"/>
          <w:szCs w:val="21"/>
          <w:lang w:val="en-US" w:eastAsia="zh-CN"/>
        </w:rPr>
        <w:t>6</w:t>
      </w:r>
      <w:r>
        <w:rPr>
          <w:rFonts w:hint="eastAsia" w:ascii="宋体" w:hAnsi="宋体"/>
          <w:color w:val="auto"/>
          <w:sz w:val="21"/>
          <w:szCs w:val="21"/>
        </w:rPr>
        <w:t>、投标报价中不含垃圾桶，</w:t>
      </w:r>
      <w:r>
        <w:rPr>
          <w:rFonts w:hint="eastAsia" w:ascii="宋体" w:hAnsi="宋体"/>
          <w:b/>
          <w:color w:val="auto"/>
          <w:sz w:val="21"/>
          <w:szCs w:val="21"/>
          <w:u w:val="none"/>
          <w:lang w:eastAsia="zh-CN"/>
        </w:rPr>
        <w:t>响应</w:t>
      </w:r>
      <w:r>
        <w:rPr>
          <w:rFonts w:hint="eastAsia" w:ascii="宋体" w:hAnsi="宋体"/>
          <w:b/>
          <w:color w:val="auto"/>
          <w:sz w:val="21"/>
          <w:szCs w:val="21"/>
          <w:u w:val="none"/>
          <w:lang w:val="en-US" w:eastAsia="zh-CN"/>
        </w:rPr>
        <w:t>人</w:t>
      </w:r>
      <w:r>
        <w:rPr>
          <w:rFonts w:hint="eastAsia" w:ascii="宋体" w:hAnsi="宋体"/>
          <w:b/>
          <w:color w:val="auto"/>
          <w:sz w:val="21"/>
          <w:szCs w:val="21"/>
          <w:u w:val="none"/>
        </w:rPr>
        <w:t>在中标后，所有垃圾桶将由采购人一次性发放给</w:t>
      </w:r>
      <w:r>
        <w:rPr>
          <w:rFonts w:hint="eastAsia" w:ascii="宋体" w:hAnsi="宋体"/>
          <w:b/>
          <w:color w:val="auto"/>
          <w:sz w:val="21"/>
          <w:szCs w:val="21"/>
          <w:u w:val="none"/>
          <w:lang w:eastAsia="zh-CN"/>
        </w:rPr>
        <w:t>响应人</w:t>
      </w:r>
      <w:r>
        <w:rPr>
          <w:rFonts w:hint="eastAsia" w:ascii="宋体" w:hAnsi="宋体"/>
          <w:b/>
          <w:color w:val="auto"/>
          <w:sz w:val="21"/>
          <w:szCs w:val="21"/>
          <w:u w:val="none"/>
        </w:rPr>
        <w:t>。自交付之日起三年内，</w:t>
      </w:r>
      <w:r>
        <w:rPr>
          <w:rFonts w:hint="eastAsia" w:ascii="宋体" w:hAnsi="宋体"/>
          <w:b/>
          <w:color w:val="auto"/>
          <w:sz w:val="21"/>
          <w:szCs w:val="21"/>
          <w:u w:val="none"/>
          <w:lang w:eastAsia="zh-CN"/>
        </w:rPr>
        <w:t>响应人</w:t>
      </w:r>
      <w:r>
        <w:rPr>
          <w:rFonts w:hint="eastAsia" w:ascii="宋体" w:hAnsi="宋体"/>
          <w:b/>
          <w:color w:val="auto"/>
          <w:sz w:val="21"/>
          <w:szCs w:val="21"/>
          <w:u w:val="none"/>
        </w:rPr>
        <w:t>应及时清洗垃圾桶，发生垃圾桶被盗、遗失、损坏等情况的将由</w:t>
      </w:r>
      <w:r>
        <w:rPr>
          <w:rFonts w:hint="eastAsia" w:ascii="宋体" w:hAnsi="宋体"/>
          <w:b/>
          <w:color w:val="auto"/>
          <w:sz w:val="21"/>
          <w:szCs w:val="21"/>
          <w:u w:val="none"/>
          <w:lang w:eastAsia="zh-CN"/>
        </w:rPr>
        <w:t>响应人</w:t>
      </w:r>
      <w:r>
        <w:rPr>
          <w:rFonts w:hint="eastAsia" w:ascii="宋体" w:hAnsi="宋体"/>
          <w:b/>
          <w:color w:val="auto"/>
          <w:sz w:val="21"/>
          <w:szCs w:val="21"/>
          <w:u w:val="none"/>
        </w:rPr>
        <w:t>自行补充，费用自理。逾期不补的，采购人有权从</w:t>
      </w:r>
      <w:r>
        <w:rPr>
          <w:rFonts w:hint="eastAsia" w:ascii="宋体" w:hAnsi="宋体"/>
          <w:b/>
          <w:color w:val="auto"/>
          <w:sz w:val="21"/>
          <w:szCs w:val="21"/>
          <w:u w:val="none"/>
          <w:lang w:eastAsia="zh-CN"/>
        </w:rPr>
        <w:t>响应人</w:t>
      </w:r>
      <w:r>
        <w:rPr>
          <w:rFonts w:hint="eastAsia" w:ascii="宋体" w:hAnsi="宋体"/>
          <w:b/>
          <w:color w:val="auto"/>
          <w:sz w:val="21"/>
          <w:szCs w:val="21"/>
          <w:u w:val="none"/>
        </w:rPr>
        <w:t>的服务费中扣除。</w:t>
      </w:r>
    </w:p>
    <w:p>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ascii="宋体" w:hAnsi="宋体"/>
          <w:color w:val="auto"/>
          <w:sz w:val="21"/>
          <w:szCs w:val="21"/>
        </w:rPr>
      </w:pPr>
      <w:r>
        <w:rPr>
          <w:rFonts w:hint="eastAsia" w:ascii="宋体" w:hAnsi="宋体"/>
          <w:color w:val="auto"/>
          <w:sz w:val="21"/>
          <w:szCs w:val="21"/>
          <w:lang w:val="en-US" w:eastAsia="zh-CN"/>
        </w:rPr>
        <w:t>7</w:t>
      </w:r>
      <w:r>
        <w:rPr>
          <w:rFonts w:hint="eastAsia" w:ascii="宋体" w:hAnsi="宋体"/>
          <w:color w:val="auto"/>
          <w:sz w:val="21"/>
          <w:szCs w:val="21"/>
        </w:rPr>
        <w:t>、合同期内，凡新增作业任务，需得到</w:t>
      </w:r>
      <w:r>
        <w:rPr>
          <w:rFonts w:hint="eastAsia" w:ascii="宋体" w:hAnsi="宋体"/>
          <w:color w:val="auto"/>
          <w:sz w:val="21"/>
          <w:szCs w:val="21"/>
          <w:lang w:eastAsia="zh-CN"/>
        </w:rPr>
        <w:t>采购人</w:t>
      </w:r>
      <w:r>
        <w:rPr>
          <w:rFonts w:hint="eastAsia" w:ascii="宋体" w:hAnsi="宋体"/>
          <w:color w:val="auto"/>
          <w:sz w:val="21"/>
          <w:szCs w:val="21"/>
        </w:rPr>
        <w:t>的认定同意，以</w:t>
      </w:r>
      <w:r>
        <w:rPr>
          <w:rFonts w:hint="eastAsia" w:ascii="宋体" w:hAnsi="宋体"/>
          <w:color w:val="auto"/>
          <w:sz w:val="21"/>
          <w:szCs w:val="21"/>
          <w:lang w:eastAsia="zh-CN"/>
        </w:rPr>
        <w:t>采购人</w:t>
      </w:r>
      <w:r>
        <w:rPr>
          <w:rFonts w:hint="eastAsia" w:ascii="宋体" w:hAnsi="宋体"/>
          <w:color w:val="auto"/>
          <w:sz w:val="21"/>
          <w:szCs w:val="21"/>
        </w:rPr>
        <w:t>下达的任务书为准。凭任务书作为结算依据。</w:t>
      </w:r>
    </w:p>
    <w:p>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ascii="宋体" w:hAnsi="宋体"/>
          <w:color w:val="auto"/>
          <w:sz w:val="21"/>
          <w:szCs w:val="21"/>
        </w:rPr>
      </w:pPr>
      <w:r>
        <w:rPr>
          <w:rFonts w:hint="eastAsia" w:ascii="宋体" w:hAnsi="宋体"/>
          <w:color w:val="auto"/>
          <w:sz w:val="21"/>
          <w:szCs w:val="21"/>
          <w:lang w:val="en-US" w:eastAsia="zh-CN"/>
        </w:rPr>
        <w:t>8</w:t>
      </w:r>
      <w:r>
        <w:rPr>
          <w:rFonts w:hint="eastAsia" w:ascii="宋体" w:hAnsi="宋体"/>
          <w:color w:val="auto"/>
          <w:sz w:val="21"/>
          <w:szCs w:val="21"/>
        </w:rPr>
        <w:t>、由于工程施工、各类活动、节假日期间等因素导致的费用，不论这些因素是可预测或不可预测的，均已包含在投标报价中。除</w:t>
      </w:r>
      <w:r>
        <w:rPr>
          <w:rFonts w:hint="eastAsia" w:ascii="宋体" w:hAnsi="宋体"/>
          <w:color w:val="auto"/>
          <w:sz w:val="21"/>
          <w:szCs w:val="21"/>
          <w:lang w:eastAsia="zh-CN"/>
        </w:rPr>
        <w:t>采购人</w:t>
      </w:r>
      <w:r>
        <w:rPr>
          <w:rFonts w:hint="eastAsia" w:ascii="宋体" w:hAnsi="宋体"/>
          <w:color w:val="auto"/>
          <w:sz w:val="21"/>
          <w:szCs w:val="21"/>
        </w:rPr>
        <w:t>要求外，不作调整。</w:t>
      </w:r>
    </w:p>
    <w:p>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ascii="宋体" w:hAnsi="宋体"/>
          <w:color w:val="auto"/>
          <w:sz w:val="21"/>
          <w:szCs w:val="21"/>
        </w:rPr>
      </w:pPr>
      <w:r>
        <w:rPr>
          <w:rFonts w:hint="eastAsia" w:ascii="宋体" w:hAnsi="宋体"/>
          <w:color w:val="auto"/>
          <w:sz w:val="21"/>
          <w:szCs w:val="21"/>
          <w:lang w:val="en-US" w:eastAsia="zh-CN"/>
        </w:rPr>
        <w:t>9</w:t>
      </w:r>
      <w:r>
        <w:rPr>
          <w:rFonts w:hint="eastAsia" w:ascii="宋体" w:hAnsi="宋体"/>
          <w:color w:val="auto"/>
          <w:sz w:val="21"/>
          <w:szCs w:val="21"/>
        </w:rPr>
        <w:t>、因突发情况（如台风、雨雪、冰雹、霜或冻等天气或气候因素，或车辆、居民或行人等人为因素，或是其它因素，以及复合因素或不明原因的情况）导致的道路污染必须及时清除，不论这些因素是可预测或不可预测的，均已包含在投标报价中。除</w:t>
      </w:r>
      <w:r>
        <w:rPr>
          <w:rFonts w:hint="eastAsia" w:ascii="宋体" w:hAnsi="宋体"/>
          <w:color w:val="auto"/>
          <w:sz w:val="21"/>
          <w:szCs w:val="21"/>
          <w:lang w:eastAsia="zh-CN"/>
        </w:rPr>
        <w:t>采购人</w:t>
      </w:r>
      <w:r>
        <w:rPr>
          <w:rFonts w:hint="eastAsia" w:ascii="宋体" w:hAnsi="宋体"/>
          <w:color w:val="auto"/>
          <w:sz w:val="21"/>
          <w:szCs w:val="21"/>
        </w:rPr>
        <w:t>要求外，不作调整。</w:t>
      </w:r>
    </w:p>
    <w:p>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color w:val="auto"/>
          <w:sz w:val="21"/>
          <w:szCs w:val="21"/>
        </w:rPr>
      </w:pPr>
      <w:r>
        <w:rPr>
          <w:rFonts w:hint="eastAsia" w:ascii="宋体" w:hAnsi="宋体"/>
          <w:color w:val="auto"/>
          <w:sz w:val="21"/>
          <w:szCs w:val="21"/>
          <w:lang w:val="en-US" w:eastAsia="zh-CN"/>
        </w:rPr>
        <w:t>10</w:t>
      </w:r>
      <w:r>
        <w:rPr>
          <w:rFonts w:hint="eastAsia" w:ascii="宋体" w:hAnsi="宋体"/>
          <w:color w:val="auto"/>
          <w:sz w:val="21"/>
          <w:szCs w:val="21"/>
        </w:rPr>
        <w:t>、费用调整（如：人工、材料、机具设备、规费、税金等费用的调整或出现新的费用），除</w:t>
      </w:r>
      <w:r>
        <w:rPr>
          <w:rFonts w:hint="eastAsia" w:ascii="宋体" w:hAnsi="宋体"/>
          <w:color w:val="auto"/>
          <w:sz w:val="21"/>
          <w:szCs w:val="21"/>
          <w:lang w:eastAsia="zh-CN"/>
        </w:rPr>
        <w:t>采购人</w:t>
      </w:r>
      <w:r>
        <w:rPr>
          <w:rFonts w:hint="eastAsia" w:ascii="宋体" w:hAnsi="宋体"/>
          <w:color w:val="auto"/>
          <w:sz w:val="21"/>
          <w:szCs w:val="21"/>
        </w:rPr>
        <w:t>额外要求增加工作量外，投标总价不作调整。</w:t>
      </w:r>
    </w:p>
    <w:p>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ascii="宋体" w:hAnsi="宋体"/>
          <w:color w:val="auto"/>
          <w:sz w:val="21"/>
          <w:szCs w:val="21"/>
        </w:rPr>
      </w:pPr>
      <w:r>
        <w:rPr>
          <w:rFonts w:hint="eastAsia" w:ascii="宋体" w:hAnsi="宋体"/>
          <w:color w:val="auto"/>
          <w:sz w:val="21"/>
          <w:szCs w:val="21"/>
          <w:lang w:val="en-US" w:eastAsia="zh-CN"/>
        </w:rPr>
        <w:t>11</w:t>
      </w:r>
      <w:r>
        <w:rPr>
          <w:rFonts w:hint="eastAsia" w:ascii="宋体" w:hAnsi="宋体"/>
          <w:color w:val="auto"/>
          <w:sz w:val="21"/>
          <w:szCs w:val="21"/>
        </w:rPr>
        <w:t>、本次</w:t>
      </w:r>
      <w:r>
        <w:rPr>
          <w:rFonts w:hint="eastAsia" w:ascii="宋体" w:hAnsi="宋体"/>
          <w:color w:val="auto"/>
          <w:sz w:val="21"/>
          <w:szCs w:val="21"/>
          <w:lang w:val="en-US" w:eastAsia="zh-CN"/>
        </w:rPr>
        <w:t>采购</w:t>
      </w:r>
      <w:r>
        <w:rPr>
          <w:rFonts w:hint="eastAsia" w:ascii="宋体" w:hAnsi="宋体"/>
          <w:color w:val="auto"/>
          <w:sz w:val="21"/>
          <w:szCs w:val="21"/>
        </w:rPr>
        <w:t>包括建筑垃圾清运及突击劳动的费用，同时</w:t>
      </w:r>
      <w:r>
        <w:rPr>
          <w:rFonts w:hint="eastAsia" w:ascii="宋体" w:hAnsi="宋体"/>
          <w:color w:val="auto"/>
          <w:sz w:val="21"/>
          <w:szCs w:val="21"/>
          <w:lang w:eastAsia="zh-CN"/>
        </w:rPr>
        <w:t>响应人</w:t>
      </w:r>
      <w:r>
        <w:rPr>
          <w:rFonts w:hint="eastAsia" w:ascii="宋体" w:hAnsi="宋体"/>
          <w:color w:val="auto"/>
          <w:sz w:val="21"/>
          <w:szCs w:val="21"/>
        </w:rPr>
        <w:t>必须配合采购人接受相关部门的监督及检查，并提供所需资料。</w:t>
      </w:r>
    </w:p>
    <w:p>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ascii="宋体" w:hAnsi="宋体"/>
          <w:color w:val="auto"/>
          <w:sz w:val="21"/>
          <w:szCs w:val="21"/>
        </w:rPr>
      </w:pPr>
      <w:r>
        <w:rPr>
          <w:rFonts w:hint="eastAsia" w:ascii="宋体" w:hAnsi="宋体"/>
          <w:color w:val="auto"/>
          <w:sz w:val="21"/>
          <w:szCs w:val="21"/>
          <w:lang w:val="en-US" w:eastAsia="zh-CN"/>
        </w:rPr>
        <w:t>12</w:t>
      </w:r>
      <w:r>
        <w:rPr>
          <w:rFonts w:hint="eastAsia" w:ascii="宋体" w:hAnsi="宋体"/>
          <w:color w:val="auto"/>
          <w:sz w:val="21"/>
          <w:szCs w:val="21"/>
        </w:rPr>
        <w:t>、</w:t>
      </w:r>
      <w:r>
        <w:rPr>
          <w:rFonts w:hint="eastAsia" w:ascii="宋体" w:hAnsi="宋体"/>
          <w:color w:val="auto"/>
          <w:sz w:val="21"/>
          <w:szCs w:val="21"/>
          <w:lang w:eastAsia="zh-CN"/>
        </w:rPr>
        <w:t>采购人</w:t>
      </w:r>
      <w:r>
        <w:rPr>
          <w:rFonts w:hint="eastAsia" w:ascii="宋体" w:hAnsi="宋体"/>
          <w:color w:val="auto"/>
          <w:sz w:val="21"/>
          <w:szCs w:val="21"/>
        </w:rPr>
        <w:t>不接受</w:t>
      </w:r>
      <w:r>
        <w:rPr>
          <w:rFonts w:hint="eastAsia" w:ascii="宋体" w:hAnsi="宋体"/>
          <w:color w:val="auto"/>
          <w:sz w:val="21"/>
          <w:szCs w:val="21"/>
          <w:lang w:eastAsia="zh-CN"/>
        </w:rPr>
        <w:t>响应人</w:t>
      </w:r>
      <w:r>
        <w:rPr>
          <w:rFonts w:hint="eastAsia" w:ascii="宋体" w:hAnsi="宋体"/>
          <w:color w:val="auto"/>
          <w:sz w:val="21"/>
          <w:szCs w:val="21"/>
        </w:rPr>
        <w:t>任何因遗漏报价而发生的费用，如因</w:t>
      </w:r>
      <w:r>
        <w:rPr>
          <w:rFonts w:hint="eastAsia" w:ascii="宋体" w:hAnsi="宋体"/>
          <w:color w:val="auto"/>
          <w:sz w:val="21"/>
          <w:szCs w:val="21"/>
          <w:lang w:eastAsia="zh-CN"/>
        </w:rPr>
        <w:t>响应人</w:t>
      </w:r>
      <w:r>
        <w:rPr>
          <w:rFonts w:hint="eastAsia" w:ascii="宋体" w:hAnsi="宋体"/>
          <w:color w:val="auto"/>
          <w:sz w:val="21"/>
          <w:szCs w:val="21"/>
        </w:rPr>
        <w:t>违反《</w:t>
      </w:r>
      <w:r>
        <w:rPr>
          <w:rFonts w:hint="eastAsia" w:ascii="宋体" w:hAnsi="宋体"/>
          <w:color w:val="auto"/>
          <w:sz w:val="21"/>
          <w:szCs w:val="21"/>
          <w:lang w:eastAsia="zh-CN"/>
        </w:rPr>
        <w:t>民法典</w:t>
      </w:r>
      <w:r>
        <w:rPr>
          <w:rFonts w:hint="eastAsia" w:ascii="宋体" w:hAnsi="宋体"/>
          <w:color w:val="auto"/>
          <w:sz w:val="21"/>
          <w:szCs w:val="21"/>
        </w:rPr>
        <w:t>》等相关法律法规而造成</w:t>
      </w:r>
      <w:r>
        <w:rPr>
          <w:rFonts w:hint="eastAsia" w:ascii="宋体" w:hAnsi="宋体"/>
          <w:color w:val="auto"/>
          <w:sz w:val="21"/>
          <w:szCs w:val="21"/>
          <w:lang w:eastAsia="zh-CN"/>
        </w:rPr>
        <w:t>采购人</w:t>
      </w:r>
      <w:r>
        <w:rPr>
          <w:rFonts w:hint="eastAsia" w:ascii="宋体" w:hAnsi="宋体"/>
          <w:color w:val="auto"/>
          <w:sz w:val="21"/>
          <w:szCs w:val="21"/>
        </w:rPr>
        <w:t>连带责任和损失的，均由</w:t>
      </w:r>
      <w:r>
        <w:rPr>
          <w:rFonts w:hint="eastAsia" w:ascii="宋体" w:hAnsi="宋体"/>
          <w:color w:val="auto"/>
          <w:sz w:val="21"/>
          <w:szCs w:val="21"/>
          <w:lang w:eastAsia="zh-CN"/>
        </w:rPr>
        <w:t>响应人</w:t>
      </w:r>
      <w:r>
        <w:rPr>
          <w:rFonts w:hint="eastAsia" w:ascii="宋体" w:hAnsi="宋体"/>
          <w:color w:val="auto"/>
          <w:sz w:val="21"/>
          <w:szCs w:val="21"/>
        </w:rPr>
        <w:t>自行承担。</w:t>
      </w:r>
    </w:p>
    <w:p>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13、</w:t>
      </w:r>
      <w:r>
        <w:rPr>
          <w:rFonts w:hint="eastAsia" w:ascii="宋体" w:hAnsi="宋体" w:eastAsia="宋体"/>
          <w:color w:val="auto"/>
          <w:sz w:val="21"/>
          <w:szCs w:val="21"/>
        </w:rPr>
        <w:t>有关测算依据</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ascii="宋体" w:hAnsi="宋体"/>
          <w:color w:val="auto"/>
          <w:sz w:val="21"/>
          <w:szCs w:val="21"/>
        </w:rPr>
      </w:pPr>
      <w:r>
        <w:rPr>
          <w:rFonts w:hint="eastAsia" w:ascii="宋体" w:hAnsi="宋体"/>
          <w:color w:val="auto"/>
          <w:sz w:val="21"/>
          <w:szCs w:val="21"/>
        </w:rPr>
        <w:t>13</w:t>
      </w:r>
      <w:r>
        <w:rPr>
          <w:rFonts w:hint="eastAsia" w:ascii="宋体" w:hAnsi="宋体"/>
          <w:color w:val="auto"/>
          <w:sz w:val="21"/>
          <w:szCs w:val="21"/>
          <w:lang w:val="en-US" w:eastAsia="zh-CN"/>
        </w:rPr>
        <w:t xml:space="preserve">.1  </w:t>
      </w:r>
      <w:r>
        <w:rPr>
          <w:rFonts w:hint="eastAsia" w:ascii="宋体" w:hAnsi="宋体"/>
          <w:color w:val="auto"/>
          <w:sz w:val="21"/>
          <w:szCs w:val="21"/>
        </w:rPr>
        <w:t>员工工资及相关费用必须符合以下要求：</w:t>
      </w:r>
      <w:r>
        <w:rPr>
          <w:rFonts w:hint="eastAsia" w:ascii="宋体" w:hAnsi="宋体"/>
          <w:color w:val="auto"/>
          <w:sz w:val="21"/>
          <w:szCs w:val="21"/>
        </w:rPr>
        <w:t>工资不得低于金坛区人工工资最低标准2280元/人•月（《</w:t>
      </w:r>
      <w:r>
        <w:rPr>
          <w:rFonts w:ascii="宋体" w:hAnsi="宋体"/>
          <w:b/>
          <w:color w:val="auto"/>
          <w:sz w:val="21"/>
          <w:szCs w:val="21"/>
        </w:rPr>
        <w:t>江苏省人力资源和社会保障厅关于调整全省最低工资标准的通知</w:t>
      </w:r>
      <w:r>
        <w:rPr>
          <w:rFonts w:hint="eastAsia" w:ascii="宋体" w:hAnsi="宋体"/>
          <w:color w:val="auto"/>
          <w:sz w:val="21"/>
          <w:szCs w:val="21"/>
        </w:rPr>
        <w:t>》）。社保月缴费基数不低于4250元，社保月缴费比例不低于25.7%，高温费按不低于1200元/人•年计算，福利费1000元/人•年，工具费不低于300元/人•年，服装及劳保费700元/人•年（根据《劳动防护用品发放要求》），全年休息休假加班工资不得低于2965.12元/人*年（2280÷21.75×6/7×3×11），意外伤害保险费不低于</w:t>
      </w:r>
      <w:r>
        <w:rPr>
          <w:rFonts w:ascii="宋体" w:hAnsi="宋体"/>
          <w:color w:val="auto"/>
          <w:sz w:val="21"/>
          <w:szCs w:val="21"/>
        </w:rPr>
        <w:t>7</w:t>
      </w:r>
      <w:r>
        <w:rPr>
          <w:rFonts w:hint="eastAsia" w:ascii="宋体" w:hAnsi="宋体"/>
          <w:color w:val="auto"/>
          <w:sz w:val="21"/>
          <w:szCs w:val="21"/>
        </w:rPr>
        <w:t>00元/人•年。（本项为实质性要求，不满足的供应商视为无效响应。）</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ascii="宋体" w:hAnsi="宋体"/>
          <w:color w:val="auto"/>
          <w:sz w:val="21"/>
          <w:szCs w:val="21"/>
        </w:rPr>
      </w:pPr>
      <w:r>
        <w:rPr>
          <w:rFonts w:hint="eastAsia" w:ascii="宋体" w:hAnsi="宋体"/>
          <w:color w:val="auto"/>
          <w:sz w:val="21"/>
          <w:szCs w:val="21"/>
          <w:lang w:val="en-US" w:eastAsia="zh-CN"/>
        </w:rPr>
        <w:t xml:space="preserve">13.2  </w:t>
      </w:r>
      <w:r>
        <w:rPr>
          <w:rFonts w:hint="eastAsia" w:ascii="宋体" w:hAnsi="宋体"/>
          <w:color w:val="auto"/>
          <w:sz w:val="21"/>
          <w:szCs w:val="21"/>
        </w:rPr>
        <w:t>车辆相关费用必须符合以下要求：</w:t>
      </w:r>
      <w:r>
        <w:rPr>
          <w:rFonts w:hint="eastAsia" w:ascii="宋体" w:hAnsi="宋体"/>
          <w:color w:val="auto"/>
          <w:sz w:val="21"/>
          <w:szCs w:val="21"/>
        </w:rPr>
        <w:t>小型电动垃圾收集车（1.5吨）购置成本为</w:t>
      </w:r>
      <w:r>
        <w:rPr>
          <w:rFonts w:ascii="宋体" w:hAnsi="宋体"/>
          <w:color w:val="auto"/>
          <w:sz w:val="21"/>
          <w:szCs w:val="21"/>
        </w:rPr>
        <w:t>3</w:t>
      </w:r>
      <w:r>
        <w:rPr>
          <w:rFonts w:hint="eastAsia" w:ascii="宋体" w:hAnsi="宋体"/>
          <w:color w:val="auto"/>
          <w:sz w:val="21"/>
          <w:szCs w:val="21"/>
        </w:rPr>
        <w:t>万元/辆，不高于</w:t>
      </w:r>
      <w:r>
        <w:rPr>
          <w:rFonts w:hint="eastAsia" w:ascii="宋体" w:hAnsi="宋体"/>
          <w:color w:val="auto"/>
          <w:sz w:val="21"/>
          <w:szCs w:val="21"/>
          <w:lang w:eastAsia="zh-CN"/>
        </w:rPr>
        <w:t>（</w:t>
      </w:r>
      <w:r>
        <w:rPr>
          <w:rFonts w:hint="eastAsia" w:ascii="宋体" w:hAnsi="宋体"/>
          <w:color w:val="auto"/>
          <w:sz w:val="21"/>
          <w:szCs w:val="21"/>
          <w:lang w:val="en-US" w:eastAsia="zh-CN"/>
        </w:rPr>
        <w:t>含）</w:t>
      </w:r>
      <w:r>
        <w:rPr>
          <w:rFonts w:ascii="宋体" w:hAnsi="宋体"/>
          <w:color w:val="auto"/>
          <w:sz w:val="21"/>
          <w:szCs w:val="21"/>
        </w:rPr>
        <w:t>3</w:t>
      </w:r>
      <w:r>
        <w:rPr>
          <w:rFonts w:hint="eastAsia" w:ascii="宋体" w:hAnsi="宋体"/>
          <w:color w:val="auto"/>
          <w:sz w:val="21"/>
          <w:szCs w:val="21"/>
        </w:rPr>
        <w:t>年折旧测算，电动保洁车购置成本为4</w:t>
      </w:r>
      <w:r>
        <w:rPr>
          <w:rFonts w:ascii="宋体" w:hAnsi="宋体"/>
          <w:color w:val="auto"/>
          <w:sz w:val="21"/>
          <w:szCs w:val="21"/>
        </w:rPr>
        <w:t>500</w:t>
      </w:r>
      <w:r>
        <w:rPr>
          <w:rFonts w:hint="eastAsia" w:ascii="宋体" w:hAnsi="宋体"/>
          <w:color w:val="auto"/>
          <w:sz w:val="21"/>
          <w:szCs w:val="21"/>
        </w:rPr>
        <w:t>元/辆，不高于</w:t>
      </w:r>
      <w:r>
        <w:rPr>
          <w:rFonts w:hint="eastAsia" w:ascii="宋体" w:hAnsi="宋体"/>
          <w:color w:val="auto"/>
          <w:sz w:val="21"/>
          <w:szCs w:val="21"/>
          <w:lang w:eastAsia="zh-CN"/>
        </w:rPr>
        <w:t>（</w:t>
      </w:r>
      <w:r>
        <w:rPr>
          <w:rFonts w:hint="eastAsia" w:ascii="宋体" w:hAnsi="宋体"/>
          <w:color w:val="auto"/>
          <w:sz w:val="21"/>
          <w:szCs w:val="21"/>
          <w:lang w:val="en-US" w:eastAsia="zh-CN"/>
        </w:rPr>
        <w:t>含）</w:t>
      </w:r>
      <w:r>
        <w:rPr>
          <w:rFonts w:ascii="宋体" w:hAnsi="宋体"/>
          <w:color w:val="auto"/>
          <w:sz w:val="21"/>
          <w:szCs w:val="21"/>
        </w:rPr>
        <w:t>5</w:t>
      </w:r>
      <w:r>
        <w:rPr>
          <w:rFonts w:hint="eastAsia" w:ascii="宋体" w:hAnsi="宋体"/>
          <w:color w:val="auto"/>
          <w:sz w:val="21"/>
          <w:szCs w:val="21"/>
        </w:rPr>
        <w:t>年折旧测算。小型电动垃圾收集车（1.5吨）充电费按不低于9</w:t>
      </w:r>
      <w:r>
        <w:rPr>
          <w:rFonts w:ascii="宋体" w:hAnsi="宋体"/>
          <w:color w:val="auto"/>
          <w:sz w:val="21"/>
          <w:szCs w:val="21"/>
        </w:rPr>
        <w:t>000</w:t>
      </w:r>
      <w:r>
        <w:rPr>
          <w:rFonts w:hint="eastAsia" w:ascii="宋体" w:hAnsi="宋体"/>
          <w:color w:val="auto"/>
          <w:sz w:val="21"/>
          <w:szCs w:val="21"/>
        </w:rPr>
        <w:t>元/辆•年测算。（本项为实质性要求，不满足的供应商视为无效响应。）</w:t>
      </w:r>
    </w:p>
    <w:p>
      <w:pPr>
        <w:pStyle w:val="2"/>
        <w:keepNext w:val="0"/>
        <w:keepLines w:val="0"/>
        <w:pageBreakBefore w:val="0"/>
        <w:widowControl w:val="0"/>
        <w:kinsoku/>
        <w:wordWrap/>
        <w:overflowPunct/>
        <w:topLinePunct w:val="0"/>
        <w:autoSpaceDE/>
        <w:autoSpaceDN/>
        <w:bidi w:val="0"/>
        <w:spacing w:line="420" w:lineRule="exact"/>
        <w:ind w:left="426" w:leftChars="152"/>
        <w:textAlignment w:val="auto"/>
        <w:rPr>
          <w:rFonts w:ascii="宋体" w:hAnsi="宋体"/>
          <w:color w:val="auto"/>
          <w:sz w:val="21"/>
          <w:szCs w:val="21"/>
        </w:rPr>
      </w:pPr>
      <w:r>
        <w:rPr>
          <w:rFonts w:hint="eastAsia" w:ascii="宋体" w:hAnsi="宋体"/>
          <w:color w:val="auto"/>
          <w:sz w:val="21"/>
          <w:szCs w:val="21"/>
          <w:lang w:val="en-US" w:eastAsia="zh-CN"/>
        </w:rPr>
        <w:t xml:space="preserve">13.3  </w:t>
      </w:r>
      <w:r>
        <w:rPr>
          <w:rFonts w:hint="eastAsia" w:ascii="宋体" w:hAnsi="宋体"/>
          <w:color w:val="auto"/>
          <w:sz w:val="21"/>
          <w:szCs w:val="21"/>
        </w:rPr>
        <w:t>税金税率不低于3%。（本项为实质性要求，不满足的供应商视为无效响应。）</w:t>
      </w:r>
    </w:p>
    <w:p>
      <w:pPr>
        <w:keepNext w:val="0"/>
        <w:keepLines w:val="0"/>
        <w:pageBreakBefore w:val="0"/>
        <w:widowControl w:val="0"/>
        <w:kinsoku/>
        <w:wordWrap/>
        <w:overflowPunct/>
        <w:topLinePunct w:val="0"/>
        <w:autoSpaceDE/>
        <w:autoSpaceDN/>
        <w:bidi w:val="0"/>
        <w:spacing w:line="420" w:lineRule="exact"/>
        <w:ind w:right="420"/>
        <w:textAlignment w:val="auto"/>
        <w:rPr>
          <w:rFonts w:ascii="宋体" w:hAnsi="宋体"/>
          <w:b/>
          <w:color w:val="auto"/>
          <w:sz w:val="21"/>
          <w:szCs w:val="21"/>
        </w:rPr>
      </w:pPr>
      <w:r>
        <w:rPr>
          <w:rFonts w:hint="eastAsia" w:ascii="宋体" w:hAnsi="宋体"/>
          <w:b/>
          <w:color w:val="auto"/>
          <w:sz w:val="21"/>
          <w:szCs w:val="21"/>
        </w:rPr>
        <w:t>二、作业服务要求</w:t>
      </w:r>
    </w:p>
    <w:p>
      <w:pPr>
        <w:keepNext w:val="0"/>
        <w:keepLines w:val="0"/>
        <w:pageBreakBefore w:val="0"/>
        <w:widowControl w:val="0"/>
        <w:kinsoku/>
        <w:wordWrap/>
        <w:overflowPunct/>
        <w:topLinePunct w:val="0"/>
        <w:autoSpaceDE/>
        <w:autoSpaceDN/>
        <w:bidi w:val="0"/>
        <w:spacing w:line="420" w:lineRule="exact"/>
        <w:textAlignment w:val="auto"/>
        <w:rPr>
          <w:rFonts w:ascii="宋体" w:hAnsi="宋体"/>
          <w:b/>
          <w:color w:val="auto"/>
          <w:spacing w:val="-10"/>
          <w:sz w:val="21"/>
          <w:szCs w:val="21"/>
        </w:rPr>
      </w:pPr>
      <w:r>
        <w:rPr>
          <w:rFonts w:hint="eastAsia" w:ascii="宋体" w:hAnsi="宋体"/>
          <w:b/>
          <w:color w:val="auto"/>
          <w:spacing w:val="-10"/>
          <w:sz w:val="21"/>
          <w:szCs w:val="21"/>
        </w:rPr>
        <w:t>（一）</w:t>
      </w:r>
      <w:r>
        <w:rPr>
          <w:rFonts w:ascii="宋体" w:hAnsi="宋体"/>
          <w:b/>
          <w:color w:val="auto"/>
          <w:spacing w:val="-10"/>
          <w:sz w:val="21"/>
          <w:szCs w:val="21"/>
        </w:rPr>
        <w:t>人工普扫</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ascii="宋体" w:hAnsi="宋体"/>
          <w:color w:val="auto"/>
          <w:sz w:val="21"/>
          <w:szCs w:val="21"/>
        </w:rPr>
      </w:pPr>
      <w:r>
        <w:rPr>
          <w:rFonts w:hint="eastAsia" w:ascii="宋体" w:hAnsi="宋体"/>
          <w:color w:val="auto"/>
          <w:sz w:val="21"/>
          <w:szCs w:val="21"/>
        </w:rPr>
        <w:t>（1）</w:t>
      </w:r>
      <w:r>
        <w:rPr>
          <w:rFonts w:ascii="宋体" w:hAnsi="宋体"/>
          <w:color w:val="auto"/>
          <w:sz w:val="21"/>
          <w:szCs w:val="21"/>
        </w:rPr>
        <w:t>范围：详见</w:t>
      </w:r>
      <w:r>
        <w:rPr>
          <w:rFonts w:hint="eastAsia" w:ascii="宋体" w:hAnsi="宋体"/>
          <w:color w:val="auto"/>
          <w:sz w:val="21"/>
          <w:szCs w:val="21"/>
        </w:rPr>
        <w:t>保洁范围一览表。</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ascii="宋体" w:hAnsi="宋体"/>
          <w:color w:val="auto"/>
          <w:sz w:val="21"/>
          <w:szCs w:val="21"/>
        </w:rPr>
      </w:pPr>
      <w:r>
        <w:rPr>
          <w:rFonts w:hint="eastAsia" w:ascii="宋体" w:hAnsi="宋体"/>
          <w:color w:val="auto"/>
          <w:sz w:val="21"/>
          <w:szCs w:val="21"/>
        </w:rPr>
        <w:t>（2）</w:t>
      </w:r>
      <w:r>
        <w:rPr>
          <w:rFonts w:ascii="宋体" w:hAnsi="宋体"/>
          <w:color w:val="auto"/>
          <w:sz w:val="21"/>
          <w:szCs w:val="21"/>
        </w:rPr>
        <w:t>标准：</w:t>
      </w:r>
      <w:r>
        <w:rPr>
          <w:rFonts w:hint="eastAsia" w:ascii="宋体" w:hAnsi="宋体"/>
          <w:color w:val="auto"/>
          <w:sz w:val="21"/>
          <w:szCs w:val="21"/>
        </w:rPr>
        <w:t>村庄公共区域、</w:t>
      </w:r>
      <w:r>
        <w:rPr>
          <w:rFonts w:ascii="宋体" w:hAnsi="宋体"/>
          <w:color w:val="auto"/>
          <w:sz w:val="21"/>
          <w:szCs w:val="21"/>
        </w:rPr>
        <w:t>路面、路牙、便道、行道树穴、公交车站台及隔离栅周围的地面无垃圾污物，露出道路本色；绿地和绿地内甬道无果皮、纸屑、塑膜、烟蒂、痰迹、包装袋等垃圾；雨天清扫保洁时应及时清理排水口沟槽，保持沟槽畅通。 </w:t>
      </w:r>
    </w:p>
    <w:p>
      <w:pPr>
        <w:spacing w:line="420" w:lineRule="exact"/>
        <w:ind w:right="420"/>
        <w:rPr>
          <w:rFonts w:ascii="宋体" w:hAnsi="宋体"/>
          <w:b/>
          <w:color w:val="auto"/>
          <w:sz w:val="21"/>
          <w:szCs w:val="21"/>
        </w:rPr>
      </w:pPr>
      <w:r>
        <w:rPr>
          <w:rFonts w:hint="eastAsia" w:ascii="宋体" w:hAnsi="宋体"/>
          <w:b/>
          <w:color w:val="auto"/>
          <w:sz w:val="21"/>
          <w:szCs w:val="21"/>
        </w:rPr>
        <w:t>（二）</w:t>
      </w:r>
      <w:r>
        <w:rPr>
          <w:rFonts w:ascii="宋体" w:hAnsi="宋体"/>
          <w:b/>
          <w:color w:val="auto"/>
          <w:sz w:val="21"/>
          <w:szCs w:val="21"/>
        </w:rPr>
        <w:t>巡回保洁</w:t>
      </w:r>
    </w:p>
    <w:p>
      <w:pPr>
        <w:adjustRightInd w:val="0"/>
        <w:snapToGrid w:val="0"/>
        <w:spacing w:line="420" w:lineRule="exact"/>
        <w:ind w:firstLine="420" w:firstLineChars="200"/>
        <w:rPr>
          <w:rFonts w:ascii="宋体" w:hAnsi="宋体"/>
          <w:color w:val="auto"/>
          <w:sz w:val="21"/>
          <w:szCs w:val="21"/>
        </w:rPr>
      </w:pPr>
      <w:r>
        <w:rPr>
          <w:rFonts w:hint="eastAsia" w:ascii="宋体" w:hAnsi="宋体"/>
          <w:color w:val="auto"/>
          <w:sz w:val="21"/>
          <w:szCs w:val="21"/>
        </w:rPr>
        <w:t>（1）</w:t>
      </w:r>
      <w:r>
        <w:rPr>
          <w:rFonts w:ascii="宋体" w:hAnsi="宋体"/>
          <w:color w:val="auto"/>
          <w:sz w:val="21"/>
          <w:szCs w:val="21"/>
        </w:rPr>
        <w:t>范围：详见</w:t>
      </w:r>
      <w:r>
        <w:rPr>
          <w:rFonts w:hint="eastAsia" w:ascii="宋体" w:hAnsi="宋体"/>
          <w:color w:val="auto"/>
          <w:sz w:val="21"/>
          <w:szCs w:val="21"/>
        </w:rPr>
        <w:t>保洁范围一览表。</w:t>
      </w:r>
    </w:p>
    <w:p>
      <w:pPr>
        <w:adjustRightInd w:val="0"/>
        <w:snapToGrid w:val="0"/>
        <w:spacing w:line="420" w:lineRule="exact"/>
        <w:ind w:firstLine="420" w:firstLineChars="200"/>
        <w:rPr>
          <w:rFonts w:ascii="宋体" w:hAnsi="宋体"/>
          <w:color w:val="auto"/>
          <w:sz w:val="21"/>
          <w:szCs w:val="21"/>
        </w:rPr>
      </w:pPr>
      <w:r>
        <w:rPr>
          <w:rFonts w:hint="eastAsia" w:ascii="宋体" w:hAnsi="宋体"/>
          <w:color w:val="auto"/>
          <w:sz w:val="21"/>
          <w:szCs w:val="21"/>
        </w:rPr>
        <w:t>（2）</w:t>
      </w:r>
      <w:r>
        <w:rPr>
          <w:rFonts w:ascii="宋体" w:hAnsi="宋体"/>
          <w:color w:val="auto"/>
          <w:sz w:val="21"/>
          <w:szCs w:val="21"/>
        </w:rPr>
        <w:t>要求：保洁人员必须全时段、全路段、不间断巡回保洁，统一配备美观灵活的保洁车辆以及保洁工具（大小扫帚、铁铲、簸箕、垃圾夹、铲刀、垃圾袋等）；保洁后的白色垃圾、烟头、树叶、杂物等要装袋清运，严禁焚烧、填埋。</w:t>
      </w:r>
    </w:p>
    <w:p>
      <w:pPr>
        <w:adjustRightInd w:val="0"/>
        <w:snapToGrid w:val="0"/>
        <w:spacing w:line="420" w:lineRule="exact"/>
        <w:ind w:firstLine="420" w:firstLineChars="200"/>
        <w:rPr>
          <w:rFonts w:ascii="宋体" w:hAnsi="宋体"/>
          <w:color w:val="auto"/>
          <w:sz w:val="21"/>
          <w:szCs w:val="21"/>
        </w:rPr>
      </w:pPr>
      <w:r>
        <w:rPr>
          <w:rFonts w:hint="eastAsia" w:ascii="宋体" w:hAnsi="宋体"/>
          <w:color w:val="auto"/>
          <w:sz w:val="21"/>
          <w:szCs w:val="21"/>
        </w:rPr>
        <w:t>（3）</w:t>
      </w:r>
      <w:r>
        <w:rPr>
          <w:rFonts w:ascii="宋体" w:hAnsi="宋体"/>
          <w:color w:val="auto"/>
          <w:sz w:val="21"/>
          <w:szCs w:val="21"/>
        </w:rPr>
        <w:t>标准：道路车行道、人行道及绿化带内、道板、路面无废弃物，果皮、纸屑、塑膜、烟蒂、痰迹等不大于3处/千平方米；路面无污（积）水；道路两侧建筑物外表面、护栏、路灯杆、广告牌等无乱张贴、乱涂写、小广告、残标等；路面、道板上等保洁范围内无杂草。</w:t>
      </w:r>
    </w:p>
    <w:p>
      <w:pPr>
        <w:spacing w:line="420" w:lineRule="exact"/>
        <w:ind w:right="420"/>
        <w:rPr>
          <w:rFonts w:ascii="宋体" w:hAnsi="宋体"/>
          <w:b/>
          <w:color w:val="auto"/>
          <w:sz w:val="21"/>
          <w:szCs w:val="21"/>
        </w:rPr>
      </w:pPr>
      <w:r>
        <w:rPr>
          <w:rFonts w:hint="eastAsia" w:ascii="宋体" w:hAnsi="宋体"/>
          <w:b/>
          <w:color w:val="auto"/>
          <w:sz w:val="21"/>
          <w:szCs w:val="21"/>
        </w:rPr>
        <w:t>（三）</w:t>
      </w:r>
      <w:r>
        <w:rPr>
          <w:rFonts w:ascii="宋体" w:hAnsi="宋体"/>
          <w:b/>
          <w:color w:val="auto"/>
          <w:sz w:val="21"/>
          <w:szCs w:val="21"/>
        </w:rPr>
        <w:t>垃圾收集清运</w:t>
      </w:r>
    </w:p>
    <w:p>
      <w:pPr>
        <w:snapToGrid w:val="0"/>
        <w:spacing w:line="420" w:lineRule="exact"/>
        <w:ind w:firstLine="420" w:firstLineChars="200"/>
        <w:rPr>
          <w:rFonts w:ascii="宋体" w:hAnsi="宋体"/>
          <w:color w:val="auto"/>
          <w:sz w:val="21"/>
          <w:szCs w:val="21"/>
          <w:lang w:val="zh-CN"/>
        </w:rPr>
      </w:pPr>
      <w:r>
        <w:rPr>
          <w:rFonts w:hint="eastAsia" w:ascii="宋体" w:hAnsi="宋体"/>
          <w:color w:val="auto"/>
          <w:sz w:val="21"/>
          <w:szCs w:val="21"/>
          <w:lang w:val="zh-CN"/>
        </w:rPr>
        <w:t>（1）</w:t>
      </w:r>
      <w:r>
        <w:rPr>
          <w:rFonts w:ascii="宋体" w:hAnsi="宋体"/>
          <w:color w:val="auto"/>
          <w:sz w:val="21"/>
          <w:szCs w:val="21"/>
          <w:lang w:val="zh-CN"/>
        </w:rPr>
        <w:t>范围：</w:t>
      </w:r>
      <w:r>
        <w:rPr>
          <w:rFonts w:ascii="宋体" w:hAnsi="宋体"/>
          <w:color w:val="auto"/>
          <w:sz w:val="21"/>
          <w:szCs w:val="21"/>
        </w:rPr>
        <w:t>详见</w:t>
      </w:r>
      <w:r>
        <w:rPr>
          <w:rFonts w:hint="eastAsia" w:ascii="宋体" w:hAnsi="宋体"/>
          <w:color w:val="auto"/>
          <w:sz w:val="21"/>
          <w:szCs w:val="21"/>
        </w:rPr>
        <w:t>保洁范围一览表。</w:t>
      </w:r>
    </w:p>
    <w:p>
      <w:pPr>
        <w:adjustRightInd w:val="0"/>
        <w:snapToGrid w:val="0"/>
        <w:spacing w:line="420" w:lineRule="exact"/>
        <w:ind w:firstLine="420" w:firstLineChars="200"/>
        <w:rPr>
          <w:rFonts w:ascii="宋体" w:hAnsi="宋体"/>
          <w:color w:val="auto"/>
          <w:sz w:val="21"/>
          <w:szCs w:val="21"/>
        </w:rPr>
      </w:pPr>
      <w:r>
        <w:rPr>
          <w:rFonts w:hint="eastAsia" w:ascii="宋体" w:hAnsi="宋体"/>
          <w:color w:val="auto"/>
          <w:sz w:val="21"/>
          <w:szCs w:val="21"/>
        </w:rPr>
        <w:t>（2）</w:t>
      </w:r>
      <w:r>
        <w:rPr>
          <w:rFonts w:ascii="宋体" w:hAnsi="宋体"/>
          <w:color w:val="auto"/>
          <w:sz w:val="21"/>
          <w:szCs w:val="21"/>
        </w:rPr>
        <w:t>要求：安排专职收运人员收集和巡回收运相结合的方式</w:t>
      </w:r>
      <w:r>
        <w:rPr>
          <w:rFonts w:hint="eastAsia" w:ascii="宋体" w:hAnsi="宋体"/>
          <w:color w:val="auto"/>
          <w:sz w:val="21"/>
          <w:szCs w:val="21"/>
        </w:rPr>
        <w:t>。</w:t>
      </w:r>
    </w:p>
    <w:p>
      <w:pPr>
        <w:adjustRightInd w:val="0"/>
        <w:snapToGrid w:val="0"/>
        <w:spacing w:line="420" w:lineRule="exact"/>
        <w:ind w:firstLine="420" w:firstLineChars="200"/>
        <w:rPr>
          <w:rFonts w:ascii="宋体" w:hAnsi="宋体"/>
          <w:color w:val="auto"/>
          <w:sz w:val="21"/>
          <w:szCs w:val="21"/>
        </w:rPr>
      </w:pPr>
      <w:r>
        <w:rPr>
          <w:rFonts w:hint="eastAsia" w:ascii="宋体" w:hAnsi="宋体"/>
          <w:color w:val="auto"/>
          <w:sz w:val="21"/>
          <w:szCs w:val="21"/>
        </w:rPr>
        <w:t>（3）</w:t>
      </w:r>
      <w:r>
        <w:rPr>
          <w:rFonts w:ascii="宋体" w:hAnsi="宋体"/>
          <w:color w:val="auto"/>
          <w:sz w:val="21"/>
          <w:szCs w:val="21"/>
        </w:rPr>
        <w:t>标准：做到垃圾收运日产日清；垃圾收集设施无满溢，周边无遗留垃圾；垃圾收集设施清理完毕后复位并关闭箱门，严禁箱门敞开现象；收运车辆车容整洁，遮盖行驶，无抛洒滴漏现象。</w:t>
      </w:r>
    </w:p>
    <w:p>
      <w:pPr>
        <w:spacing w:line="420" w:lineRule="exact"/>
        <w:ind w:right="420"/>
        <w:rPr>
          <w:rFonts w:ascii="宋体" w:hAnsi="宋体"/>
          <w:b/>
          <w:color w:val="auto"/>
          <w:sz w:val="21"/>
          <w:szCs w:val="21"/>
        </w:rPr>
      </w:pPr>
      <w:r>
        <w:rPr>
          <w:rFonts w:hint="eastAsia" w:ascii="宋体" w:hAnsi="宋体"/>
          <w:b/>
          <w:color w:val="auto"/>
          <w:sz w:val="21"/>
          <w:szCs w:val="21"/>
        </w:rPr>
        <w:t>（四）垃圾箱、垃圾房</w:t>
      </w:r>
      <w:r>
        <w:rPr>
          <w:rFonts w:ascii="宋体" w:hAnsi="宋体"/>
          <w:b/>
          <w:color w:val="auto"/>
          <w:sz w:val="21"/>
          <w:szCs w:val="21"/>
        </w:rPr>
        <w:t>等基础设施清洗维护</w:t>
      </w:r>
    </w:p>
    <w:p>
      <w:pPr>
        <w:adjustRightInd w:val="0"/>
        <w:snapToGrid w:val="0"/>
        <w:spacing w:line="420" w:lineRule="exact"/>
        <w:ind w:firstLine="420" w:firstLineChars="200"/>
        <w:rPr>
          <w:rFonts w:ascii="宋体" w:hAnsi="宋体"/>
          <w:color w:val="auto"/>
          <w:sz w:val="21"/>
          <w:szCs w:val="21"/>
        </w:rPr>
      </w:pPr>
      <w:r>
        <w:rPr>
          <w:rFonts w:hint="eastAsia" w:ascii="宋体" w:hAnsi="宋体"/>
          <w:color w:val="auto"/>
          <w:sz w:val="21"/>
          <w:szCs w:val="21"/>
        </w:rPr>
        <w:t>（1）</w:t>
      </w:r>
      <w:r>
        <w:rPr>
          <w:rFonts w:ascii="宋体" w:hAnsi="宋体"/>
          <w:color w:val="auto"/>
          <w:sz w:val="21"/>
          <w:szCs w:val="21"/>
        </w:rPr>
        <w:t>洁净时段：每日</w:t>
      </w:r>
      <w:r>
        <w:rPr>
          <w:rFonts w:hint="eastAsia" w:ascii="宋体" w:hAnsi="宋体"/>
          <w:color w:val="auto"/>
          <w:sz w:val="21"/>
          <w:szCs w:val="21"/>
        </w:rPr>
        <w:t>5</w:t>
      </w:r>
      <w:r>
        <w:rPr>
          <w:rFonts w:ascii="宋体" w:hAnsi="宋体"/>
          <w:color w:val="auto"/>
          <w:sz w:val="21"/>
          <w:szCs w:val="21"/>
        </w:rPr>
        <w:t>:30—17：00公共服务设施</w:t>
      </w:r>
      <w:r>
        <w:rPr>
          <w:rFonts w:hint="eastAsia" w:ascii="宋体" w:hAnsi="宋体"/>
          <w:color w:val="auto"/>
          <w:sz w:val="21"/>
          <w:szCs w:val="21"/>
        </w:rPr>
        <w:t>。</w:t>
      </w:r>
    </w:p>
    <w:p>
      <w:pPr>
        <w:adjustRightInd w:val="0"/>
        <w:snapToGrid w:val="0"/>
        <w:spacing w:line="420" w:lineRule="exact"/>
        <w:ind w:firstLine="420" w:firstLineChars="200"/>
        <w:rPr>
          <w:rFonts w:ascii="宋体" w:hAnsi="宋体"/>
          <w:color w:val="auto"/>
          <w:sz w:val="21"/>
          <w:szCs w:val="21"/>
        </w:rPr>
      </w:pPr>
      <w:r>
        <w:rPr>
          <w:rFonts w:hint="eastAsia" w:ascii="宋体" w:hAnsi="宋体"/>
          <w:color w:val="auto"/>
          <w:sz w:val="21"/>
          <w:szCs w:val="21"/>
        </w:rPr>
        <w:t>（2）</w:t>
      </w:r>
      <w:r>
        <w:rPr>
          <w:rFonts w:ascii="宋体" w:hAnsi="宋体"/>
          <w:color w:val="auto"/>
          <w:sz w:val="21"/>
          <w:szCs w:val="21"/>
        </w:rPr>
        <w:t>要求：公司配备专职设施清洗人员；每周进行清洗，雨后天睛须及时清洗；</w:t>
      </w:r>
      <w:r>
        <w:rPr>
          <w:rFonts w:hint="eastAsia" w:ascii="宋体" w:hAnsi="宋体"/>
          <w:color w:val="auto"/>
          <w:sz w:val="21"/>
          <w:szCs w:val="21"/>
        </w:rPr>
        <w:t>垃圾房、垃圾箱、垃圾亭、垃圾池</w:t>
      </w:r>
      <w:r>
        <w:rPr>
          <w:rFonts w:ascii="宋体" w:hAnsi="宋体"/>
          <w:color w:val="auto"/>
          <w:sz w:val="21"/>
          <w:szCs w:val="21"/>
        </w:rPr>
        <w:t>每周清洗1次；设施清洗后周边地面无积水；设施清洗时应注意安全，同时避免水花四溅影响行人和车辆。</w:t>
      </w:r>
    </w:p>
    <w:p>
      <w:pPr>
        <w:adjustRightInd w:val="0"/>
        <w:snapToGrid w:val="0"/>
        <w:spacing w:line="420" w:lineRule="exact"/>
        <w:ind w:firstLine="420" w:firstLineChars="200"/>
        <w:rPr>
          <w:rFonts w:ascii="宋体" w:hAnsi="宋体"/>
          <w:color w:val="auto"/>
          <w:sz w:val="21"/>
          <w:szCs w:val="21"/>
        </w:rPr>
      </w:pPr>
      <w:r>
        <w:rPr>
          <w:rFonts w:hint="eastAsia" w:ascii="宋体" w:hAnsi="宋体"/>
          <w:color w:val="auto"/>
          <w:sz w:val="21"/>
          <w:szCs w:val="21"/>
        </w:rPr>
        <w:t>（3）</w:t>
      </w:r>
      <w:r>
        <w:rPr>
          <w:rFonts w:ascii="宋体" w:hAnsi="宋体"/>
          <w:color w:val="auto"/>
          <w:sz w:val="21"/>
          <w:szCs w:val="21"/>
        </w:rPr>
        <w:t>标准：</w:t>
      </w:r>
      <w:r>
        <w:rPr>
          <w:rFonts w:hint="eastAsia" w:ascii="宋体" w:hAnsi="宋体"/>
          <w:color w:val="auto"/>
          <w:sz w:val="21"/>
          <w:szCs w:val="21"/>
        </w:rPr>
        <w:t>垃圾房、垃圾箱、垃圾亭、垃圾池等基础设施</w:t>
      </w:r>
      <w:r>
        <w:rPr>
          <w:rFonts w:ascii="宋体" w:hAnsi="宋体"/>
          <w:color w:val="auto"/>
          <w:sz w:val="21"/>
          <w:szCs w:val="21"/>
        </w:rPr>
        <w:t>等表面整洁无污物、无痰迹、无尘土；垃圾收集房外表面和门整洁干净，无焚烧痕迹，周边无垃圾杂物堆放。</w:t>
      </w:r>
    </w:p>
    <w:p>
      <w:pPr>
        <w:spacing w:line="420" w:lineRule="exact"/>
        <w:ind w:right="420"/>
        <w:rPr>
          <w:rFonts w:ascii="宋体" w:hAnsi="宋体"/>
          <w:b/>
          <w:color w:val="auto"/>
          <w:sz w:val="21"/>
          <w:szCs w:val="21"/>
        </w:rPr>
      </w:pPr>
      <w:r>
        <w:rPr>
          <w:rFonts w:hint="eastAsia" w:ascii="宋体" w:hAnsi="宋体"/>
          <w:b/>
          <w:color w:val="auto"/>
          <w:sz w:val="21"/>
          <w:szCs w:val="21"/>
        </w:rPr>
        <w:t>（五）</w:t>
      </w:r>
      <w:r>
        <w:rPr>
          <w:rFonts w:ascii="宋体" w:hAnsi="宋体"/>
          <w:b/>
          <w:color w:val="auto"/>
          <w:sz w:val="21"/>
          <w:szCs w:val="21"/>
        </w:rPr>
        <w:t>作业人员和作业工具</w:t>
      </w:r>
    </w:p>
    <w:p>
      <w:pPr>
        <w:spacing w:line="420" w:lineRule="exact"/>
        <w:ind w:firstLine="420" w:firstLineChars="200"/>
        <w:rPr>
          <w:rFonts w:ascii="宋体" w:hAnsi="宋体"/>
          <w:color w:val="auto"/>
          <w:sz w:val="21"/>
          <w:szCs w:val="21"/>
        </w:rPr>
      </w:pPr>
      <w:r>
        <w:rPr>
          <w:rFonts w:hint="eastAsia" w:ascii="宋体" w:hAnsi="宋体"/>
          <w:color w:val="auto"/>
          <w:sz w:val="21"/>
          <w:szCs w:val="21"/>
        </w:rPr>
        <w:t>（1）</w:t>
      </w:r>
      <w:r>
        <w:rPr>
          <w:rFonts w:ascii="宋体" w:hAnsi="宋体"/>
          <w:color w:val="auto"/>
          <w:sz w:val="21"/>
          <w:szCs w:val="21"/>
        </w:rPr>
        <w:t>作业人员要求：保洁公司必须按招标要求为作业人员统一配备相应的作业服装；上装须有安全反光标志和公司标志；作业人员上岗须按照规定，统一着保洁公司服装，并头戴工作帽；作业人员着装干净整齐，无破损，不得赤膊作业；上岗期间不得闲聊、串岗，休息时坐在马路边等违反劳动纪律的情形；</w:t>
      </w:r>
    </w:p>
    <w:p>
      <w:pPr>
        <w:spacing w:line="420" w:lineRule="exact"/>
        <w:ind w:firstLine="420" w:firstLineChars="200"/>
        <w:rPr>
          <w:rFonts w:ascii="宋体" w:hAnsi="宋体"/>
          <w:color w:val="auto"/>
          <w:sz w:val="21"/>
          <w:szCs w:val="21"/>
        </w:rPr>
      </w:pPr>
      <w:r>
        <w:rPr>
          <w:rFonts w:hint="eastAsia" w:ascii="宋体" w:hAnsi="宋体"/>
          <w:color w:val="auto"/>
          <w:sz w:val="21"/>
          <w:szCs w:val="21"/>
        </w:rPr>
        <w:t>（2）</w:t>
      </w:r>
      <w:r>
        <w:rPr>
          <w:rFonts w:ascii="宋体" w:hAnsi="宋体"/>
          <w:color w:val="auto"/>
          <w:sz w:val="21"/>
          <w:szCs w:val="21"/>
        </w:rPr>
        <w:t>作业工具要求：保洁公司必须</w:t>
      </w:r>
      <w:r>
        <w:rPr>
          <w:rFonts w:hint="eastAsia" w:ascii="宋体" w:hAnsi="宋体"/>
          <w:color w:val="auto"/>
          <w:sz w:val="21"/>
          <w:szCs w:val="21"/>
        </w:rPr>
        <w:t>按</w:t>
      </w:r>
      <w:r>
        <w:rPr>
          <w:rFonts w:ascii="宋体" w:hAnsi="宋体"/>
          <w:color w:val="auto"/>
          <w:sz w:val="21"/>
          <w:szCs w:val="21"/>
        </w:rPr>
        <w:t>招标要求为作业人员统一配齐工作所需的工具；作业车辆要统一款式、颜色、标志；作业车辆要进行统一编号管理；作业车辆要干净整洁，定期维护，每天清洗。</w:t>
      </w:r>
    </w:p>
    <w:p>
      <w:pPr>
        <w:spacing w:line="420" w:lineRule="exact"/>
        <w:ind w:firstLine="420" w:firstLineChars="200"/>
        <w:rPr>
          <w:rFonts w:ascii="宋体" w:hAnsi="宋体"/>
          <w:color w:val="auto"/>
          <w:sz w:val="21"/>
          <w:szCs w:val="21"/>
        </w:rPr>
      </w:pPr>
      <w:r>
        <w:rPr>
          <w:rFonts w:hint="eastAsia" w:ascii="宋体" w:hAnsi="宋体"/>
          <w:color w:val="auto"/>
          <w:sz w:val="21"/>
          <w:szCs w:val="21"/>
        </w:rPr>
        <w:t>（3）明确说明工作人员数量、工作内容和标准等，在保障完成任务的前提下体现合理性，提供项目配置人员表、培训计划及内容、上岗标准等，表格自制。</w:t>
      </w:r>
    </w:p>
    <w:p>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ascii="宋体" w:hAnsi="宋体"/>
          <w:color w:val="auto"/>
          <w:sz w:val="21"/>
          <w:szCs w:val="21"/>
        </w:rPr>
      </w:pPr>
      <w:r>
        <w:rPr>
          <w:rFonts w:hint="eastAsia" w:ascii="宋体" w:hAnsi="宋体"/>
          <w:color w:val="auto"/>
          <w:sz w:val="21"/>
          <w:szCs w:val="21"/>
        </w:rPr>
        <w:t>（4）</w:t>
      </w:r>
      <w:r>
        <w:rPr>
          <w:rFonts w:hint="eastAsia" w:ascii="宋体" w:hAnsi="宋体"/>
          <w:color w:val="auto"/>
          <w:sz w:val="21"/>
          <w:szCs w:val="21"/>
        </w:rPr>
        <w:t>所有服务人员须身体健康，</w:t>
      </w:r>
      <w:r>
        <w:rPr>
          <w:rFonts w:hint="eastAsia" w:ascii="宋体" w:hAnsi="宋体"/>
          <w:color w:val="auto"/>
          <w:sz w:val="21"/>
          <w:szCs w:val="21"/>
          <w:lang w:val="en-US" w:eastAsia="zh-CN"/>
        </w:rPr>
        <w:t>女不得高于55周岁，男不得高于</w:t>
      </w:r>
      <w:r>
        <w:rPr>
          <w:rFonts w:hint="eastAsia" w:ascii="宋体" w:hAnsi="宋体"/>
          <w:color w:val="auto"/>
          <w:sz w:val="21"/>
          <w:szCs w:val="21"/>
        </w:rPr>
        <w:t>60周岁。</w:t>
      </w:r>
    </w:p>
    <w:p>
      <w:pPr>
        <w:spacing w:line="420" w:lineRule="exact"/>
        <w:ind w:firstLine="420" w:firstLineChars="200"/>
        <w:rPr>
          <w:rFonts w:ascii="宋体" w:hAnsi="宋体"/>
          <w:color w:val="auto"/>
          <w:sz w:val="21"/>
          <w:szCs w:val="21"/>
        </w:rPr>
      </w:pPr>
      <w:r>
        <w:rPr>
          <w:rFonts w:hint="eastAsia" w:ascii="宋体" w:hAnsi="宋体"/>
          <w:color w:val="auto"/>
          <w:sz w:val="21"/>
          <w:szCs w:val="21"/>
        </w:rPr>
        <w:t>（5）人员必须相对固定，避免经常更换。</w:t>
      </w:r>
    </w:p>
    <w:p>
      <w:pPr>
        <w:spacing w:line="420" w:lineRule="exact"/>
        <w:ind w:right="420"/>
        <w:rPr>
          <w:rFonts w:ascii="宋体" w:hAnsi="宋体"/>
          <w:b/>
          <w:color w:val="auto"/>
          <w:sz w:val="21"/>
          <w:szCs w:val="21"/>
        </w:rPr>
      </w:pPr>
      <w:r>
        <w:rPr>
          <w:rFonts w:hint="eastAsia" w:ascii="宋体" w:hAnsi="宋体"/>
          <w:b/>
          <w:color w:val="auto"/>
          <w:sz w:val="21"/>
          <w:szCs w:val="21"/>
        </w:rPr>
        <w:t>（六）</w:t>
      </w:r>
      <w:r>
        <w:rPr>
          <w:rFonts w:ascii="宋体" w:hAnsi="宋体"/>
          <w:b/>
          <w:color w:val="auto"/>
          <w:sz w:val="21"/>
          <w:szCs w:val="21"/>
        </w:rPr>
        <w:t>安全文明作业</w:t>
      </w:r>
    </w:p>
    <w:p>
      <w:pPr>
        <w:adjustRightInd w:val="0"/>
        <w:snapToGrid w:val="0"/>
        <w:spacing w:line="420" w:lineRule="exact"/>
        <w:ind w:firstLine="420" w:firstLineChars="200"/>
        <w:rPr>
          <w:rFonts w:ascii="宋体" w:hAnsi="宋体"/>
          <w:color w:val="auto"/>
          <w:sz w:val="21"/>
          <w:szCs w:val="21"/>
        </w:rPr>
      </w:pPr>
      <w:r>
        <w:rPr>
          <w:rFonts w:ascii="宋体" w:hAnsi="宋体"/>
          <w:color w:val="auto"/>
          <w:sz w:val="21"/>
          <w:szCs w:val="21"/>
        </w:rPr>
        <w:t>安全要求：公司必须坚持对作业人员进行每月1次安全教育；作业车辆须摆放整齐，停车须紧靠侧石，严禁在路口等不安全或影响交通的地方停放；购置意外伤害险，做好作业人员安全风险规避工作；做好作业时安全突发事件的应急处置和保障措施。</w:t>
      </w:r>
    </w:p>
    <w:p>
      <w:pPr>
        <w:adjustRightInd w:val="0"/>
        <w:snapToGrid w:val="0"/>
        <w:spacing w:line="420" w:lineRule="exact"/>
        <w:ind w:firstLine="420" w:firstLineChars="200"/>
        <w:rPr>
          <w:rFonts w:ascii="宋体" w:hAnsi="宋体"/>
          <w:color w:val="auto"/>
          <w:sz w:val="21"/>
          <w:szCs w:val="21"/>
        </w:rPr>
      </w:pPr>
      <w:r>
        <w:rPr>
          <w:rFonts w:ascii="宋体" w:hAnsi="宋体"/>
          <w:color w:val="auto"/>
          <w:sz w:val="21"/>
          <w:szCs w:val="21"/>
        </w:rPr>
        <w:t>文明要求：公司必须定期对作业人员进行文明作业教育，树立和维护环卫行业整体形象；作业人员工作时遇乱吐、乱扔、乱倒等不文明行为，应以文明、礼貌用语提醒劝阻；应尽量避免与行人、商户及居民产生矛盾，有问题立即上报，严禁使用过激语言与行为，防止激化矛盾。</w:t>
      </w:r>
    </w:p>
    <w:p>
      <w:pPr>
        <w:spacing w:line="420" w:lineRule="exact"/>
        <w:ind w:right="420"/>
        <w:rPr>
          <w:rFonts w:ascii="宋体" w:hAnsi="宋体"/>
          <w:b/>
          <w:color w:val="auto"/>
          <w:sz w:val="21"/>
          <w:szCs w:val="21"/>
        </w:rPr>
      </w:pPr>
      <w:r>
        <w:rPr>
          <w:rFonts w:hint="eastAsia" w:ascii="宋体" w:hAnsi="宋体"/>
          <w:b/>
          <w:color w:val="auto"/>
          <w:sz w:val="21"/>
          <w:szCs w:val="21"/>
        </w:rPr>
        <w:t>（七）其他保洁要求</w:t>
      </w:r>
    </w:p>
    <w:p>
      <w:pPr>
        <w:adjustRightInd w:val="0"/>
        <w:snapToGrid w:val="0"/>
        <w:spacing w:line="420" w:lineRule="exact"/>
        <w:ind w:firstLine="420" w:firstLineChars="200"/>
        <w:rPr>
          <w:rFonts w:ascii="宋体" w:hAnsi="宋体"/>
          <w:color w:val="auto"/>
          <w:sz w:val="21"/>
          <w:szCs w:val="21"/>
        </w:rPr>
      </w:pPr>
      <w:r>
        <w:rPr>
          <w:rFonts w:hint="eastAsia" w:ascii="宋体" w:hAnsi="宋体"/>
          <w:color w:val="auto"/>
          <w:sz w:val="21"/>
          <w:szCs w:val="21"/>
        </w:rPr>
        <w:t>（1）按规定的作息时间上下班，不迟到、不早退，不旷工，作业期间按标准穿着环卫标志服，严禁串岗、离岗、干私事。</w:t>
      </w:r>
    </w:p>
    <w:p>
      <w:pPr>
        <w:adjustRightInd w:val="0"/>
        <w:snapToGrid w:val="0"/>
        <w:spacing w:line="420" w:lineRule="exact"/>
        <w:ind w:firstLine="420" w:firstLineChars="200"/>
        <w:rPr>
          <w:rFonts w:ascii="宋体" w:hAnsi="宋体"/>
          <w:color w:val="auto"/>
          <w:sz w:val="21"/>
          <w:szCs w:val="21"/>
        </w:rPr>
      </w:pPr>
      <w:r>
        <w:rPr>
          <w:rFonts w:hint="eastAsia" w:ascii="宋体" w:hAnsi="宋体"/>
          <w:color w:val="auto"/>
          <w:sz w:val="21"/>
          <w:szCs w:val="21"/>
        </w:rPr>
        <w:t>（2）在规定的作业时间内，第一次全面清扫作业按时完成。</w:t>
      </w:r>
    </w:p>
    <w:p>
      <w:pPr>
        <w:adjustRightInd w:val="0"/>
        <w:snapToGrid w:val="0"/>
        <w:spacing w:line="420" w:lineRule="exact"/>
        <w:ind w:firstLine="420" w:firstLineChars="200"/>
        <w:rPr>
          <w:rFonts w:ascii="宋体" w:hAnsi="宋体"/>
          <w:color w:val="auto"/>
          <w:sz w:val="21"/>
          <w:szCs w:val="21"/>
        </w:rPr>
      </w:pPr>
      <w:r>
        <w:rPr>
          <w:rFonts w:hint="eastAsia" w:ascii="宋体" w:hAnsi="宋体"/>
          <w:color w:val="auto"/>
          <w:sz w:val="21"/>
          <w:szCs w:val="21"/>
        </w:rPr>
        <w:t>（3）道路、广场、游园等做到不漏扫、不漏堆、路牙无积尘、路面无积水，无碎砖块、无杂草无明显漂浮物，窨井泉眼畅通。</w:t>
      </w:r>
    </w:p>
    <w:p>
      <w:pPr>
        <w:adjustRightInd w:val="0"/>
        <w:snapToGrid w:val="0"/>
        <w:spacing w:line="420" w:lineRule="exact"/>
        <w:ind w:firstLine="420" w:firstLineChars="200"/>
        <w:rPr>
          <w:rFonts w:ascii="宋体" w:hAnsi="宋体"/>
          <w:color w:val="auto"/>
          <w:sz w:val="21"/>
          <w:szCs w:val="21"/>
        </w:rPr>
      </w:pPr>
      <w:r>
        <w:rPr>
          <w:rFonts w:hint="eastAsia" w:ascii="宋体" w:hAnsi="宋体"/>
          <w:color w:val="auto"/>
          <w:sz w:val="21"/>
          <w:szCs w:val="21"/>
        </w:rPr>
        <w:t>（4）在作业时间内应循环保洁、保证绿化带、花台、绿地、广场、人行道、路面、边沟下水道口、树穴等的整洁、卫生（包括及时清理零星建筑垃圾以及堆放的垃圾类杂物）。</w:t>
      </w:r>
    </w:p>
    <w:p>
      <w:pPr>
        <w:adjustRightInd w:val="0"/>
        <w:snapToGrid w:val="0"/>
        <w:spacing w:line="420" w:lineRule="exact"/>
        <w:ind w:firstLine="420" w:firstLineChars="200"/>
        <w:rPr>
          <w:rFonts w:ascii="宋体" w:hAnsi="宋体"/>
          <w:color w:val="auto"/>
          <w:sz w:val="21"/>
          <w:szCs w:val="21"/>
        </w:rPr>
      </w:pPr>
      <w:r>
        <w:rPr>
          <w:rFonts w:hint="eastAsia" w:ascii="宋体" w:hAnsi="宋体"/>
          <w:color w:val="auto"/>
          <w:sz w:val="21"/>
          <w:szCs w:val="21"/>
        </w:rPr>
        <w:t>（5）在作业时间内应循环保洁、保证绿化带、花台、绿地、广场、人行道、路面、边沟下水道口、树穴等的整洁、卫生、垃圾按时收集，垃圾容器周边无暴露垃圾、垃圾容器无油污、地面无污水，保持日产日清，无抛、撒、滴、漏现象，收集现场保持整洁，分类果壳箱及时套装垃圾袋。垃圾送往指定地点倾倒，不乱倒、乱卸，不焚烧树叶和垃圾。</w:t>
      </w:r>
    </w:p>
    <w:p>
      <w:pPr>
        <w:adjustRightInd w:val="0"/>
        <w:snapToGrid w:val="0"/>
        <w:spacing w:line="420" w:lineRule="exact"/>
        <w:ind w:firstLine="420" w:firstLineChars="200"/>
        <w:rPr>
          <w:rFonts w:ascii="宋体" w:hAnsi="宋体"/>
          <w:color w:val="auto"/>
          <w:sz w:val="21"/>
          <w:szCs w:val="21"/>
        </w:rPr>
      </w:pPr>
      <w:r>
        <w:rPr>
          <w:rFonts w:hint="eastAsia" w:ascii="宋体" w:hAnsi="宋体"/>
          <w:color w:val="auto"/>
          <w:sz w:val="21"/>
          <w:szCs w:val="21"/>
        </w:rPr>
        <w:t>（6）车容整洁，车体无污物，灰垢、披挂。</w:t>
      </w:r>
    </w:p>
    <w:p>
      <w:pPr>
        <w:adjustRightInd w:val="0"/>
        <w:snapToGrid w:val="0"/>
        <w:spacing w:line="420" w:lineRule="exact"/>
        <w:ind w:firstLine="420" w:firstLineChars="200"/>
        <w:rPr>
          <w:rFonts w:ascii="宋体" w:hAnsi="宋体"/>
          <w:color w:val="auto"/>
          <w:sz w:val="21"/>
          <w:szCs w:val="21"/>
        </w:rPr>
      </w:pPr>
      <w:r>
        <w:rPr>
          <w:rFonts w:hint="eastAsia" w:ascii="宋体" w:hAnsi="宋体"/>
          <w:color w:val="auto"/>
          <w:sz w:val="21"/>
          <w:szCs w:val="21"/>
        </w:rPr>
        <w:t>（7）垃圾收集车在工作时间内必须开启警示灯。</w:t>
      </w:r>
    </w:p>
    <w:p>
      <w:pPr>
        <w:adjustRightInd w:val="0"/>
        <w:snapToGrid w:val="0"/>
        <w:spacing w:line="420" w:lineRule="exact"/>
        <w:ind w:firstLine="420" w:firstLineChars="200"/>
        <w:rPr>
          <w:rFonts w:ascii="宋体" w:hAnsi="宋体"/>
          <w:color w:val="auto"/>
          <w:sz w:val="21"/>
          <w:szCs w:val="21"/>
        </w:rPr>
      </w:pPr>
      <w:r>
        <w:rPr>
          <w:rFonts w:hint="eastAsia" w:ascii="宋体" w:hAnsi="宋体"/>
          <w:color w:val="auto"/>
          <w:sz w:val="21"/>
          <w:szCs w:val="21"/>
        </w:rPr>
        <w:t>（8）垃圾桶要求完好见脏就擦，保持清洁，按要求消杀灭蝇，如有损坏及时修理或上报。</w:t>
      </w:r>
    </w:p>
    <w:p>
      <w:pPr>
        <w:adjustRightInd w:val="0"/>
        <w:snapToGrid w:val="0"/>
        <w:spacing w:line="420" w:lineRule="exact"/>
        <w:ind w:firstLine="420" w:firstLineChars="200"/>
        <w:rPr>
          <w:rFonts w:ascii="宋体" w:hAnsi="宋体"/>
          <w:color w:val="auto"/>
          <w:sz w:val="21"/>
          <w:szCs w:val="21"/>
        </w:rPr>
      </w:pPr>
      <w:r>
        <w:rPr>
          <w:rFonts w:hint="eastAsia" w:ascii="宋体" w:hAnsi="宋体"/>
          <w:color w:val="auto"/>
          <w:sz w:val="21"/>
          <w:szCs w:val="21"/>
        </w:rPr>
        <w:t>（9）车辆按要求统一朝向，统一进线，统一种类摆放，工作人员需挂牌上岗。</w:t>
      </w:r>
    </w:p>
    <w:p>
      <w:pPr>
        <w:adjustRightInd w:val="0"/>
        <w:snapToGrid w:val="0"/>
        <w:spacing w:line="420" w:lineRule="exact"/>
        <w:ind w:firstLine="420" w:firstLineChars="200"/>
        <w:rPr>
          <w:rFonts w:ascii="宋体" w:hAnsi="宋体"/>
          <w:color w:val="auto"/>
          <w:sz w:val="21"/>
          <w:szCs w:val="21"/>
        </w:rPr>
      </w:pPr>
      <w:r>
        <w:rPr>
          <w:rFonts w:hint="eastAsia" w:ascii="宋体" w:hAnsi="宋体"/>
          <w:color w:val="auto"/>
          <w:sz w:val="21"/>
          <w:szCs w:val="21"/>
        </w:rPr>
        <w:t>（10）对招标单位检查中发现的问题，根据整改通知的要求，逾期未整改或整改不到位的，每次加倍扣分（如遇特殊情况不能及时整改的，须在一个工作日之内上报分管领导并解释合理原因）。对整改后反复出现同样问题的，则不再发整改通知。</w:t>
      </w:r>
    </w:p>
    <w:p>
      <w:pPr>
        <w:adjustRightInd w:val="0"/>
        <w:snapToGrid w:val="0"/>
        <w:spacing w:line="420" w:lineRule="exact"/>
        <w:ind w:firstLine="420" w:firstLineChars="200"/>
        <w:rPr>
          <w:rFonts w:ascii="宋体" w:hAnsi="宋体"/>
          <w:color w:val="auto"/>
          <w:sz w:val="21"/>
          <w:szCs w:val="21"/>
        </w:rPr>
      </w:pPr>
      <w:r>
        <w:rPr>
          <w:rFonts w:hint="eastAsia" w:ascii="宋体" w:hAnsi="宋体"/>
          <w:color w:val="auto"/>
          <w:sz w:val="21"/>
          <w:szCs w:val="21"/>
        </w:rPr>
        <w:t>（11）在作业时，对清扫不到位、有洒漏，出现二次污染的。</w:t>
      </w:r>
    </w:p>
    <w:p>
      <w:pPr>
        <w:adjustRightInd w:val="0"/>
        <w:snapToGrid w:val="0"/>
        <w:spacing w:line="420" w:lineRule="exact"/>
        <w:ind w:firstLine="420" w:firstLineChars="200"/>
        <w:rPr>
          <w:rFonts w:ascii="宋体" w:hAnsi="宋体"/>
          <w:color w:val="auto"/>
          <w:sz w:val="21"/>
          <w:szCs w:val="21"/>
        </w:rPr>
      </w:pPr>
      <w:r>
        <w:rPr>
          <w:rFonts w:hint="eastAsia" w:ascii="宋体" w:hAnsi="宋体"/>
          <w:color w:val="auto"/>
          <w:sz w:val="21"/>
          <w:szCs w:val="21"/>
        </w:rPr>
        <w:t>（12）本部门所管辖区域的道路和绿化带，牛皮癣必须及时上报考核办。</w:t>
      </w:r>
    </w:p>
    <w:p>
      <w:pPr>
        <w:adjustRightInd w:val="0"/>
        <w:snapToGrid w:val="0"/>
        <w:spacing w:line="420" w:lineRule="exact"/>
        <w:ind w:firstLine="420" w:firstLineChars="200"/>
        <w:rPr>
          <w:rFonts w:ascii="宋体" w:hAnsi="宋体"/>
          <w:color w:val="auto"/>
          <w:sz w:val="21"/>
          <w:szCs w:val="21"/>
        </w:rPr>
      </w:pPr>
      <w:r>
        <w:rPr>
          <w:rFonts w:hint="eastAsia" w:ascii="宋体" w:hAnsi="宋体"/>
          <w:color w:val="auto"/>
          <w:sz w:val="21"/>
          <w:szCs w:val="21"/>
        </w:rPr>
        <w:t>（13）按时完成各种台账，信息及相关资料的收集和上报任务。</w:t>
      </w:r>
    </w:p>
    <w:p>
      <w:pPr>
        <w:adjustRightInd w:val="0"/>
        <w:snapToGrid w:val="0"/>
        <w:spacing w:line="420" w:lineRule="exact"/>
        <w:ind w:firstLine="420" w:firstLineChars="200"/>
        <w:rPr>
          <w:rFonts w:ascii="宋体" w:hAnsi="宋体"/>
          <w:color w:val="auto"/>
          <w:sz w:val="21"/>
          <w:szCs w:val="21"/>
        </w:rPr>
      </w:pPr>
      <w:r>
        <w:rPr>
          <w:rFonts w:hint="eastAsia" w:ascii="宋体" w:hAnsi="宋体"/>
          <w:color w:val="auto"/>
          <w:sz w:val="21"/>
          <w:szCs w:val="21"/>
        </w:rPr>
        <w:t>（14）在工作时间及工作日严禁饮酒。</w:t>
      </w:r>
    </w:p>
    <w:p>
      <w:pPr>
        <w:spacing w:line="420" w:lineRule="exact"/>
        <w:ind w:right="420"/>
        <w:rPr>
          <w:rFonts w:ascii="宋体" w:hAnsi="宋体"/>
          <w:b/>
          <w:color w:val="auto"/>
          <w:sz w:val="21"/>
          <w:szCs w:val="21"/>
        </w:rPr>
      </w:pPr>
      <w:r>
        <w:rPr>
          <w:rFonts w:hint="eastAsia" w:ascii="宋体" w:hAnsi="宋体"/>
          <w:b/>
          <w:color w:val="auto"/>
          <w:sz w:val="21"/>
          <w:szCs w:val="21"/>
        </w:rPr>
        <w:t>（八）绿化维护服务要求</w:t>
      </w:r>
    </w:p>
    <w:p>
      <w:pPr>
        <w:spacing w:line="420" w:lineRule="exact"/>
        <w:ind w:firstLine="420" w:firstLineChars="200"/>
        <w:rPr>
          <w:color w:val="auto"/>
          <w:sz w:val="21"/>
          <w:szCs w:val="21"/>
        </w:rPr>
      </w:pPr>
      <w:r>
        <w:rPr>
          <w:rFonts w:hint="eastAsia"/>
          <w:color w:val="auto"/>
          <w:sz w:val="21"/>
          <w:szCs w:val="21"/>
        </w:rPr>
        <w:t>（1）一年修剪（大修）不少于一次，小修不少于三次（修剪要求：修剪后绿化整齐、无明显高低参差不齐，每次修剪后保持路面整洁）；</w:t>
      </w:r>
    </w:p>
    <w:p>
      <w:pPr>
        <w:spacing w:line="420" w:lineRule="exact"/>
        <w:ind w:firstLine="420" w:firstLineChars="200"/>
        <w:rPr>
          <w:color w:val="auto"/>
          <w:sz w:val="21"/>
          <w:szCs w:val="21"/>
        </w:rPr>
      </w:pPr>
      <w:r>
        <w:rPr>
          <w:rFonts w:hint="eastAsia"/>
          <w:color w:val="auto"/>
          <w:sz w:val="21"/>
          <w:szCs w:val="21"/>
        </w:rPr>
        <w:t>（2）治虫（无大面积虫斑，针对不同的虫采用不同的药水喷雾）；</w:t>
      </w:r>
    </w:p>
    <w:p>
      <w:pPr>
        <w:spacing w:line="420" w:lineRule="exact"/>
        <w:ind w:firstLine="420" w:firstLineChars="200"/>
        <w:rPr>
          <w:color w:val="auto"/>
          <w:sz w:val="21"/>
          <w:szCs w:val="21"/>
        </w:rPr>
      </w:pPr>
      <w:r>
        <w:rPr>
          <w:rFonts w:hint="eastAsia"/>
          <w:color w:val="auto"/>
          <w:sz w:val="21"/>
          <w:szCs w:val="21"/>
        </w:rPr>
        <w:t>（3）浇水、施肥（夏季浇水时间要求：上午6:00前或下午19:00后）；</w:t>
      </w:r>
    </w:p>
    <w:p>
      <w:pPr>
        <w:spacing w:line="420" w:lineRule="exact"/>
        <w:ind w:firstLine="420" w:firstLineChars="200"/>
        <w:rPr>
          <w:color w:val="auto"/>
          <w:sz w:val="21"/>
          <w:szCs w:val="21"/>
        </w:rPr>
      </w:pPr>
      <w:r>
        <w:rPr>
          <w:rFonts w:hint="eastAsia"/>
          <w:color w:val="auto"/>
          <w:sz w:val="21"/>
          <w:szCs w:val="21"/>
        </w:rPr>
        <w:t>（4）冬季刷白（对需要刷白过冬的植物采取有效的保护措施）；</w:t>
      </w:r>
    </w:p>
    <w:p>
      <w:pPr>
        <w:spacing w:line="420" w:lineRule="exact"/>
        <w:ind w:firstLine="420" w:firstLineChars="200"/>
        <w:rPr>
          <w:color w:val="auto"/>
          <w:sz w:val="21"/>
          <w:szCs w:val="21"/>
        </w:rPr>
      </w:pPr>
      <w:r>
        <w:rPr>
          <w:rFonts w:hint="eastAsia"/>
          <w:color w:val="auto"/>
          <w:sz w:val="21"/>
          <w:szCs w:val="21"/>
        </w:rPr>
        <w:t>（5）绿化在维护期间不得发生大面积死亡现象，采取积极有效的措施，确保在服务期内保持完好；</w:t>
      </w:r>
    </w:p>
    <w:p>
      <w:pPr>
        <w:spacing w:line="420" w:lineRule="exact"/>
        <w:ind w:firstLine="420" w:firstLineChars="200"/>
        <w:rPr>
          <w:rFonts w:ascii="宋体" w:hAnsi="宋体"/>
          <w:color w:val="auto"/>
          <w:sz w:val="21"/>
          <w:szCs w:val="21"/>
        </w:rPr>
      </w:pPr>
      <w:r>
        <w:rPr>
          <w:rFonts w:hint="eastAsia" w:ascii="宋体" w:hAnsi="宋体"/>
          <w:color w:val="auto"/>
          <w:sz w:val="21"/>
          <w:szCs w:val="21"/>
        </w:rPr>
        <w:t>（6）对出现黄叶、枯萎现象采取有效措施；</w:t>
      </w:r>
    </w:p>
    <w:p>
      <w:pPr>
        <w:spacing w:line="420" w:lineRule="exact"/>
        <w:ind w:firstLine="420" w:firstLineChars="200"/>
        <w:rPr>
          <w:rFonts w:ascii="宋体" w:hAnsi="宋体"/>
          <w:color w:val="auto"/>
          <w:sz w:val="21"/>
          <w:szCs w:val="21"/>
        </w:rPr>
      </w:pPr>
      <w:r>
        <w:rPr>
          <w:rFonts w:hint="eastAsia"/>
          <w:color w:val="auto"/>
          <w:sz w:val="21"/>
          <w:szCs w:val="21"/>
        </w:rPr>
        <w:t>（7）</w:t>
      </w:r>
      <w:r>
        <w:rPr>
          <w:rFonts w:hint="eastAsia" w:ascii="宋体" w:hAnsi="宋体"/>
          <w:color w:val="auto"/>
          <w:sz w:val="21"/>
          <w:szCs w:val="21"/>
        </w:rPr>
        <w:t>及时除草，保持绿化里面无杂草。</w:t>
      </w:r>
    </w:p>
    <w:p>
      <w:pPr>
        <w:spacing w:line="420" w:lineRule="exact"/>
        <w:ind w:right="420"/>
        <w:rPr>
          <w:rFonts w:ascii="宋体" w:hAnsi="宋体"/>
          <w:b/>
          <w:color w:val="auto"/>
          <w:sz w:val="21"/>
          <w:szCs w:val="21"/>
        </w:rPr>
      </w:pPr>
      <w:r>
        <w:rPr>
          <w:rFonts w:hint="eastAsia" w:ascii="宋体" w:hAnsi="宋体"/>
          <w:b/>
          <w:color w:val="auto"/>
          <w:sz w:val="21"/>
          <w:szCs w:val="21"/>
        </w:rPr>
        <w:t>三、奖惩细则</w:t>
      </w:r>
    </w:p>
    <w:p>
      <w:pPr>
        <w:spacing w:line="420" w:lineRule="exact"/>
        <w:ind w:right="420"/>
        <w:rPr>
          <w:rFonts w:ascii="宋体" w:hAnsi="宋体" w:cs="宋体"/>
          <w:b/>
          <w:color w:val="auto"/>
          <w:sz w:val="21"/>
          <w:szCs w:val="21"/>
        </w:rPr>
      </w:pPr>
      <w:r>
        <w:rPr>
          <w:rFonts w:hint="eastAsia" w:ascii="宋体" w:hAnsi="宋体" w:cs="宋体"/>
          <w:b/>
          <w:color w:val="auto"/>
          <w:sz w:val="21"/>
          <w:szCs w:val="21"/>
        </w:rPr>
        <w:t>（一）儒林村</w:t>
      </w:r>
    </w:p>
    <w:p>
      <w:pPr>
        <w:spacing w:line="420" w:lineRule="exact"/>
        <w:ind w:right="420" w:firstLine="420" w:firstLineChars="200"/>
        <w:rPr>
          <w:rFonts w:hint="eastAsia" w:ascii="宋体" w:hAnsi="宋体"/>
          <w:color w:val="auto"/>
          <w:sz w:val="21"/>
          <w:szCs w:val="21"/>
        </w:rPr>
      </w:pPr>
      <w:r>
        <w:rPr>
          <w:rFonts w:hint="eastAsia" w:ascii="宋体" w:hAnsi="宋体"/>
          <w:color w:val="auto"/>
          <w:sz w:val="21"/>
          <w:szCs w:val="21"/>
        </w:rPr>
        <w:t>儒林村在金坛区95个行政村农村人居环境卫生考核季度排名中，当季度考核结果第1名的，甲方支付乙方20000元奖励金；当季度考核结果第2-5名的，甲方支付乙方15000元奖励金；当季度考核结果第6-10名的，甲方支付乙方12000元奖励金；当季度考核结果第11-20名的，甲方支付乙方10000元奖励金；当季度考核结果第21-55名的不奖不罚；当季度考核结果第56-70名的，甲方直接扣除乙方8000元的保洁服务费且甲方有权解除与乙方的合同，并不承担任何责任；当季度考核结果第71-80名的，甲方直接扣除乙方10000元的保洁服务费且甲方有权解除与乙方的合同，并不承担任何责任；当季度考核结果第81-90名的，甲方直接扣除乙方12000元的保洁服务费且甲方有权解除与乙方的合同，并不承担任何责任；当季度考核结果倒数第2-5名的，甲方直接扣除乙方15000元的保洁服务费且甲方有权解除与乙方的合同，并不承担任何责任；当季度考核结果倒数第1名的，甲方直接扣除乙方20000元的保洁服务费且甲方有权解除与乙方的合同，并不承担任何责任。</w:t>
      </w:r>
    </w:p>
    <w:p>
      <w:pPr>
        <w:spacing w:line="420" w:lineRule="exact"/>
        <w:ind w:right="420" w:firstLine="422" w:firstLineChars="200"/>
        <w:rPr>
          <w:rFonts w:hint="eastAsia" w:ascii="宋体" w:hAnsi="宋体" w:eastAsia="宋体" w:cs="宋体"/>
          <w:b/>
          <w:color w:val="auto"/>
          <w:sz w:val="21"/>
          <w:szCs w:val="21"/>
        </w:rPr>
      </w:pPr>
      <w:r>
        <w:rPr>
          <w:rFonts w:hint="eastAsia" w:ascii="宋体" w:hAnsi="宋体" w:cs="宋体"/>
          <w:b/>
          <w:color w:val="auto"/>
          <w:sz w:val="21"/>
          <w:szCs w:val="21"/>
        </w:rPr>
        <w:t>（二</w:t>
      </w:r>
      <w:r>
        <w:rPr>
          <w:rFonts w:hint="eastAsia" w:ascii="宋体" w:hAnsi="宋体" w:eastAsia="宋体" w:cs="宋体"/>
          <w:b/>
          <w:color w:val="auto"/>
          <w:sz w:val="21"/>
          <w:szCs w:val="21"/>
        </w:rPr>
        <w:t>）南社村</w:t>
      </w:r>
    </w:p>
    <w:p>
      <w:pPr>
        <w:spacing w:line="420" w:lineRule="exact"/>
        <w:ind w:firstLine="420" w:firstLineChars="200"/>
        <w:rPr>
          <w:rFonts w:ascii="宋体" w:hAnsi="宋体"/>
          <w:color w:val="auto"/>
          <w:sz w:val="21"/>
          <w:szCs w:val="21"/>
        </w:rPr>
      </w:pPr>
      <w:r>
        <w:rPr>
          <w:rFonts w:hint="eastAsia" w:ascii="宋体" w:hAnsi="宋体" w:cs="宋体"/>
          <w:color w:val="auto"/>
          <w:kern w:val="0"/>
          <w:sz w:val="21"/>
          <w:szCs w:val="21"/>
        </w:rPr>
        <w:t>南社村在金坛区95个行政村农村人居环境卫生考核季度排名中，当季度考核结果第1名的，甲方支付乙方15000元奖励金；当季度考核结果第2-5名的，甲方支付乙方12000元奖励金；当季度考核结果第6-10名的，甲方支付乙方10000元奖励金；当季度考核结果第11-20名的，甲方支付乙方8000元奖励金；当季度考核结果第21-50名的不奖不罚；当季度考核结果第51-70名的，甲方直接扣除乙方5000元的保洁服务费且甲方有权解除与乙方的合同，并不承担任何责任；当季度考核结果第71-80名的，甲方直接扣除乙方8000元的保洁服务费且甲方有权解除与乙方的合同，并不承担任何责任；当季度考核结果第81-90名的，甲方直接扣除乙方10000元的保洁服务费且甲方有权解除与乙方的合同，并不承担任何责任；当季度考核结果倒数第2-5名的，甲方直接扣除乙方12000元的保洁服务费且甲方有权解除与乙方的合同，并不承担任何责任；当季度考核结果倒数第1名的，甲方直接扣除乙方15000元的保洁服务费且甲方有权解除与乙方的合同，并不承担任何责任。</w:t>
      </w:r>
    </w:p>
    <w:p>
      <w:pPr>
        <w:spacing w:line="420" w:lineRule="exact"/>
        <w:ind w:firstLine="420" w:firstLineChars="200"/>
        <w:rPr>
          <w:rFonts w:ascii="宋体" w:hAnsi="宋体"/>
          <w:color w:val="auto"/>
          <w:sz w:val="21"/>
          <w:szCs w:val="21"/>
        </w:rPr>
      </w:pPr>
    </w:p>
    <w:p>
      <w:pPr>
        <w:spacing w:line="420" w:lineRule="exact"/>
        <w:ind w:firstLine="420" w:firstLineChars="200"/>
        <w:rPr>
          <w:rFonts w:ascii="宋体" w:hAnsi="宋体"/>
          <w:b/>
          <w:color w:val="auto"/>
          <w:sz w:val="21"/>
          <w:szCs w:val="21"/>
        </w:rPr>
      </w:pPr>
      <w:r>
        <w:rPr>
          <w:rFonts w:hint="eastAsia" w:ascii="宋体" w:hAnsi="宋体"/>
          <w:color w:val="auto"/>
          <w:sz w:val="21"/>
          <w:szCs w:val="21"/>
        </w:rPr>
        <w:br w:type="page"/>
      </w:r>
    </w:p>
    <w:p>
      <w:pPr>
        <w:rPr>
          <w:color w:val="auto"/>
        </w:rPr>
        <w:sectPr>
          <w:headerReference r:id="rId3" w:type="default"/>
          <w:footerReference r:id="rId5" w:type="default"/>
          <w:headerReference r:id="rId4" w:type="even"/>
          <w:footerReference r:id="rId6" w:type="even"/>
          <w:pgSz w:w="11906" w:h="16838"/>
          <w:pgMar w:top="1440" w:right="1800" w:bottom="1440" w:left="1800" w:header="851" w:footer="567" w:gutter="0"/>
          <w:cols w:space="720" w:num="1"/>
          <w:titlePg/>
          <w:docGrid w:linePitch="359" w:charSpace="-1313"/>
        </w:sectPr>
      </w:pPr>
    </w:p>
    <w:p>
      <w:pPr>
        <w:adjustRightInd w:val="0"/>
        <w:snapToGrid w:val="0"/>
        <w:spacing w:line="400" w:lineRule="exact"/>
        <w:rPr>
          <w:rFonts w:ascii="宋体" w:hAnsi="宋体"/>
          <w:color w:val="auto"/>
          <w:szCs w:val="21"/>
        </w:rPr>
      </w:pPr>
      <w:r>
        <w:rPr>
          <w:rFonts w:hint="eastAsia"/>
          <w:b/>
          <w:color w:val="auto"/>
          <w:szCs w:val="21"/>
        </w:rPr>
        <w:t>附表：保洁范围一览表</w:t>
      </w:r>
    </w:p>
    <w:tbl>
      <w:tblPr>
        <w:tblStyle w:val="24"/>
        <w:tblW w:w="15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060"/>
        <w:gridCol w:w="2100"/>
        <w:gridCol w:w="1020"/>
        <w:gridCol w:w="1100"/>
        <w:gridCol w:w="800"/>
        <w:gridCol w:w="800"/>
        <w:gridCol w:w="800"/>
        <w:gridCol w:w="800"/>
        <w:gridCol w:w="940"/>
        <w:gridCol w:w="960"/>
        <w:gridCol w:w="1040"/>
        <w:gridCol w:w="800"/>
        <w:gridCol w:w="802"/>
        <w:gridCol w:w="798"/>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Merge w:val="restart"/>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序号</w:t>
            </w:r>
          </w:p>
        </w:tc>
        <w:tc>
          <w:tcPr>
            <w:tcW w:w="1060" w:type="dxa"/>
            <w:vMerge w:val="restart"/>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行政村</w:t>
            </w:r>
          </w:p>
        </w:tc>
        <w:tc>
          <w:tcPr>
            <w:tcW w:w="2100" w:type="dxa"/>
            <w:vMerge w:val="restart"/>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自然村</w:t>
            </w:r>
          </w:p>
        </w:tc>
        <w:tc>
          <w:tcPr>
            <w:tcW w:w="1020"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自然村人口数</w:t>
            </w:r>
          </w:p>
        </w:tc>
        <w:tc>
          <w:tcPr>
            <w:tcW w:w="1100"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户数</w:t>
            </w:r>
          </w:p>
        </w:tc>
        <w:tc>
          <w:tcPr>
            <w:tcW w:w="800"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公厕</w:t>
            </w:r>
            <w:r>
              <w:rPr>
                <w:rFonts w:hint="eastAsia" w:ascii="宋体" w:hAnsi="宋体" w:cs="宋体"/>
                <w:b/>
                <w:bCs/>
                <w:color w:val="auto"/>
                <w:kern w:val="0"/>
                <w:sz w:val="21"/>
                <w:szCs w:val="21"/>
              </w:rPr>
              <w:br w:type="textWrapping"/>
            </w:r>
            <w:r>
              <w:rPr>
                <w:rFonts w:hint="eastAsia" w:ascii="宋体" w:hAnsi="宋体" w:cs="宋体"/>
                <w:b/>
                <w:bCs/>
                <w:color w:val="auto"/>
                <w:kern w:val="0"/>
                <w:sz w:val="21"/>
                <w:szCs w:val="21"/>
              </w:rPr>
              <w:t>数量</w:t>
            </w:r>
          </w:p>
        </w:tc>
        <w:tc>
          <w:tcPr>
            <w:tcW w:w="1600" w:type="dxa"/>
            <w:gridSpan w:val="2"/>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村内外河塘沟渠</w:t>
            </w:r>
          </w:p>
        </w:tc>
        <w:tc>
          <w:tcPr>
            <w:tcW w:w="800"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健身 广场</w:t>
            </w:r>
          </w:p>
        </w:tc>
        <w:tc>
          <w:tcPr>
            <w:tcW w:w="940"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绿化 面积</w:t>
            </w:r>
          </w:p>
        </w:tc>
        <w:tc>
          <w:tcPr>
            <w:tcW w:w="960"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 xml:space="preserve">省县 道路 </w:t>
            </w:r>
          </w:p>
        </w:tc>
        <w:tc>
          <w:tcPr>
            <w:tcW w:w="1040"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 xml:space="preserve">镇村 道路 </w:t>
            </w:r>
          </w:p>
        </w:tc>
        <w:tc>
          <w:tcPr>
            <w:tcW w:w="800"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垃圾收集房</w:t>
            </w:r>
          </w:p>
        </w:tc>
        <w:tc>
          <w:tcPr>
            <w:tcW w:w="802"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垃圾收集池240L</w:t>
            </w:r>
          </w:p>
        </w:tc>
        <w:tc>
          <w:tcPr>
            <w:tcW w:w="798"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垃圾桶120L</w:t>
            </w:r>
          </w:p>
        </w:tc>
        <w:tc>
          <w:tcPr>
            <w:tcW w:w="800"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垃圾收集亭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Merge w:val="continue"/>
            <w:vAlign w:val="center"/>
          </w:tcPr>
          <w:p>
            <w:pPr>
              <w:widowControl/>
              <w:jc w:val="left"/>
              <w:rPr>
                <w:rFonts w:ascii="宋体" w:hAnsi="宋体" w:cs="宋体"/>
                <w:b/>
                <w:bCs/>
                <w:color w:val="auto"/>
                <w:kern w:val="0"/>
                <w:sz w:val="21"/>
                <w:szCs w:val="21"/>
              </w:rPr>
            </w:pPr>
          </w:p>
        </w:tc>
        <w:tc>
          <w:tcPr>
            <w:tcW w:w="1060" w:type="dxa"/>
            <w:vMerge w:val="continue"/>
            <w:vAlign w:val="center"/>
          </w:tcPr>
          <w:p>
            <w:pPr>
              <w:widowControl/>
              <w:jc w:val="left"/>
              <w:rPr>
                <w:rFonts w:ascii="宋体" w:hAnsi="宋体" w:cs="宋体"/>
                <w:b/>
                <w:bCs/>
                <w:color w:val="auto"/>
                <w:kern w:val="0"/>
                <w:sz w:val="21"/>
                <w:szCs w:val="21"/>
              </w:rPr>
            </w:pPr>
          </w:p>
        </w:tc>
        <w:tc>
          <w:tcPr>
            <w:tcW w:w="2100" w:type="dxa"/>
            <w:vMerge w:val="continue"/>
            <w:vAlign w:val="center"/>
          </w:tcPr>
          <w:p>
            <w:pPr>
              <w:widowControl/>
              <w:jc w:val="left"/>
              <w:rPr>
                <w:rFonts w:ascii="宋体" w:hAnsi="宋体" w:cs="宋体"/>
                <w:b/>
                <w:bCs/>
                <w:color w:val="auto"/>
                <w:kern w:val="0"/>
                <w:sz w:val="21"/>
                <w:szCs w:val="21"/>
              </w:rPr>
            </w:pPr>
          </w:p>
        </w:tc>
        <w:tc>
          <w:tcPr>
            <w:tcW w:w="1020"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人</w:t>
            </w:r>
          </w:p>
        </w:tc>
        <w:tc>
          <w:tcPr>
            <w:tcW w:w="1100"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户</w:t>
            </w:r>
          </w:p>
        </w:tc>
        <w:tc>
          <w:tcPr>
            <w:tcW w:w="800"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座</w:t>
            </w:r>
          </w:p>
        </w:tc>
        <w:tc>
          <w:tcPr>
            <w:tcW w:w="800"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个</w:t>
            </w:r>
          </w:p>
        </w:tc>
        <w:tc>
          <w:tcPr>
            <w:tcW w:w="800"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亩</w:t>
            </w:r>
          </w:p>
        </w:tc>
        <w:tc>
          <w:tcPr>
            <w:tcW w:w="800"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处</w:t>
            </w:r>
          </w:p>
        </w:tc>
        <w:tc>
          <w:tcPr>
            <w:tcW w:w="940"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亩</w:t>
            </w:r>
          </w:p>
        </w:tc>
        <w:tc>
          <w:tcPr>
            <w:tcW w:w="960"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公里</w:t>
            </w:r>
          </w:p>
        </w:tc>
        <w:tc>
          <w:tcPr>
            <w:tcW w:w="1040"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公里</w:t>
            </w:r>
          </w:p>
        </w:tc>
        <w:tc>
          <w:tcPr>
            <w:tcW w:w="800"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座</w:t>
            </w:r>
          </w:p>
        </w:tc>
        <w:tc>
          <w:tcPr>
            <w:tcW w:w="802"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座</w:t>
            </w:r>
          </w:p>
        </w:tc>
        <w:tc>
          <w:tcPr>
            <w:tcW w:w="798" w:type="dxa"/>
            <w:noWrap/>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个</w:t>
            </w:r>
          </w:p>
        </w:tc>
        <w:tc>
          <w:tcPr>
            <w:tcW w:w="800"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双坝头</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142</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53</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7</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0.9</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0.8</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20</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东蒋庄</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220</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75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6</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30</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西蒋庄</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170</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38</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0.6</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20</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4</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大鲁墅</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79</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70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4</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6</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0.9</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20</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5</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小鲁墅</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81</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26</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0.2</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8</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6</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破桥湾</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110</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46</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0.2</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4</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7</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陈家</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125</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4</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8</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前鲁塘</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430</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150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4</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6</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9</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塘沿上</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156</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55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2.5</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10</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高田上</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125</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6</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8</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11</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仓里</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147</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45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0.3</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4</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12</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芦家</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110</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38</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7</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12</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13</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窑上</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108</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51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12</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14</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南济桥</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236</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100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0.25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36</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15</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季家</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95</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38</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0.4</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10</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16</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黄泥坝</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78</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53</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4</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0.15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26</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17</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前黄墅</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45</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53</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6</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8</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18</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中鲁塘</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95</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55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6</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19</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后鲁塘</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97</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80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4</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0.2</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6</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20</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塘灯头</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70</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28</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4</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8</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21</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吐龙咀</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170</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68</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20</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22</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大湖墅</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140</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59</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6</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23</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野田</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135</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50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0.2</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20</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24</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下圩桥</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53</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38</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6</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25</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宗家</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89</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85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0.8</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20</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26</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方巷里</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99</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39</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0.4</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20</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27</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儒林</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外河</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356</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182</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4</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0.7</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20</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南社</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南社</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1165</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420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5</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70</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南社</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七堡</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520</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145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40</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南社</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翟墅</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830</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260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12</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50</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4</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南社</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尚芳</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352</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103</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30</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5</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南社</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新宅</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105</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10</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6</w:t>
            </w:r>
          </w:p>
        </w:tc>
        <w:tc>
          <w:tcPr>
            <w:tcW w:w="10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南社</w:t>
            </w:r>
          </w:p>
        </w:tc>
        <w:tc>
          <w:tcPr>
            <w:tcW w:w="2100" w:type="dxa"/>
            <w:vAlign w:val="bottom"/>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汤墅</w:t>
            </w:r>
          </w:p>
        </w:tc>
        <w:tc>
          <w:tcPr>
            <w:tcW w:w="10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470</w:t>
            </w:r>
          </w:p>
        </w:tc>
        <w:tc>
          <w:tcPr>
            <w:tcW w:w="11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250</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9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10</w:t>
            </w:r>
          </w:p>
        </w:tc>
        <w:tc>
          <w:tcPr>
            <w:tcW w:w="96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c>
          <w:tcPr>
            <w:tcW w:w="104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5</w:t>
            </w:r>
          </w:p>
        </w:tc>
        <w:tc>
          <w:tcPr>
            <w:tcW w:w="80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802"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798"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60</w:t>
            </w:r>
          </w:p>
        </w:tc>
        <w:tc>
          <w:tcPr>
            <w:tcW w:w="800"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0</w:t>
            </w:r>
          </w:p>
        </w:tc>
      </w:tr>
    </w:tbl>
    <w:p>
      <w:pPr>
        <w:spacing w:line="420" w:lineRule="exact"/>
        <w:rPr>
          <w:b/>
          <w:color w:val="auto"/>
          <w:sz w:val="21"/>
          <w:szCs w:val="21"/>
        </w:rPr>
      </w:pPr>
      <w:r>
        <w:rPr>
          <w:rFonts w:hint="eastAsia"/>
          <w:b/>
          <w:color w:val="auto"/>
          <w:sz w:val="21"/>
          <w:szCs w:val="21"/>
        </w:rPr>
        <w:t>注：以上服务项目、数据仅作参考，各投标人应自行充分踏勘项目现场并报价。</w:t>
      </w:r>
    </w:p>
    <w:p>
      <w:pPr>
        <w:spacing w:line="420" w:lineRule="exact"/>
        <w:rPr>
          <w:color w:val="auto"/>
          <w:sz w:val="21"/>
          <w:szCs w:val="21"/>
        </w:rPr>
      </w:pPr>
      <w:r>
        <w:rPr>
          <w:b/>
          <w:color w:val="auto"/>
          <w:szCs w:val="21"/>
        </w:rPr>
        <w:br w:type="page"/>
      </w:r>
    </w:p>
    <w:p>
      <w:pPr>
        <w:snapToGrid w:val="0"/>
        <w:spacing w:line="400" w:lineRule="exact"/>
        <w:jc w:val="center"/>
        <w:outlineLvl w:val="0"/>
        <w:rPr>
          <w:color w:val="auto"/>
        </w:rPr>
        <w:sectPr>
          <w:footerReference r:id="rId7" w:type="default"/>
          <w:pgSz w:w="16838" w:h="11906" w:orient="landscape"/>
          <w:pgMar w:top="1803" w:right="1440" w:bottom="1803" w:left="1440" w:header="851" w:footer="992" w:gutter="0"/>
          <w:cols w:space="0" w:num="1"/>
          <w:docGrid w:type="lines" w:linePitch="395" w:charSpace="0"/>
        </w:sectPr>
      </w:pPr>
    </w:p>
    <w:p>
      <w:pPr>
        <w:snapToGrid w:val="0"/>
        <w:spacing w:line="400" w:lineRule="exact"/>
        <w:jc w:val="center"/>
        <w:outlineLvl w:val="0"/>
        <w:rPr>
          <w:rFonts w:ascii="宋体" w:hAnsi="宋体" w:cs="宋体"/>
          <w:b/>
          <w:bCs/>
          <w:color w:val="auto"/>
          <w:sz w:val="32"/>
          <w:szCs w:val="32"/>
          <w:u w:color="000000"/>
        </w:rPr>
      </w:pPr>
      <w:r>
        <w:rPr>
          <w:color w:val="auto"/>
        </w:rPr>
        <w:fldChar w:fldCharType="begin"/>
      </w:r>
      <w:r>
        <w:rPr>
          <w:color w:val="auto"/>
        </w:rPr>
        <w:instrText xml:space="preserve"> HYPERLINK \l "_Toc214163640" </w:instrText>
      </w:r>
      <w:r>
        <w:rPr>
          <w:color w:val="auto"/>
        </w:rPr>
        <w:fldChar w:fldCharType="separate"/>
      </w:r>
      <w:r>
        <w:rPr>
          <w:rFonts w:hint="eastAsia" w:ascii="宋体" w:hAnsi="宋体" w:cs="宋体"/>
          <w:b/>
          <w:bCs/>
          <w:color w:val="auto"/>
          <w:sz w:val="32"/>
          <w:szCs w:val="32"/>
          <w:u w:color="000000"/>
        </w:rPr>
        <w:t>第五部分 评审办法和</w:t>
      </w:r>
      <w:r>
        <w:rPr>
          <w:rFonts w:hint="eastAsia" w:ascii="宋体" w:hAnsi="宋体" w:cs="宋体"/>
          <w:b/>
          <w:bCs/>
          <w:color w:val="auto"/>
          <w:sz w:val="32"/>
          <w:szCs w:val="32"/>
          <w:u w:color="000000"/>
        </w:rPr>
        <w:fldChar w:fldCharType="end"/>
      </w:r>
      <w:r>
        <w:rPr>
          <w:rFonts w:hint="eastAsia" w:ascii="宋体" w:hAnsi="宋体" w:cs="宋体"/>
          <w:b/>
          <w:bCs/>
          <w:color w:val="auto"/>
          <w:sz w:val="32"/>
          <w:szCs w:val="32"/>
          <w:u w:color="000000"/>
        </w:rPr>
        <w:t>评审细则</w:t>
      </w:r>
    </w:p>
    <w:p>
      <w:pPr>
        <w:pStyle w:val="4"/>
        <w:spacing w:before="0" w:after="0" w:line="390" w:lineRule="exact"/>
        <w:rPr>
          <w:rFonts w:ascii="宋体" w:hAnsi="宋体" w:eastAsia="宋体" w:cs="宋体"/>
          <w:b/>
          <w:bCs w:val="0"/>
          <w:color w:val="auto"/>
          <w:sz w:val="21"/>
          <w:szCs w:val="21"/>
        </w:rPr>
      </w:pPr>
      <w:r>
        <w:rPr>
          <w:rFonts w:hint="eastAsia" w:ascii="宋体" w:hAnsi="宋体" w:eastAsia="宋体" w:cs="宋体"/>
          <w:b/>
          <w:bCs w:val="0"/>
          <w:color w:val="auto"/>
          <w:sz w:val="21"/>
          <w:szCs w:val="21"/>
        </w:rPr>
        <w:t>一、评审办法</w:t>
      </w:r>
    </w:p>
    <w:p>
      <w:pPr>
        <w:spacing w:line="390" w:lineRule="exact"/>
        <w:ind w:firstLine="420" w:firstLineChars="200"/>
        <w:rPr>
          <w:rFonts w:ascii="宋体" w:hAnsi="宋体" w:cs="宋体"/>
          <w:b/>
          <w:bCs/>
          <w:color w:val="auto"/>
          <w:sz w:val="21"/>
          <w:szCs w:val="21"/>
        </w:rPr>
      </w:pPr>
      <w:r>
        <w:rPr>
          <w:rFonts w:hint="eastAsia" w:ascii="宋体" w:hAnsi="宋体" w:cs="宋体"/>
          <w:color w:val="auto"/>
          <w:sz w:val="21"/>
          <w:szCs w:val="21"/>
        </w:rPr>
        <w:t>本次磋商采用综合评分法，将响应人各项因素作为评价的基础，综合评选出最佳响应方案。每一响应人的最终得分为所有磋商小组成员给其评分的算数平均值（保留2位小数）。磋商小组按照评分标准评定响应单位的分值,按最终评审分由高到低顺序排列。得分最高者为第一中标候选人。得分相同的，按磋商</w:t>
      </w:r>
      <w:r>
        <w:rPr>
          <w:rFonts w:hint="eastAsia" w:ascii="宋体" w:hAnsi="宋体" w:cs="宋体"/>
          <w:color w:val="auto"/>
          <w:kern w:val="0"/>
          <w:sz w:val="21"/>
          <w:szCs w:val="21"/>
        </w:rPr>
        <w:t>最后报价</w:t>
      </w:r>
      <w:r>
        <w:rPr>
          <w:rFonts w:hint="eastAsia" w:ascii="宋体" w:hAnsi="宋体" w:cs="宋体"/>
          <w:color w:val="auto"/>
          <w:sz w:val="21"/>
          <w:szCs w:val="21"/>
        </w:rPr>
        <w:t>由低到高顺序排列。得分且报价相同的，由采购人现场抽签决定第一中标候选人。磋商小组共同认定的客观分评审部分，需磋商小组成员共同讨论、独立打分，存在不同意见的，磋商小组成员分别作出书面说明。</w:t>
      </w:r>
    </w:p>
    <w:p>
      <w:pPr>
        <w:spacing w:line="390" w:lineRule="exact"/>
        <w:outlineLvl w:val="1"/>
        <w:rPr>
          <w:rFonts w:ascii="宋体" w:hAnsi="宋体" w:cs="宋体"/>
          <w:b/>
          <w:bCs/>
          <w:color w:val="auto"/>
          <w:sz w:val="21"/>
          <w:szCs w:val="21"/>
        </w:rPr>
      </w:pPr>
      <w:r>
        <w:rPr>
          <w:rFonts w:hint="eastAsia" w:ascii="宋体" w:hAnsi="宋体" w:cs="宋体"/>
          <w:b/>
          <w:bCs/>
          <w:color w:val="auto"/>
          <w:sz w:val="21"/>
          <w:szCs w:val="21"/>
        </w:rPr>
        <w:t>二、评分细则</w:t>
      </w:r>
    </w:p>
    <w:tbl>
      <w:tblPr>
        <w:tblStyle w:val="24"/>
        <w:tblW w:w="9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1140"/>
        <w:gridCol w:w="705"/>
        <w:gridCol w:w="6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7" w:type="dxa"/>
            <w:vAlign w:val="center"/>
          </w:tcPr>
          <w:p>
            <w:pPr>
              <w:spacing w:line="370" w:lineRule="exact"/>
              <w:jc w:val="center"/>
              <w:rPr>
                <w:rFonts w:asciiTheme="majorEastAsia" w:hAnsiTheme="majorEastAsia" w:eastAsiaTheme="majorEastAsia" w:cstheme="majorEastAsia"/>
                <w:b/>
                <w:bCs/>
                <w:color w:val="auto"/>
                <w:sz w:val="21"/>
                <w:szCs w:val="21"/>
              </w:rPr>
            </w:pPr>
            <w:r>
              <w:rPr>
                <w:rFonts w:hint="eastAsia" w:asciiTheme="majorEastAsia" w:hAnsiTheme="majorEastAsia" w:eastAsiaTheme="majorEastAsia" w:cstheme="majorEastAsia"/>
                <w:b/>
                <w:bCs/>
                <w:color w:val="auto"/>
                <w:sz w:val="21"/>
                <w:szCs w:val="21"/>
              </w:rPr>
              <w:t>序号</w:t>
            </w:r>
          </w:p>
        </w:tc>
        <w:tc>
          <w:tcPr>
            <w:tcW w:w="1140" w:type="dxa"/>
            <w:vAlign w:val="center"/>
          </w:tcPr>
          <w:p>
            <w:pPr>
              <w:spacing w:line="370" w:lineRule="exact"/>
              <w:jc w:val="center"/>
              <w:rPr>
                <w:rFonts w:asciiTheme="majorEastAsia" w:hAnsiTheme="majorEastAsia" w:eastAsiaTheme="majorEastAsia" w:cstheme="majorEastAsia"/>
                <w:b/>
                <w:bCs/>
                <w:color w:val="auto"/>
                <w:sz w:val="21"/>
                <w:szCs w:val="21"/>
              </w:rPr>
            </w:pPr>
            <w:r>
              <w:rPr>
                <w:rFonts w:hint="eastAsia" w:asciiTheme="majorEastAsia" w:hAnsiTheme="majorEastAsia" w:eastAsiaTheme="majorEastAsia" w:cstheme="majorEastAsia"/>
                <w:b/>
                <w:bCs/>
                <w:color w:val="auto"/>
                <w:sz w:val="21"/>
                <w:szCs w:val="21"/>
              </w:rPr>
              <w:t>评分因素</w:t>
            </w:r>
          </w:p>
        </w:tc>
        <w:tc>
          <w:tcPr>
            <w:tcW w:w="705" w:type="dxa"/>
            <w:vAlign w:val="center"/>
          </w:tcPr>
          <w:p>
            <w:pPr>
              <w:spacing w:line="370" w:lineRule="exact"/>
              <w:jc w:val="center"/>
              <w:rPr>
                <w:rFonts w:asciiTheme="majorEastAsia" w:hAnsiTheme="majorEastAsia" w:eastAsiaTheme="majorEastAsia" w:cstheme="majorEastAsia"/>
                <w:b/>
                <w:bCs/>
                <w:color w:val="auto"/>
                <w:sz w:val="21"/>
                <w:szCs w:val="21"/>
              </w:rPr>
            </w:pPr>
            <w:r>
              <w:rPr>
                <w:rFonts w:hint="eastAsia" w:asciiTheme="majorEastAsia" w:hAnsiTheme="majorEastAsia" w:eastAsiaTheme="majorEastAsia" w:cstheme="majorEastAsia"/>
                <w:b/>
                <w:bCs/>
                <w:color w:val="auto"/>
                <w:sz w:val="21"/>
                <w:szCs w:val="21"/>
              </w:rPr>
              <w:t>分值</w:t>
            </w:r>
          </w:p>
        </w:tc>
        <w:tc>
          <w:tcPr>
            <w:tcW w:w="6658" w:type="dxa"/>
            <w:vAlign w:val="center"/>
          </w:tcPr>
          <w:p>
            <w:pPr>
              <w:spacing w:line="370" w:lineRule="exact"/>
              <w:jc w:val="center"/>
              <w:rPr>
                <w:rFonts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b/>
                <w:bCs/>
                <w:color w:val="auto"/>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30" w:type="dxa"/>
            <w:gridSpan w:val="4"/>
            <w:vAlign w:val="center"/>
          </w:tcPr>
          <w:p>
            <w:pPr>
              <w:spacing w:line="370" w:lineRule="exact"/>
              <w:jc w:val="center"/>
              <w:rPr>
                <w:rFonts w:asciiTheme="majorEastAsia" w:hAnsiTheme="majorEastAsia" w:eastAsiaTheme="majorEastAsia" w:cstheme="majorEastAsia"/>
                <w:b/>
                <w:bCs/>
                <w:color w:val="auto"/>
                <w:sz w:val="21"/>
                <w:szCs w:val="21"/>
              </w:rPr>
            </w:pPr>
            <w:r>
              <w:rPr>
                <w:rFonts w:hint="eastAsia" w:asciiTheme="majorEastAsia" w:hAnsiTheme="majorEastAsia" w:eastAsiaTheme="majorEastAsia" w:cstheme="majorEastAsia"/>
                <w:b/>
                <w:bCs/>
                <w:color w:val="auto"/>
                <w:sz w:val="21"/>
                <w:szCs w:val="21"/>
              </w:rPr>
              <w:t>报价分（</w:t>
            </w:r>
            <w:r>
              <w:rPr>
                <w:rFonts w:asciiTheme="majorEastAsia" w:hAnsiTheme="majorEastAsia" w:eastAsiaTheme="majorEastAsia" w:cstheme="majorEastAsia"/>
                <w:b/>
                <w:bCs/>
                <w:color w:val="auto"/>
                <w:sz w:val="21"/>
                <w:szCs w:val="21"/>
              </w:rPr>
              <w:t>20</w:t>
            </w:r>
            <w:r>
              <w:rPr>
                <w:rFonts w:hint="eastAsia" w:asciiTheme="majorEastAsia" w:hAnsiTheme="majorEastAsia" w:eastAsiaTheme="majorEastAsia" w:cstheme="majorEastAsia"/>
                <w:b/>
                <w:bCs/>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7" w:type="dxa"/>
            <w:vAlign w:val="center"/>
          </w:tcPr>
          <w:p>
            <w:pPr>
              <w:spacing w:line="370" w:lineRule="exact"/>
              <w:jc w:val="center"/>
              <w:rPr>
                <w:rFonts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1</w:t>
            </w:r>
          </w:p>
        </w:tc>
        <w:tc>
          <w:tcPr>
            <w:tcW w:w="1140" w:type="dxa"/>
            <w:vAlign w:val="center"/>
          </w:tcPr>
          <w:p>
            <w:pPr>
              <w:spacing w:line="370" w:lineRule="exact"/>
              <w:jc w:val="center"/>
              <w:rPr>
                <w:rFonts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报价分</w:t>
            </w:r>
          </w:p>
        </w:tc>
        <w:tc>
          <w:tcPr>
            <w:tcW w:w="705" w:type="dxa"/>
            <w:vAlign w:val="center"/>
          </w:tcPr>
          <w:p>
            <w:pPr>
              <w:spacing w:line="370" w:lineRule="exact"/>
              <w:jc w:val="center"/>
              <w:rPr>
                <w:rFonts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20</w:t>
            </w:r>
          </w:p>
        </w:tc>
        <w:tc>
          <w:tcPr>
            <w:tcW w:w="6658" w:type="dxa"/>
            <w:vAlign w:val="center"/>
          </w:tcPr>
          <w:p>
            <w:pPr>
              <w:spacing w:line="370" w:lineRule="exact"/>
              <w:ind w:firstLine="420" w:firstLineChars="200"/>
              <w:rPr>
                <w:rFonts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满足磋商文件要求且最终报价最低的供应商的价格为磋商基准价，其价格分为满分,其他供应商最终报价得分＝（磋商基准价/其他供应商最终报价）×20%×100，计算结果精确到小数点后两位，小数点后第三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30" w:type="dxa"/>
            <w:gridSpan w:val="4"/>
            <w:vAlign w:val="center"/>
          </w:tcPr>
          <w:p>
            <w:pPr>
              <w:spacing w:line="370" w:lineRule="exact"/>
              <w:jc w:val="center"/>
              <w:rPr>
                <w:rFonts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b/>
                <w:bCs/>
                <w:color w:val="auto"/>
                <w:sz w:val="21"/>
                <w:szCs w:val="21"/>
              </w:rPr>
              <w:t>客观分（</w:t>
            </w:r>
            <w:r>
              <w:rPr>
                <w:rFonts w:asciiTheme="majorEastAsia" w:hAnsiTheme="majorEastAsia" w:eastAsiaTheme="majorEastAsia" w:cstheme="majorEastAsia"/>
                <w:b/>
                <w:bCs/>
                <w:color w:val="auto"/>
                <w:sz w:val="21"/>
                <w:szCs w:val="21"/>
              </w:rPr>
              <w:t>40</w:t>
            </w:r>
            <w:r>
              <w:rPr>
                <w:rFonts w:hint="eastAsia" w:asciiTheme="majorEastAsia" w:hAnsiTheme="majorEastAsia" w:eastAsiaTheme="majorEastAsia" w:cstheme="majorEastAsia"/>
                <w:b/>
                <w:bCs/>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7" w:type="dxa"/>
            <w:vAlign w:val="center"/>
          </w:tcPr>
          <w:p>
            <w:pPr>
              <w:spacing w:line="370" w:lineRule="exact"/>
              <w:jc w:val="center"/>
              <w:rPr>
                <w:rFonts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1</w:t>
            </w:r>
          </w:p>
        </w:tc>
        <w:tc>
          <w:tcPr>
            <w:tcW w:w="1140" w:type="dxa"/>
            <w:vAlign w:val="center"/>
          </w:tcPr>
          <w:p>
            <w:pPr>
              <w:spacing w:line="370" w:lineRule="exact"/>
              <w:jc w:val="center"/>
              <w:rPr>
                <w:color w:val="auto"/>
                <w:sz w:val="21"/>
                <w:szCs w:val="21"/>
              </w:rPr>
            </w:pPr>
            <w:r>
              <w:rPr>
                <w:rFonts w:hint="eastAsia"/>
                <w:color w:val="auto"/>
                <w:sz w:val="21"/>
                <w:szCs w:val="21"/>
              </w:rPr>
              <w:t>拟派项目组成员</w:t>
            </w:r>
          </w:p>
        </w:tc>
        <w:tc>
          <w:tcPr>
            <w:tcW w:w="705" w:type="dxa"/>
            <w:vAlign w:val="center"/>
          </w:tcPr>
          <w:p>
            <w:pPr>
              <w:spacing w:line="370" w:lineRule="exact"/>
              <w:jc w:val="center"/>
              <w:rPr>
                <w:color w:val="auto"/>
                <w:sz w:val="21"/>
                <w:szCs w:val="21"/>
              </w:rPr>
            </w:pPr>
            <w:r>
              <w:rPr>
                <w:color w:val="auto"/>
                <w:sz w:val="21"/>
                <w:szCs w:val="21"/>
              </w:rPr>
              <w:t>5</w:t>
            </w:r>
          </w:p>
        </w:tc>
        <w:tc>
          <w:tcPr>
            <w:tcW w:w="6658" w:type="dxa"/>
          </w:tcPr>
          <w:p>
            <w:pPr>
              <w:spacing w:line="370" w:lineRule="exact"/>
              <w:ind w:firstLine="420" w:firstLineChars="200"/>
              <w:rPr>
                <w:color w:val="auto"/>
                <w:sz w:val="21"/>
                <w:szCs w:val="21"/>
              </w:rPr>
            </w:pPr>
            <w:r>
              <w:rPr>
                <w:rFonts w:hint="eastAsia"/>
                <w:color w:val="auto"/>
                <w:sz w:val="21"/>
                <w:szCs w:val="21"/>
              </w:rPr>
              <w:t>1、拟派项目负责人具备大专及以上学历的，得1分；</w:t>
            </w:r>
          </w:p>
          <w:p>
            <w:pPr>
              <w:spacing w:line="370" w:lineRule="exact"/>
              <w:ind w:firstLine="420" w:firstLineChars="200"/>
              <w:rPr>
                <w:color w:val="auto"/>
                <w:sz w:val="21"/>
                <w:szCs w:val="21"/>
              </w:rPr>
            </w:pPr>
            <w:r>
              <w:rPr>
                <w:rFonts w:hint="eastAsia"/>
                <w:color w:val="auto"/>
                <w:sz w:val="21"/>
                <w:szCs w:val="21"/>
              </w:rPr>
              <w:t>2、拟派项目负责人具有</w:t>
            </w:r>
            <w:r>
              <w:rPr>
                <w:rFonts w:hint="eastAsia" w:ascii="宋体" w:hAnsi="宋体" w:cs="宋体"/>
                <w:color w:val="auto"/>
                <w:kern w:val="0"/>
                <w:sz w:val="21"/>
                <w:szCs w:val="21"/>
              </w:rPr>
              <w:t>类似保洁</w:t>
            </w:r>
            <w:r>
              <w:rPr>
                <w:rFonts w:hint="eastAsia"/>
                <w:color w:val="auto"/>
                <w:sz w:val="21"/>
                <w:szCs w:val="21"/>
              </w:rPr>
              <w:t>业绩的，得</w:t>
            </w:r>
            <w:r>
              <w:rPr>
                <w:color w:val="auto"/>
                <w:sz w:val="21"/>
                <w:szCs w:val="21"/>
              </w:rPr>
              <w:t>2</w:t>
            </w:r>
            <w:r>
              <w:rPr>
                <w:rFonts w:hint="eastAsia"/>
                <w:color w:val="auto"/>
                <w:sz w:val="21"/>
                <w:szCs w:val="21"/>
              </w:rPr>
              <w:t>分（提供作业合同，如合同中未标明项目负责人的，需提供采购人出具的书面证明材料）；</w:t>
            </w:r>
          </w:p>
          <w:p>
            <w:pPr>
              <w:spacing w:line="370" w:lineRule="exact"/>
              <w:ind w:firstLine="420" w:firstLineChars="200"/>
              <w:rPr>
                <w:color w:val="auto"/>
                <w:sz w:val="21"/>
                <w:szCs w:val="21"/>
              </w:rPr>
            </w:pPr>
            <w:r>
              <w:rPr>
                <w:rFonts w:hint="eastAsia"/>
                <w:color w:val="auto"/>
                <w:sz w:val="21"/>
                <w:szCs w:val="21"/>
              </w:rPr>
              <w:t>3、拟派安全员具有安全员资格证书（安全管理职能部门（或其下属单位）的安全培训合格证明材料）的，得</w:t>
            </w:r>
            <w:r>
              <w:rPr>
                <w:color w:val="auto"/>
                <w:sz w:val="21"/>
                <w:szCs w:val="21"/>
              </w:rPr>
              <w:t>2</w:t>
            </w:r>
            <w:r>
              <w:rPr>
                <w:rFonts w:hint="eastAsia"/>
                <w:color w:val="auto"/>
                <w:sz w:val="21"/>
                <w:szCs w:val="21"/>
              </w:rPr>
              <w:t>分；</w:t>
            </w:r>
          </w:p>
          <w:p>
            <w:pPr>
              <w:spacing w:line="370" w:lineRule="exact"/>
              <w:ind w:firstLine="422" w:firstLineChars="200"/>
              <w:jc w:val="left"/>
              <w:rPr>
                <w:color w:val="auto"/>
                <w:sz w:val="21"/>
                <w:szCs w:val="21"/>
              </w:rPr>
            </w:pPr>
            <w:r>
              <w:rPr>
                <w:rFonts w:hint="eastAsia" w:ascii="宋体" w:hAnsi="宋体" w:cs="宋体"/>
                <w:b/>
                <w:bCs/>
                <w:color w:val="auto"/>
                <w:sz w:val="21"/>
                <w:szCs w:val="21"/>
              </w:rPr>
              <w:t>注：提供</w:t>
            </w:r>
            <w:r>
              <w:rPr>
                <w:rFonts w:hint="eastAsia"/>
                <w:b/>
                <w:bCs/>
                <w:color w:val="auto"/>
                <w:sz w:val="21"/>
                <w:szCs w:val="21"/>
              </w:rPr>
              <w:t>证书、合同复印件加盖响应人公章及</w:t>
            </w:r>
            <w:r>
              <w:rPr>
                <w:rFonts w:hint="eastAsia" w:ascii="宋体" w:hAnsi="宋体" w:cs="宋体"/>
                <w:b/>
                <w:bCs/>
                <w:color w:val="auto"/>
                <w:sz w:val="21"/>
                <w:szCs w:val="21"/>
              </w:rPr>
              <w:t>人员近6个月社保缴纳凭证（其中任意一月）复印件加盖公章，原件或公证件或带有二维码的打印件核查，缺项不得分。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7" w:type="dxa"/>
            <w:vAlign w:val="center"/>
          </w:tcPr>
          <w:p>
            <w:pPr>
              <w:spacing w:line="370" w:lineRule="exact"/>
              <w:jc w:val="center"/>
              <w:rPr>
                <w:rFonts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2</w:t>
            </w:r>
          </w:p>
        </w:tc>
        <w:tc>
          <w:tcPr>
            <w:tcW w:w="1140" w:type="dxa"/>
            <w:vAlign w:val="center"/>
          </w:tcPr>
          <w:p>
            <w:pPr>
              <w:widowControl/>
              <w:spacing w:line="370" w:lineRule="exact"/>
              <w:jc w:val="center"/>
              <w:rPr>
                <w:rFonts w:ascii="宋体" w:hAnsi="宋体" w:cs="宋体"/>
                <w:color w:val="auto"/>
                <w:sz w:val="21"/>
                <w:szCs w:val="21"/>
              </w:rPr>
            </w:pPr>
            <w:r>
              <w:rPr>
                <w:rFonts w:hint="eastAsia" w:ascii="宋体" w:hAnsi="宋体" w:cs="宋体"/>
                <w:color w:val="auto"/>
                <w:sz w:val="21"/>
                <w:szCs w:val="21"/>
              </w:rPr>
              <w:t>企业</w:t>
            </w:r>
          </w:p>
          <w:p>
            <w:pPr>
              <w:spacing w:line="370" w:lineRule="exact"/>
              <w:jc w:val="center"/>
              <w:rPr>
                <w:color w:val="auto"/>
                <w:sz w:val="21"/>
                <w:szCs w:val="21"/>
              </w:rPr>
            </w:pPr>
            <w:r>
              <w:rPr>
                <w:rFonts w:hint="eastAsia" w:ascii="宋体" w:hAnsi="宋体" w:cs="宋体"/>
                <w:color w:val="auto"/>
                <w:sz w:val="21"/>
                <w:szCs w:val="21"/>
              </w:rPr>
              <w:t>业绩</w:t>
            </w:r>
          </w:p>
        </w:tc>
        <w:tc>
          <w:tcPr>
            <w:tcW w:w="705" w:type="dxa"/>
            <w:vAlign w:val="center"/>
          </w:tcPr>
          <w:p>
            <w:pPr>
              <w:spacing w:line="370" w:lineRule="exact"/>
              <w:jc w:val="center"/>
              <w:rPr>
                <w:color w:val="auto"/>
                <w:sz w:val="21"/>
                <w:szCs w:val="21"/>
              </w:rPr>
            </w:pPr>
            <w:r>
              <w:rPr>
                <w:color w:val="auto"/>
                <w:sz w:val="21"/>
                <w:szCs w:val="21"/>
              </w:rPr>
              <w:t>15</w:t>
            </w:r>
          </w:p>
        </w:tc>
        <w:tc>
          <w:tcPr>
            <w:tcW w:w="6658" w:type="dxa"/>
          </w:tcPr>
          <w:p>
            <w:pPr>
              <w:spacing w:line="370" w:lineRule="exact"/>
              <w:ind w:firstLine="420" w:firstLineChars="200"/>
              <w:rPr>
                <w:rFonts w:ascii="宋体" w:hAnsi="宋体" w:cs="宋体"/>
                <w:color w:val="auto"/>
                <w:sz w:val="21"/>
                <w:szCs w:val="21"/>
              </w:rPr>
            </w:pPr>
            <w:r>
              <w:rPr>
                <w:rFonts w:hint="eastAsia" w:ascii="宋体" w:hAnsi="宋体" w:cs="宋体"/>
                <w:color w:val="auto"/>
                <w:sz w:val="21"/>
                <w:szCs w:val="21"/>
              </w:rPr>
              <w:t>响应人提供近三年来</w:t>
            </w:r>
            <w:r>
              <w:rPr>
                <w:rStyle w:val="79"/>
                <w:rFonts w:hint="default"/>
                <w:color w:val="auto"/>
                <w:sz w:val="21"/>
                <w:szCs w:val="21"/>
                <w:lang w:bidi="ar"/>
              </w:rPr>
              <w:t>（从响应文件递交截止之日往前推算）</w:t>
            </w:r>
            <w:r>
              <w:rPr>
                <w:rFonts w:hint="eastAsia" w:ascii="宋体" w:hAnsi="宋体" w:cs="宋体"/>
                <w:color w:val="auto"/>
                <w:sz w:val="21"/>
                <w:szCs w:val="21"/>
              </w:rPr>
              <w:t>承接过类似</w:t>
            </w:r>
            <w:r>
              <w:rPr>
                <w:rFonts w:hint="eastAsia" w:ascii="宋体" w:hAnsi="宋体" w:cs="宋体"/>
                <w:color w:val="auto"/>
                <w:kern w:val="0"/>
                <w:sz w:val="21"/>
                <w:szCs w:val="21"/>
              </w:rPr>
              <w:t>保洁业绩的</w:t>
            </w:r>
            <w:r>
              <w:rPr>
                <w:rFonts w:hint="eastAsia" w:ascii="宋体" w:hAnsi="宋体" w:cs="宋体"/>
                <w:color w:val="auto"/>
                <w:sz w:val="21"/>
                <w:szCs w:val="21"/>
              </w:rPr>
              <w:t>，有一份得3分，最多得</w:t>
            </w:r>
            <w:r>
              <w:rPr>
                <w:rFonts w:ascii="宋体" w:hAnsi="宋体" w:cs="宋体"/>
                <w:color w:val="auto"/>
                <w:sz w:val="21"/>
                <w:szCs w:val="21"/>
              </w:rPr>
              <w:t>15</w:t>
            </w:r>
            <w:r>
              <w:rPr>
                <w:rFonts w:hint="eastAsia" w:ascii="宋体" w:hAnsi="宋体" w:cs="宋体"/>
                <w:color w:val="auto"/>
                <w:sz w:val="21"/>
                <w:szCs w:val="21"/>
              </w:rPr>
              <w:t>分。时间以合同签订日期为准。</w:t>
            </w:r>
          </w:p>
          <w:p>
            <w:pPr>
              <w:spacing w:line="370" w:lineRule="exact"/>
              <w:ind w:firstLine="422" w:firstLineChars="200"/>
              <w:jc w:val="left"/>
              <w:rPr>
                <w:color w:val="auto"/>
                <w:sz w:val="21"/>
                <w:szCs w:val="21"/>
              </w:rPr>
            </w:pPr>
            <w:r>
              <w:rPr>
                <w:rFonts w:hint="eastAsia" w:ascii="宋体" w:hAnsi="宋体" w:cs="宋体"/>
                <w:b/>
                <w:bCs/>
                <w:color w:val="auto"/>
                <w:sz w:val="21"/>
                <w:szCs w:val="21"/>
              </w:rPr>
              <w:t>注：提供中标通知书、合同复印件加盖响应人公章，原件核查，缺项不得分。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727" w:type="dxa"/>
            <w:vAlign w:val="center"/>
          </w:tcPr>
          <w:p>
            <w:pPr>
              <w:spacing w:line="370" w:lineRule="exact"/>
              <w:jc w:val="center"/>
              <w:rPr>
                <w:rFonts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3</w:t>
            </w:r>
          </w:p>
        </w:tc>
        <w:tc>
          <w:tcPr>
            <w:tcW w:w="1140" w:type="dxa"/>
            <w:vAlign w:val="center"/>
          </w:tcPr>
          <w:p>
            <w:pPr>
              <w:spacing w:line="370" w:lineRule="exact"/>
              <w:jc w:val="center"/>
              <w:rPr>
                <w:color w:val="auto"/>
                <w:sz w:val="21"/>
                <w:szCs w:val="21"/>
              </w:rPr>
            </w:pPr>
            <w:r>
              <w:rPr>
                <w:rFonts w:hint="eastAsia"/>
                <w:color w:val="auto"/>
                <w:sz w:val="21"/>
                <w:szCs w:val="21"/>
              </w:rPr>
              <w:t>管理体系</w:t>
            </w:r>
          </w:p>
        </w:tc>
        <w:tc>
          <w:tcPr>
            <w:tcW w:w="705" w:type="dxa"/>
            <w:vAlign w:val="center"/>
          </w:tcPr>
          <w:p>
            <w:pPr>
              <w:spacing w:line="370" w:lineRule="exact"/>
              <w:jc w:val="center"/>
              <w:rPr>
                <w:color w:val="auto"/>
                <w:sz w:val="21"/>
                <w:szCs w:val="21"/>
              </w:rPr>
            </w:pPr>
            <w:r>
              <w:rPr>
                <w:color w:val="auto"/>
                <w:sz w:val="21"/>
                <w:szCs w:val="21"/>
              </w:rPr>
              <w:t>6</w:t>
            </w:r>
          </w:p>
        </w:tc>
        <w:tc>
          <w:tcPr>
            <w:tcW w:w="6658" w:type="dxa"/>
          </w:tcPr>
          <w:p>
            <w:pPr>
              <w:spacing w:line="370" w:lineRule="exact"/>
              <w:ind w:firstLine="420" w:firstLineChars="200"/>
              <w:rPr>
                <w:color w:val="auto"/>
                <w:sz w:val="21"/>
                <w:szCs w:val="21"/>
              </w:rPr>
            </w:pPr>
            <w:r>
              <w:rPr>
                <w:rFonts w:hint="eastAsia"/>
                <w:color w:val="auto"/>
                <w:sz w:val="21"/>
                <w:szCs w:val="21"/>
              </w:rPr>
              <w:t>响应人具有有效的质量管理体系认证证书、环境管理体系认证证书、职业健康安全管理体系认证证书的，有一个得</w:t>
            </w:r>
            <w:r>
              <w:rPr>
                <w:color w:val="auto"/>
                <w:sz w:val="21"/>
                <w:szCs w:val="21"/>
              </w:rPr>
              <w:t>2</w:t>
            </w:r>
            <w:r>
              <w:rPr>
                <w:rFonts w:hint="eastAsia"/>
                <w:color w:val="auto"/>
                <w:sz w:val="21"/>
                <w:szCs w:val="21"/>
              </w:rPr>
              <w:t>分，本项最高</w:t>
            </w:r>
            <w:r>
              <w:rPr>
                <w:color w:val="auto"/>
                <w:sz w:val="21"/>
                <w:szCs w:val="21"/>
              </w:rPr>
              <w:t>6</w:t>
            </w:r>
            <w:r>
              <w:rPr>
                <w:rFonts w:hint="eastAsia"/>
                <w:color w:val="auto"/>
                <w:sz w:val="21"/>
                <w:szCs w:val="21"/>
              </w:rPr>
              <w:t>分。</w:t>
            </w:r>
          </w:p>
          <w:p>
            <w:pPr>
              <w:spacing w:line="370" w:lineRule="exact"/>
              <w:ind w:firstLine="422" w:firstLineChars="200"/>
              <w:rPr>
                <w:color w:val="auto"/>
                <w:sz w:val="21"/>
                <w:szCs w:val="21"/>
              </w:rPr>
            </w:pPr>
            <w:r>
              <w:rPr>
                <w:rFonts w:hint="eastAsia"/>
                <w:b/>
                <w:bCs/>
                <w:color w:val="auto"/>
                <w:sz w:val="21"/>
                <w:szCs w:val="21"/>
              </w:rPr>
              <w:t>注：提供认证证书及认监委网站查询状态为“有效”的截图</w:t>
            </w:r>
            <w:r>
              <w:rPr>
                <w:rFonts w:hint="eastAsia" w:ascii="宋体" w:hAnsi="宋体" w:cs="宋体"/>
                <w:b/>
                <w:bCs/>
                <w:color w:val="auto"/>
                <w:sz w:val="21"/>
                <w:szCs w:val="21"/>
              </w:rPr>
              <w:t>、证书复印件加盖响应人公章，原件核查。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7" w:type="dxa"/>
            <w:vAlign w:val="center"/>
          </w:tcPr>
          <w:p>
            <w:pPr>
              <w:spacing w:line="370" w:lineRule="exact"/>
              <w:jc w:val="center"/>
              <w:rPr>
                <w:rFonts w:asciiTheme="majorEastAsia" w:hAnsiTheme="majorEastAsia" w:eastAsiaTheme="majorEastAsia" w:cstheme="majorEastAsia"/>
                <w:color w:val="auto"/>
                <w:sz w:val="21"/>
                <w:szCs w:val="21"/>
              </w:rPr>
            </w:pPr>
            <w:r>
              <w:rPr>
                <w:rFonts w:asciiTheme="majorEastAsia" w:hAnsiTheme="majorEastAsia" w:eastAsiaTheme="majorEastAsia" w:cstheme="majorEastAsia"/>
                <w:color w:val="auto"/>
                <w:sz w:val="21"/>
                <w:szCs w:val="21"/>
              </w:rPr>
              <w:t>6</w:t>
            </w:r>
          </w:p>
        </w:tc>
        <w:tc>
          <w:tcPr>
            <w:tcW w:w="1140" w:type="dxa"/>
            <w:vAlign w:val="center"/>
          </w:tcPr>
          <w:p>
            <w:pPr>
              <w:spacing w:line="370" w:lineRule="exact"/>
              <w:jc w:val="center"/>
              <w:rPr>
                <w:rFonts w:asciiTheme="majorEastAsia" w:hAnsiTheme="majorEastAsia" w:eastAsiaTheme="majorEastAsia" w:cstheme="majorEastAsia"/>
                <w:color w:val="auto"/>
                <w:sz w:val="21"/>
                <w:szCs w:val="21"/>
              </w:rPr>
            </w:pPr>
            <w:r>
              <w:rPr>
                <w:rFonts w:hint="eastAsia"/>
                <w:color w:val="auto"/>
                <w:sz w:val="21"/>
                <w:szCs w:val="21"/>
              </w:rPr>
              <w:t>企业荣誉</w:t>
            </w:r>
          </w:p>
        </w:tc>
        <w:tc>
          <w:tcPr>
            <w:tcW w:w="705" w:type="dxa"/>
            <w:vAlign w:val="center"/>
          </w:tcPr>
          <w:p>
            <w:pPr>
              <w:spacing w:line="370" w:lineRule="exact"/>
              <w:jc w:val="center"/>
              <w:rPr>
                <w:rFonts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6</w:t>
            </w:r>
          </w:p>
        </w:tc>
        <w:tc>
          <w:tcPr>
            <w:tcW w:w="6658" w:type="dxa"/>
            <w:vAlign w:val="center"/>
          </w:tcPr>
          <w:p>
            <w:pPr>
              <w:autoSpaceDE w:val="0"/>
              <w:autoSpaceDN w:val="0"/>
              <w:adjustRightInd w:val="0"/>
              <w:spacing w:line="370" w:lineRule="exact"/>
              <w:ind w:firstLine="420" w:firstLineChars="200"/>
              <w:jc w:val="left"/>
              <w:rPr>
                <w:rFonts w:ascii="宋体" w:hAnsi="宋体" w:cs="宋体"/>
                <w:color w:val="auto"/>
                <w:sz w:val="21"/>
                <w:szCs w:val="21"/>
              </w:rPr>
            </w:pPr>
            <w:r>
              <w:rPr>
                <w:rFonts w:hint="eastAsia" w:ascii="宋体" w:hAnsi="宋体" w:cs="宋体"/>
                <w:color w:val="auto"/>
                <w:sz w:val="21"/>
                <w:szCs w:val="21"/>
              </w:rPr>
              <w:t>近五年内（从响应文件递交截止之日往前推算）</w:t>
            </w:r>
          </w:p>
          <w:p>
            <w:pPr>
              <w:autoSpaceDE w:val="0"/>
              <w:autoSpaceDN w:val="0"/>
              <w:adjustRightInd w:val="0"/>
              <w:spacing w:line="370" w:lineRule="exact"/>
              <w:ind w:firstLine="420" w:firstLineChars="200"/>
              <w:jc w:val="left"/>
              <w:rPr>
                <w:rFonts w:ascii="宋体" w:hAnsi="宋体" w:cs="宋体"/>
                <w:color w:val="auto"/>
                <w:sz w:val="21"/>
                <w:szCs w:val="21"/>
              </w:rPr>
            </w:pPr>
            <w:r>
              <w:rPr>
                <w:rFonts w:hint="eastAsia" w:ascii="宋体" w:hAnsi="宋体" w:cs="宋体"/>
                <w:color w:val="auto"/>
                <w:sz w:val="21"/>
                <w:szCs w:val="21"/>
              </w:rPr>
              <w:t>获得区级及以上环卫主管部门颁发的荣誉证书的，有一个得2分，最高得4分。</w:t>
            </w:r>
          </w:p>
          <w:p>
            <w:pPr>
              <w:autoSpaceDE w:val="0"/>
              <w:autoSpaceDN w:val="0"/>
              <w:adjustRightInd w:val="0"/>
              <w:spacing w:line="370" w:lineRule="exact"/>
              <w:ind w:firstLine="420" w:firstLineChars="200"/>
              <w:jc w:val="left"/>
              <w:rPr>
                <w:rFonts w:ascii="宋体" w:hAnsi="宋体" w:cs="宋体"/>
                <w:color w:val="auto"/>
                <w:sz w:val="21"/>
                <w:szCs w:val="21"/>
              </w:rPr>
            </w:pPr>
            <w:r>
              <w:rPr>
                <w:rFonts w:hint="eastAsia" w:ascii="宋体" w:hAnsi="宋体" w:cs="宋体"/>
                <w:color w:val="auto"/>
                <w:sz w:val="21"/>
                <w:szCs w:val="21"/>
              </w:rPr>
              <w:t>获得市级及以上环卫主管部门颁发的荣誉证书的，有一个得3分，最高得6分；</w:t>
            </w:r>
          </w:p>
          <w:p>
            <w:pPr>
              <w:widowControl/>
              <w:spacing w:line="370" w:lineRule="exact"/>
              <w:ind w:firstLine="422" w:firstLineChars="200"/>
              <w:jc w:val="left"/>
              <w:rPr>
                <w:color w:val="auto"/>
                <w:sz w:val="21"/>
                <w:szCs w:val="21"/>
              </w:rPr>
            </w:pPr>
            <w:r>
              <w:rPr>
                <w:rFonts w:hint="eastAsia" w:ascii="宋体" w:hAnsi="宋体" w:cs="宋体"/>
                <w:b/>
                <w:bCs/>
                <w:color w:val="auto"/>
                <w:sz w:val="21"/>
                <w:szCs w:val="21"/>
              </w:rPr>
              <w:t>注：提供发文材料、荣誉证书复印件加盖响应人公章，荣誉证书原件核查。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7" w:type="dxa"/>
            <w:vAlign w:val="center"/>
          </w:tcPr>
          <w:p>
            <w:pPr>
              <w:spacing w:line="370" w:lineRule="exact"/>
              <w:jc w:val="center"/>
              <w:rPr>
                <w:rFonts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7</w:t>
            </w:r>
          </w:p>
        </w:tc>
        <w:tc>
          <w:tcPr>
            <w:tcW w:w="1140" w:type="dxa"/>
            <w:vAlign w:val="center"/>
          </w:tcPr>
          <w:p>
            <w:pPr>
              <w:spacing w:line="370" w:lineRule="exact"/>
              <w:jc w:val="center"/>
              <w:rPr>
                <w:color w:val="auto"/>
                <w:sz w:val="21"/>
                <w:szCs w:val="21"/>
              </w:rPr>
            </w:pPr>
            <w:r>
              <w:rPr>
                <w:rFonts w:hint="eastAsia"/>
                <w:color w:val="auto"/>
                <w:sz w:val="21"/>
                <w:szCs w:val="21"/>
              </w:rPr>
              <w:t>车辆</w:t>
            </w:r>
          </w:p>
        </w:tc>
        <w:tc>
          <w:tcPr>
            <w:tcW w:w="705" w:type="dxa"/>
            <w:vAlign w:val="center"/>
          </w:tcPr>
          <w:p>
            <w:pPr>
              <w:spacing w:line="370" w:lineRule="exact"/>
              <w:jc w:val="center"/>
              <w:rPr>
                <w:rFonts w:asciiTheme="majorEastAsia" w:hAnsiTheme="majorEastAsia" w:eastAsiaTheme="majorEastAsia" w:cstheme="majorEastAsia"/>
                <w:color w:val="auto"/>
                <w:sz w:val="21"/>
                <w:szCs w:val="21"/>
              </w:rPr>
            </w:pPr>
            <w:r>
              <w:rPr>
                <w:rFonts w:asciiTheme="majorEastAsia" w:hAnsiTheme="majorEastAsia" w:eastAsiaTheme="majorEastAsia" w:cstheme="majorEastAsia"/>
                <w:color w:val="auto"/>
                <w:sz w:val="21"/>
                <w:szCs w:val="21"/>
              </w:rPr>
              <w:t>8</w:t>
            </w:r>
          </w:p>
        </w:tc>
        <w:tc>
          <w:tcPr>
            <w:tcW w:w="6658" w:type="dxa"/>
            <w:vAlign w:val="center"/>
          </w:tcPr>
          <w:p>
            <w:pPr>
              <w:autoSpaceDE w:val="0"/>
              <w:autoSpaceDN w:val="0"/>
              <w:adjustRightInd w:val="0"/>
              <w:spacing w:line="370" w:lineRule="exact"/>
              <w:ind w:firstLine="420" w:firstLineChars="200"/>
              <w:jc w:val="left"/>
              <w:rPr>
                <w:rFonts w:ascii="宋体" w:hAnsi="宋体" w:eastAsia="宋体" w:cs="宋体"/>
                <w:color w:val="auto"/>
                <w:sz w:val="21"/>
                <w:szCs w:val="21"/>
              </w:rPr>
            </w:pPr>
            <w:r>
              <w:rPr>
                <w:rFonts w:hint="eastAsia" w:ascii="宋体" w:hAnsi="宋体" w:eastAsia="宋体" w:cs="宋体"/>
                <w:color w:val="auto"/>
                <w:sz w:val="21"/>
                <w:szCs w:val="21"/>
              </w:rPr>
              <w:t>1、自有3吨及以上垃圾压缩车，每辆得</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分，最高得</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分；</w:t>
            </w:r>
          </w:p>
          <w:p>
            <w:pPr>
              <w:autoSpaceDE w:val="0"/>
              <w:autoSpaceDN w:val="0"/>
              <w:adjustRightInd w:val="0"/>
              <w:spacing w:line="370" w:lineRule="exact"/>
              <w:ind w:firstLine="420" w:firstLineChars="200"/>
              <w:jc w:val="left"/>
              <w:rPr>
                <w:rFonts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、自有</w:t>
            </w:r>
            <w:r>
              <w:rPr>
                <w:rFonts w:ascii="宋体" w:hAnsi="宋体" w:eastAsia="宋体" w:cs="宋体"/>
                <w:color w:val="auto"/>
                <w:sz w:val="21"/>
                <w:szCs w:val="21"/>
              </w:rPr>
              <w:t>3</w:t>
            </w:r>
            <w:r>
              <w:rPr>
                <w:rFonts w:hint="eastAsia" w:ascii="宋体" w:hAnsi="宋体" w:eastAsia="宋体" w:cs="宋体"/>
                <w:color w:val="auto"/>
                <w:sz w:val="21"/>
                <w:szCs w:val="21"/>
              </w:rPr>
              <w:t>吨及以上扫路车，每辆得</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分，最高得</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分；</w:t>
            </w:r>
          </w:p>
          <w:p>
            <w:pPr>
              <w:autoSpaceDE w:val="0"/>
              <w:autoSpaceDN w:val="0"/>
              <w:adjustRightInd w:val="0"/>
              <w:spacing w:line="37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自有</w:t>
            </w:r>
            <w:r>
              <w:rPr>
                <w:rFonts w:hint="eastAsia" w:ascii="宋体" w:hAnsi="宋体" w:eastAsia="宋体" w:cs="宋体"/>
                <w:color w:val="auto"/>
                <w:sz w:val="21"/>
                <w:szCs w:val="21"/>
                <w:lang w:val="en-US" w:eastAsia="zh-CN"/>
              </w:rPr>
              <w:t>4辆</w:t>
            </w:r>
            <w:r>
              <w:rPr>
                <w:rFonts w:hint="eastAsia" w:ascii="宋体" w:hAnsi="宋体" w:eastAsia="宋体" w:cs="宋体"/>
                <w:color w:val="auto"/>
                <w:sz w:val="21"/>
                <w:szCs w:val="21"/>
              </w:rPr>
              <w:t>1.5吨小型电动垃圾收集车</w:t>
            </w:r>
            <w:r>
              <w:rPr>
                <w:rFonts w:hint="eastAsia" w:ascii="宋体" w:hAnsi="宋体" w:eastAsia="宋体" w:cs="宋体"/>
                <w:color w:val="auto"/>
                <w:sz w:val="21"/>
                <w:szCs w:val="21"/>
                <w:lang w:val="en-US" w:eastAsia="zh-CN"/>
              </w:rPr>
              <w:t>的不得分</w:t>
            </w:r>
            <w:r>
              <w:rPr>
                <w:rFonts w:hint="eastAsia" w:ascii="宋体" w:hAnsi="宋体" w:eastAsia="宋体" w:cs="宋体"/>
                <w:color w:val="auto"/>
                <w:sz w:val="21"/>
                <w:szCs w:val="21"/>
              </w:rPr>
              <w:t>，每</w:t>
            </w:r>
            <w:r>
              <w:rPr>
                <w:rFonts w:hint="eastAsia" w:ascii="宋体" w:hAnsi="宋体" w:eastAsia="宋体" w:cs="宋体"/>
                <w:color w:val="auto"/>
                <w:sz w:val="21"/>
                <w:szCs w:val="21"/>
                <w:lang w:val="en-US" w:eastAsia="zh-CN"/>
              </w:rPr>
              <w:t>增加1</w:t>
            </w:r>
            <w:r>
              <w:rPr>
                <w:rFonts w:hint="eastAsia" w:ascii="宋体" w:hAnsi="宋体" w:eastAsia="宋体" w:cs="宋体"/>
                <w:color w:val="auto"/>
                <w:sz w:val="21"/>
                <w:szCs w:val="21"/>
              </w:rPr>
              <w:t>辆得2分，最高得4分；</w:t>
            </w:r>
          </w:p>
          <w:p>
            <w:pPr>
              <w:autoSpaceDE w:val="0"/>
              <w:autoSpaceDN w:val="0"/>
              <w:adjustRightInd w:val="0"/>
              <w:spacing w:line="370" w:lineRule="exact"/>
              <w:ind w:firstLine="420" w:firstLineChars="200"/>
              <w:jc w:val="left"/>
              <w:rPr>
                <w:color w:val="auto"/>
                <w:sz w:val="22"/>
                <w:szCs w:val="18"/>
              </w:rPr>
            </w:pPr>
            <w:r>
              <w:rPr>
                <w:rFonts w:hint="eastAsia" w:ascii="宋体" w:hAnsi="宋体" w:eastAsia="宋体" w:cs="宋体"/>
                <w:color w:val="auto"/>
                <w:sz w:val="21"/>
                <w:szCs w:val="21"/>
                <w:lang w:val="en-US" w:eastAsia="zh-CN"/>
              </w:rPr>
              <w:t>以上</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1-2）</w:t>
            </w:r>
            <w:r>
              <w:rPr>
                <w:rFonts w:hint="eastAsia" w:ascii="宋体" w:hAnsi="宋体" w:eastAsia="宋体" w:cs="宋体"/>
                <w:color w:val="auto"/>
                <w:sz w:val="21"/>
                <w:szCs w:val="21"/>
              </w:rPr>
              <w:t>需同时提供车辆行驶证及车辆购买发票</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3需提供车辆购买发票</w:t>
            </w:r>
            <w:r>
              <w:rPr>
                <w:rFonts w:hint="eastAsia" w:ascii="宋体" w:hAnsi="宋体" w:eastAsia="宋体" w:cs="宋体"/>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30" w:type="dxa"/>
            <w:gridSpan w:val="4"/>
            <w:vAlign w:val="center"/>
          </w:tcPr>
          <w:p>
            <w:pPr>
              <w:pStyle w:val="5"/>
              <w:spacing w:before="0" w:after="0" w:line="370" w:lineRule="exact"/>
              <w:jc w:val="center"/>
              <w:rPr>
                <w:rFonts w:ascii="宋体" w:hAnsi="宋体" w:cs="宋体"/>
                <w:color w:val="auto"/>
                <w:sz w:val="21"/>
                <w:szCs w:val="21"/>
              </w:rPr>
            </w:pPr>
            <w:r>
              <w:rPr>
                <w:rFonts w:hint="eastAsia" w:ascii="宋体" w:hAnsi="宋体" w:cs="宋体"/>
                <w:color w:val="auto"/>
                <w:sz w:val="21"/>
                <w:szCs w:val="21"/>
              </w:rPr>
              <w:t>主观分（40）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7" w:type="dxa"/>
            <w:vAlign w:val="center"/>
          </w:tcPr>
          <w:p>
            <w:pPr>
              <w:spacing w:line="400" w:lineRule="exact"/>
              <w:jc w:val="center"/>
              <w:rPr>
                <w:color w:val="auto"/>
                <w:sz w:val="21"/>
                <w:szCs w:val="21"/>
              </w:rPr>
            </w:pPr>
            <w:r>
              <w:rPr>
                <w:rFonts w:hint="eastAsia"/>
                <w:color w:val="auto"/>
                <w:sz w:val="21"/>
                <w:szCs w:val="21"/>
              </w:rPr>
              <w:t>1</w:t>
            </w:r>
          </w:p>
        </w:tc>
        <w:tc>
          <w:tcPr>
            <w:tcW w:w="1140" w:type="dxa"/>
            <w:vAlign w:val="center"/>
          </w:tcPr>
          <w:p>
            <w:pPr>
              <w:spacing w:line="400" w:lineRule="exact"/>
              <w:jc w:val="center"/>
              <w:rPr>
                <w:color w:val="auto"/>
                <w:sz w:val="21"/>
                <w:szCs w:val="21"/>
              </w:rPr>
            </w:pPr>
            <w:r>
              <w:rPr>
                <w:rFonts w:hint="eastAsia" w:ascii="宋体" w:hAnsi="宋体" w:cs="宋体"/>
                <w:color w:val="auto"/>
                <w:kern w:val="0"/>
                <w:sz w:val="21"/>
                <w:szCs w:val="21"/>
              </w:rPr>
              <w:t>服务方案整体评价</w:t>
            </w:r>
          </w:p>
        </w:tc>
        <w:tc>
          <w:tcPr>
            <w:tcW w:w="705" w:type="dxa"/>
            <w:vAlign w:val="center"/>
          </w:tcPr>
          <w:p>
            <w:pPr>
              <w:spacing w:line="400" w:lineRule="exact"/>
              <w:jc w:val="center"/>
              <w:rPr>
                <w:color w:val="auto"/>
                <w:sz w:val="21"/>
                <w:szCs w:val="21"/>
              </w:rPr>
            </w:pPr>
            <w:r>
              <w:rPr>
                <w:rFonts w:hint="eastAsia"/>
                <w:color w:val="auto"/>
                <w:sz w:val="21"/>
                <w:szCs w:val="21"/>
              </w:rPr>
              <w:t>5</w:t>
            </w:r>
          </w:p>
        </w:tc>
        <w:tc>
          <w:tcPr>
            <w:tcW w:w="6658" w:type="dxa"/>
            <w:vAlign w:val="center"/>
          </w:tcPr>
          <w:p>
            <w:pPr>
              <w:widowControl/>
              <w:spacing w:line="40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根据各响应人提供的保洁管理服务项目整体方案，考察其是否针对本项目采购需求中的内容及范围进行了响应，并就其可行性和可实现性进行综合评价：</w:t>
            </w:r>
          </w:p>
          <w:p>
            <w:pPr>
              <w:widowControl/>
              <w:spacing w:line="40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内容完整全面、方案科学合理、针对性强，符合采购人要求的，得5分；</w:t>
            </w:r>
          </w:p>
          <w:p>
            <w:pPr>
              <w:widowControl/>
              <w:spacing w:line="40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内容较为完整、方案基本合理、针对性一般，与采购人要求有所出入得3分；</w:t>
            </w:r>
          </w:p>
          <w:p>
            <w:pPr>
              <w:widowControl/>
              <w:spacing w:line="40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内容不太完整、方案针对性较弱的，得1分；</w:t>
            </w:r>
          </w:p>
          <w:p>
            <w:pPr>
              <w:widowControl/>
              <w:spacing w:line="400" w:lineRule="exact"/>
              <w:ind w:firstLine="420" w:firstLineChars="200"/>
              <w:jc w:val="left"/>
              <w:rPr>
                <w:color w:val="auto"/>
                <w:sz w:val="21"/>
                <w:szCs w:val="21"/>
              </w:rPr>
            </w:pPr>
            <w:r>
              <w:rPr>
                <w:rFonts w:hint="eastAsia" w:ascii="宋体" w:hAnsi="宋体" w:cs="宋体"/>
                <w:color w:val="auto"/>
                <w:kern w:val="0"/>
                <w:sz w:val="21"/>
                <w:szCs w:val="21"/>
              </w:rPr>
              <w:t>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7" w:type="dxa"/>
            <w:vAlign w:val="center"/>
          </w:tcPr>
          <w:p>
            <w:pPr>
              <w:spacing w:line="370" w:lineRule="exact"/>
              <w:jc w:val="center"/>
              <w:rPr>
                <w:color w:val="auto"/>
                <w:sz w:val="21"/>
                <w:szCs w:val="21"/>
              </w:rPr>
            </w:pPr>
            <w:r>
              <w:rPr>
                <w:rFonts w:hint="eastAsia"/>
                <w:color w:val="auto"/>
                <w:sz w:val="21"/>
                <w:szCs w:val="21"/>
              </w:rPr>
              <w:t>2</w:t>
            </w:r>
          </w:p>
        </w:tc>
        <w:tc>
          <w:tcPr>
            <w:tcW w:w="1140" w:type="dxa"/>
            <w:vAlign w:val="center"/>
          </w:tcPr>
          <w:p>
            <w:pPr>
              <w:spacing w:line="370" w:lineRule="exact"/>
              <w:jc w:val="center"/>
              <w:rPr>
                <w:color w:val="auto"/>
                <w:sz w:val="21"/>
                <w:szCs w:val="21"/>
              </w:rPr>
            </w:pPr>
            <w:r>
              <w:rPr>
                <w:rFonts w:hint="eastAsia" w:ascii="宋体" w:hAnsi="宋体" w:cs="宋体"/>
                <w:color w:val="auto"/>
                <w:kern w:val="0"/>
                <w:sz w:val="21"/>
                <w:szCs w:val="21"/>
              </w:rPr>
              <w:t>管理机构和管理制度</w:t>
            </w:r>
          </w:p>
        </w:tc>
        <w:tc>
          <w:tcPr>
            <w:tcW w:w="705" w:type="dxa"/>
            <w:vAlign w:val="center"/>
          </w:tcPr>
          <w:p>
            <w:pPr>
              <w:spacing w:line="370" w:lineRule="exact"/>
              <w:jc w:val="center"/>
              <w:rPr>
                <w:color w:val="auto"/>
                <w:sz w:val="21"/>
                <w:szCs w:val="21"/>
              </w:rPr>
            </w:pPr>
            <w:r>
              <w:rPr>
                <w:rFonts w:hint="eastAsia"/>
                <w:color w:val="auto"/>
                <w:sz w:val="21"/>
                <w:szCs w:val="21"/>
              </w:rPr>
              <w:t>3</w:t>
            </w:r>
          </w:p>
        </w:tc>
        <w:tc>
          <w:tcPr>
            <w:tcW w:w="6658" w:type="dxa"/>
            <w:vAlign w:val="center"/>
          </w:tcPr>
          <w:p>
            <w:pPr>
              <w:widowControl/>
              <w:spacing w:line="37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根据各响应人提供的完整的管理机构配备；人工作业管理制度；垃圾收运作业管理制度；公厕管理和保洁作业制度；员工录用、考核和淘汰制度：</w:t>
            </w:r>
          </w:p>
          <w:p>
            <w:pPr>
              <w:widowControl/>
              <w:spacing w:line="37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制度完善、精细、操作性强，内容精细详尽，可行性强，得3分；</w:t>
            </w:r>
          </w:p>
          <w:p>
            <w:pPr>
              <w:widowControl/>
              <w:spacing w:line="37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制度良好、较简单、操作性一般，内容较完整，可行性较强，得2分；</w:t>
            </w:r>
          </w:p>
          <w:p>
            <w:pPr>
              <w:widowControl/>
              <w:spacing w:line="37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机制制度笼统、操作性差无针对性，内容笼统，可行性一般的得1分；</w:t>
            </w:r>
          </w:p>
          <w:p>
            <w:pPr>
              <w:widowControl/>
              <w:spacing w:line="370" w:lineRule="exact"/>
              <w:ind w:firstLine="420" w:firstLineChars="200"/>
              <w:jc w:val="left"/>
              <w:rPr>
                <w:color w:val="auto"/>
                <w:sz w:val="21"/>
                <w:szCs w:val="21"/>
              </w:rPr>
            </w:pPr>
            <w:r>
              <w:rPr>
                <w:rFonts w:hint="eastAsia" w:ascii="宋体" w:hAnsi="宋体" w:cs="宋体"/>
                <w:color w:val="auto"/>
                <w:kern w:val="0"/>
                <w:sz w:val="21"/>
                <w:szCs w:val="21"/>
              </w:rPr>
              <w:t>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7" w:type="dxa"/>
            <w:vAlign w:val="center"/>
          </w:tcPr>
          <w:p>
            <w:pPr>
              <w:spacing w:line="370" w:lineRule="exact"/>
              <w:jc w:val="center"/>
              <w:rPr>
                <w:color w:val="auto"/>
                <w:sz w:val="21"/>
                <w:szCs w:val="21"/>
              </w:rPr>
            </w:pPr>
            <w:r>
              <w:rPr>
                <w:rFonts w:hint="eastAsia"/>
                <w:color w:val="auto"/>
                <w:sz w:val="21"/>
                <w:szCs w:val="21"/>
              </w:rPr>
              <w:t>3</w:t>
            </w:r>
          </w:p>
        </w:tc>
        <w:tc>
          <w:tcPr>
            <w:tcW w:w="1140" w:type="dxa"/>
            <w:vAlign w:val="center"/>
          </w:tcPr>
          <w:p>
            <w:pPr>
              <w:spacing w:line="400" w:lineRule="exact"/>
              <w:jc w:val="center"/>
              <w:rPr>
                <w:color w:val="auto"/>
                <w:sz w:val="21"/>
                <w:szCs w:val="21"/>
              </w:rPr>
            </w:pPr>
            <w:r>
              <w:rPr>
                <w:rFonts w:hint="eastAsia" w:ascii="宋体" w:hAnsi="宋体" w:cs="宋体"/>
                <w:color w:val="auto"/>
                <w:kern w:val="0"/>
                <w:sz w:val="21"/>
                <w:szCs w:val="21"/>
              </w:rPr>
              <w:t>项目重点、难点和相应措施说明</w:t>
            </w:r>
          </w:p>
        </w:tc>
        <w:tc>
          <w:tcPr>
            <w:tcW w:w="705" w:type="dxa"/>
            <w:vAlign w:val="center"/>
          </w:tcPr>
          <w:p>
            <w:pPr>
              <w:spacing w:line="400" w:lineRule="exact"/>
              <w:jc w:val="center"/>
              <w:rPr>
                <w:color w:val="auto"/>
                <w:sz w:val="21"/>
                <w:szCs w:val="21"/>
              </w:rPr>
            </w:pPr>
            <w:r>
              <w:rPr>
                <w:rFonts w:hint="eastAsia"/>
                <w:color w:val="auto"/>
                <w:sz w:val="21"/>
                <w:szCs w:val="21"/>
              </w:rPr>
              <w:t>3</w:t>
            </w:r>
          </w:p>
        </w:tc>
        <w:tc>
          <w:tcPr>
            <w:tcW w:w="6658" w:type="dxa"/>
            <w:vAlign w:val="center"/>
          </w:tcPr>
          <w:p>
            <w:pPr>
              <w:widowControl/>
              <w:spacing w:line="40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针对本项服务的管理重点、难点和相应措施说明，并就其方案的可行性和完整性进行综合评价：</w:t>
            </w:r>
          </w:p>
          <w:p>
            <w:pPr>
              <w:widowControl/>
              <w:spacing w:line="40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描述合理、完善，符合采购人实际情况的，得3分；</w:t>
            </w:r>
          </w:p>
          <w:p>
            <w:pPr>
              <w:widowControl/>
              <w:spacing w:line="40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描述基本合理、内容一般，与采购人实际情况有所出入的，得2分；</w:t>
            </w:r>
          </w:p>
          <w:p>
            <w:pPr>
              <w:widowControl/>
              <w:spacing w:line="40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描述不太合理、内容缺失的，得1分；</w:t>
            </w:r>
          </w:p>
          <w:p>
            <w:pPr>
              <w:widowControl/>
              <w:spacing w:line="400" w:lineRule="exact"/>
              <w:ind w:firstLine="420" w:firstLineChars="200"/>
              <w:jc w:val="left"/>
              <w:rPr>
                <w:color w:val="auto"/>
                <w:sz w:val="21"/>
                <w:szCs w:val="21"/>
              </w:rPr>
            </w:pPr>
            <w:r>
              <w:rPr>
                <w:rFonts w:hint="eastAsia" w:ascii="宋体" w:hAnsi="宋体" w:cs="宋体"/>
                <w:color w:val="auto"/>
                <w:kern w:val="0"/>
                <w:sz w:val="21"/>
                <w:szCs w:val="21"/>
              </w:rPr>
              <w:t>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7" w:type="dxa"/>
            <w:vMerge w:val="restart"/>
            <w:vAlign w:val="center"/>
          </w:tcPr>
          <w:p>
            <w:pPr>
              <w:spacing w:line="370" w:lineRule="exact"/>
              <w:jc w:val="center"/>
              <w:rPr>
                <w:color w:val="auto"/>
                <w:sz w:val="21"/>
                <w:szCs w:val="21"/>
              </w:rPr>
            </w:pPr>
            <w:r>
              <w:rPr>
                <w:rFonts w:hint="eastAsia"/>
                <w:color w:val="auto"/>
                <w:sz w:val="21"/>
                <w:szCs w:val="21"/>
              </w:rPr>
              <w:t>4</w:t>
            </w:r>
          </w:p>
        </w:tc>
        <w:tc>
          <w:tcPr>
            <w:tcW w:w="1140" w:type="dxa"/>
            <w:vMerge w:val="restart"/>
            <w:vAlign w:val="center"/>
          </w:tcPr>
          <w:p>
            <w:pPr>
              <w:spacing w:line="370" w:lineRule="exact"/>
              <w:jc w:val="center"/>
              <w:rPr>
                <w:rFonts w:ascii="宋体" w:hAnsi="宋体" w:cs="宋体"/>
                <w:color w:val="auto"/>
                <w:kern w:val="0"/>
                <w:sz w:val="21"/>
                <w:szCs w:val="21"/>
              </w:rPr>
            </w:pPr>
            <w:r>
              <w:rPr>
                <w:rFonts w:hint="eastAsia" w:ascii="宋体" w:hAnsi="宋体" w:cs="宋体"/>
                <w:color w:val="auto"/>
                <w:kern w:val="0"/>
                <w:sz w:val="21"/>
                <w:szCs w:val="21"/>
              </w:rPr>
              <w:t>作业工艺</w:t>
            </w:r>
          </w:p>
        </w:tc>
        <w:tc>
          <w:tcPr>
            <w:tcW w:w="705" w:type="dxa"/>
            <w:vAlign w:val="center"/>
          </w:tcPr>
          <w:p>
            <w:pPr>
              <w:spacing w:line="370" w:lineRule="exact"/>
              <w:jc w:val="center"/>
              <w:rPr>
                <w:color w:val="auto"/>
                <w:sz w:val="21"/>
                <w:szCs w:val="21"/>
              </w:rPr>
            </w:pPr>
            <w:r>
              <w:rPr>
                <w:rFonts w:hint="eastAsia"/>
                <w:color w:val="auto"/>
                <w:sz w:val="21"/>
                <w:szCs w:val="21"/>
              </w:rPr>
              <w:t>5</w:t>
            </w:r>
          </w:p>
        </w:tc>
        <w:tc>
          <w:tcPr>
            <w:tcW w:w="6658" w:type="dxa"/>
            <w:vAlign w:val="center"/>
          </w:tcPr>
          <w:p>
            <w:pPr>
              <w:widowControl/>
              <w:spacing w:line="37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人工作业组织方案及流程（含道路人工保洁、冲洗作业（重点突出道板和局部污染的冲洗）、花台石凳保洁、公厕保洁、果壳箱/垃圾桶收集清洗维护）：</w:t>
            </w:r>
          </w:p>
          <w:p>
            <w:pPr>
              <w:widowControl/>
              <w:spacing w:line="37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实施方案详尽、精细，科学合理，操作性强，得5分；</w:t>
            </w:r>
          </w:p>
          <w:p>
            <w:pPr>
              <w:widowControl/>
              <w:spacing w:line="37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实施方案较为全面，较详细合理、规范科学，得3分；</w:t>
            </w:r>
          </w:p>
          <w:p>
            <w:pPr>
              <w:widowControl/>
              <w:spacing w:line="37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实施方案简单，操作性一般，得1分；</w:t>
            </w:r>
          </w:p>
          <w:p>
            <w:pPr>
              <w:widowControl/>
              <w:spacing w:line="370" w:lineRule="exact"/>
              <w:ind w:firstLine="420" w:firstLineChars="200"/>
              <w:jc w:val="left"/>
              <w:rPr>
                <w:color w:val="auto"/>
                <w:sz w:val="21"/>
                <w:szCs w:val="21"/>
              </w:rPr>
            </w:pPr>
            <w:r>
              <w:rPr>
                <w:rFonts w:hint="eastAsia" w:ascii="宋体" w:hAnsi="宋体" w:cs="宋体"/>
                <w:color w:val="auto"/>
                <w:kern w:val="0"/>
                <w:sz w:val="21"/>
                <w:szCs w:val="21"/>
              </w:rPr>
              <w:t>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7" w:type="dxa"/>
            <w:vMerge w:val="continue"/>
            <w:vAlign w:val="center"/>
          </w:tcPr>
          <w:p>
            <w:pPr>
              <w:spacing w:line="370" w:lineRule="exact"/>
              <w:jc w:val="center"/>
              <w:rPr>
                <w:color w:val="auto"/>
                <w:sz w:val="21"/>
                <w:szCs w:val="21"/>
              </w:rPr>
            </w:pPr>
          </w:p>
        </w:tc>
        <w:tc>
          <w:tcPr>
            <w:tcW w:w="1140" w:type="dxa"/>
            <w:vMerge w:val="continue"/>
            <w:vAlign w:val="center"/>
          </w:tcPr>
          <w:p>
            <w:pPr>
              <w:spacing w:line="370" w:lineRule="exact"/>
              <w:jc w:val="center"/>
              <w:rPr>
                <w:rFonts w:ascii="宋体" w:hAnsi="宋体" w:cs="宋体"/>
                <w:color w:val="auto"/>
                <w:kern w:val="0"/>
                <w:sz w:val="21"/>
                <w:szCs w:val="21"/>
              </w:rPr>
            </w:pPr>
          </w:p>
        </w:tc>
        <w:tc>
          <w:tcPr>
            <w:tcW w:w="705" w:type="dxa"/>
            <w:vAlign w:val="center"/>
          </w:tcPr>
          <w:p>
            <w:pPr>
              <w:spacing w:line="370" w:lineRule="exact"/>
              <w:jc w:val="center"/>
              <w:rPr>
                <w:color w:val="auto"/>
                <w:sz w:val="21"/>
                <w:szCs w:val="21"/>
              </w:rPr>
            </w:pPr>
            <w:r>
              <w:rPr>
                <w:rFonts w:hint="eastAsia"/>
                <w:color w:val="auto"/>
                <w:sz w:val="21"/>
                <w:szCs w:val="21"/>
              </w:rPr>
              <w:t>5</w:t>
            </w:r>
          </w:p>
        </w:tc>
        <w:tc>
          <w:tcPr>
            <w:tcW w:w="6658" w:type="dxa"/>
            <w:vAlign w:val="center"/>
          </w:tcPr>
          <w:p>
            <w:pPr>
              <w:adjustRightInd w:val="0"/>
              <w:snapToGrid w:val="0"/>
              <w:spacing w:line="370" w:lineRule="exact"/>
              <w:ind w:firstLine="420" w:firstLineChars="200"/>
              <w:rPr>
                <w:rFonts w:ascii="宋体" w:hAnsi="宋体" w:cs="宋体"/>
                <w:color w:val="auto"/>
                <w:sz w:val="21"/>
                <w:szCs w:val="21"/>
              </w:rPr>
            </w:pPr>
            <w:r>
              <w:rPr>
                <w:rFonts w:hint="eastAsia" w:ascii="宋体" w:hAnsi="宋体" w:cs="宋体"/>
                <w:color w:val="auto"/>
                <w:sz w:val="21"/>
                <w:szCs w:val="21"/>
              </w:rPr>
              <w:t>垃圾收运作业组织方案及流程：</w:t>
            </w:r>
          </w:p>
          <w:p>
            <w:pPr>
              <w:adjustRightInd w:val="0"/>
              <w:snapToGrid w:val="0"/>
              <w:spacing w:line="370" w:lineRule="exact"/>
              <w:ind w:firstLine="419" w:firstLineChars="212"/>
              <w:rPr>
                <w:rFonts w:ascii="宋体" w:hAnsi="宋体" w:cs="宋体"/>
                <w:color w:val="auto"/>
                <w:spacing w:val="-6"/>
                <w:sz w:val="21"/>
                <w:szCs w:val="21"/>
              </w:rPr>
            </w:pPr>
            <w:r>
              <w:rPr>
                <w:rFonts w:hint="eastAsia" w:ascii="宋体" w:hAnsi="宋体" w:cs="宋体"/>
                <w:color w:val="auto"/>
                <w:spacing w:val="-6"/>
                <w:sz w:val="21"/>
                <w:szCs w:val="21"/>
              </w:rPr>
              <w:t>实施方案详尽、精细，科学合理，操作性强，得5分；</w:t>
            </w:r>
          </w:p>
          <w:p>
            <w:pPr>
              <w:adjustRightInd w:val="0"/>
              <w:snapToGrid w:val="0"/>
              <w:spacing w:line="370" w:lineRule="exact"/>
              <w:ind w:firstLine="419" w:firstLineChars="212"/>
              <w:rPr>
                <w:rFonts w:ascii="宋体" w:hAnsi="宋体" w:cs="宋体"/>
                <w:color w:val="auto"/>
                <w:spacing w:val="-6"/>
                <w:sz w:val="21"/>
                <w:szCs w:val="21"/>
              </w:rPr>
            </w:pPr>
            <w:r>
              <w:rPr>
                <w:rFonts w:hint="eastAsia" w:ascii="宋体" w:hAnsi="宋体" w:cs="宋体"/>
                <w:color w:val="auto"/>
                <w:spacing w:val="-6"/>
                <w:sz w:val="21"/>
                <w:szCs w:val="21"/>
              </w:rPr>
              <w:t>实施方案较为全面，较详细合理、规范科学，得3分；</w:t>
            </w:r>
          </w:p>
          <w:p>
            <w:pPr>
              <w:adjustRightInd w:val="0"/>
              <w:snapToGrid w:val="0"/>
              <w:spacing w:line="370" w:lineRule="exact"/>
              <w:ind w:firstLine="419" w:firstLineChars="212"/>
              <w:rPr>
                <w:rFonts w:ascii="宋体" w:hAnsi="宋体" w:cs="宋体"/>
                <w:color w:val="auto"/>
                <w:sz w:val="21"/>
                <w:szCs w:val="21"/>
              </w:rPr>
            </w:pPr>
            <w:r>
              <w:rPr>
                <w:rFonts w:hint="eastAsia" w:ascii="宋体" w:hAnsi="宋体" w:cs="宋体"/>
                <w:color w:val="auto"/>
                <w:spacing w:val="-6"/>
                <w:sz w:val="21"/>
                <w:szCs w:val="21"/>
              </w:rPr>
              <w:t>实施方案简单，操作性一般，得1分</w:t>
            </w:r>
            <w:r>
              <w:rPr>
                <w:rFonts w:hint="eastAsia" w:ascii="宋体" w:hAnsi="宋体" w:cs="宋体"/>
                <w:color w:val="auto"/>
                <w:sz w:val="21"/>
                <w:szCs w:val="21"/>
              </w:rPr>
              <w:t>；</w:t>
            </w:r>
          </w:p>
          <w:p>
            <w:pPr>
              <w:widowControl/>
              <w:spacing w:line="37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7" w:type="dxa"/>
            <w:vMerge w:val="continue"/>
            <w:vAlign w:val="center"/>
          </w:tcPr>
          <w:p>
            <w:pPr>
              <w:spacing w:line="370" w:lineRule="exact"/>
              <w:jc w:val="center"/>
              <w:rPr>
                <w:color w:val="auto"/>
                <w:sz w:val="21"/>
                <w:szCs w:val="21"/>
              </w:rPr>
            </w:pPr>
          </w:p>
        </w:tc>
        <w:tc>
          <w:tcPr>
            <w:tcW w:w="1140" w:type="dxa"/>
            <w:vMerge w:val="continue"/>
            <w:vAlign w:val="center"/>
          </w:tcPr>
          <w:p>
            <w:pPr>
              <w:spacing w:line="370" w:lineRule="exact"/>
              <w:jc w:val="center"/>
              <w:rPr>
                <w:rFonts w:ascii="宋体" w:hAnsi="宋体" w:cs="宋体"/>
                <w:color w:val="auto"/>
                <w:kern w:val="0"/>
                <w:sz w:val="21"/>
                <w:szCs w:val="21"/>
              </w:rPr>
            </w:pPr>
          </w:p>
        </w:tc>
        <w:tc>
          <w:tcPr>
            <w:tcW w:w="705" w:type="dxa"/>
            <w:vAlign w:val="center"/>
          </w:tcPr>
          <w:p>
            <w:pPr>
              <w:spacing w:line="370" w:lineRule="exact"/>
              <w:jc w:val="center"/>
              <w:rPr>
                <w:color w:val="auto"/>
                <w:sz w:val="21"/>
                <w:szCs w:val="21"/>
              </w:rPr>
            </w:pPr>
            <w:r>
              <w:rPr>
                <w:rFonts w:hint="eastAsia"/>
                <w:color w:val="auto"/>
                <w:sz w:val="21"/>
                <w:szCs w:val="21"/>
              </w:rPr>
              <w:t>5</w:t>
            </w:r>
          </w:p>
        </w:tc>
        <w:tc>
          <w:tcPr>
            <w:tcW w:w="6658" w:type="dxa"/>
            <w:vAlign w:val="center"/>
          </w:tcPr>
          <w:p>
            <w:pPr>
              <w:adjustRightInd w:val="0"/>
              <w:snapToGrid w:val="0"/>
              <w:spacing w:line="370" w:lineRule="exact"/>
              <w:ind w:firstLine="420" w:firstLineChars="200"/>
              <w:rPr>
                <w:rFonts w:ascii="宋体" w:hAnsi="宋体" w:cs="宋体"/>
                <w:color w:val="auto"/>
                <w:sz w:val="21"/>
                <w:szCs w:val="21"/>
              </w:rPr>
            </w:pPr>
            <w:r>
              <w:rPr>
                <w:rFonts w:hint="eastAsia" w:ascii="宋体" w:hAnsi="宋体" w:cs="宋体"/>
                <w:color w:val="auto"/>
                <w:sz w:val="21"/>
                <w:szCs w:val="21"/>
              </w:rPr>
              <w:t>作业人员配备及作业时间安排方案；作业车辆及设备投入方案；进退场交接措施方案：</w:t>
            </w:r>
          </w:p>
          <w:p>
            <w:pPr>
              <w:adjustRightInd w:val="0"/>
              <w:snapToGrid w:val="0"/>
              <w:spacing w:line="370" w:lineRule="exact"/>
              <w:ind w:firstLine="396" w:firstLineChars="200"/>
              <w:rPr>
                <w:rFonts w:ascii="宋体" w:hAnsi="宋体" w:cs="宋体"/>
                <w:color w:val="auto"/>
                <w:spacing w:val="-6"/>
                <w:sz w:val="21"/>
                <w:szCs w:val="21"/>
              </w:rPr>
            </w:pPr>
            <w:r>
              <w:rPr>
                <w:rFonts w:hint="eastAsia" w:ascii="宋体" w:hAnsi="宋体" w:cs="宋体"/>
                <w:color w:val="auto"/>
                <w:spacing w:val="-6"/>
                <w:sz w:val="21"/>
                <w:szCs w:val="21"/>
              </w:rPr>
              <w:t>人员配备合理、职责划分明确，</w:t>
            </w:r>
            <w:r>
              <w:rPr>
                <w:rFonts w:hint="eastAsia" w:ascii="宋体" w:hAnsi="宋体" w:cs="宋体"/>
                <w:color w:val="auto"/>
                <w:sz w:val="21"/>
                <w:szCs w:val="21"/>
              </w:rPr>
              <w:t>作业车辆及设备投入</w:t>
            </w:r>
            <w:r>
              <w:rPr>
                <w:rFonts w:hint="eastAsia" w:ascii="宋体" w:hAnsi="宋体" w:cs="宋体"/>
                <w:color w:val="auto"/>
                <w:kern w:val="0"/>
                <w:sz w:val="21"/>
                <w:szCs w:val="21"/>
              </w:rPr>
              <w:t>与本项目所需匹配、针对性强、合理实用，</w:t>
            </w:r>
            <w:r>
              <w:rPr>
                <w:rFonts w:hint="eastAsia" w:ascii="宋体" w:hAnsi="宋体" w:cs="宋体"/>
                <w:color w:val="auto"/>
                <w:sz w:val="21"/>
                <w:szCs w:val="21"/>
              </w:rPr>
              <w:t>进退场交接措施</w:t>
            </w:r>
            <w:r>
              <w:rPr>
                <w:rFonts w:hint="eastAsia" w:ascii="宋体" w:hAnsi="宋体"/>
                <w:color w:val="auto"/>
                <w:sz w:val="21"/>
                <w:szCs w:val="21"/>
              </w:rPr>
              <w:t>科学合理，可行性强，</w:t>
            </w:r>
            <w:r>
              <w:rPr>
                <w:rFonts w:hint="eastAsia" w:ascii="宋体" w:hAnsi="宋体" w:cs="宋体"/>
                <w:color w:val="auto"/>
                <w:spacing w:val="-6"/>
                <w:sz w:val="21"/>
                <w:szCs w:val="21"/>
              </w:rPr>
              <w:t>得</w:t>
            </w:r>
            <w:r>
              <w:rPr>
                <w:rFonts w:hint="eastAsia" w:ascii="宋体" w:hAnsi="宋体" w:cs="宋体"/>
                <w:color w:val="auto"/>
                <w:spacing w:val="-6"/>
                <w:sz w:val="21"/>
                <w:szCs w:val="21"/>
                <w:lang w:val="en-US" w:eastAsia="zh-CN"/>
              </w:rPr>
              <w:t>5</w:t>
            </w:r>
            <w:r>
              <w:rPr>
                <w:rFonts w:hint="eastAsia" w:ascii="宋体" w:hAnsi="宋体" w:cs="宋体"/>
                <w:color w:val="auto"/>
                <w:spacing w:val="-6"/>
                <w:sz w:val="21"/>
                <w:szCs w:val="21"/>
              </w:rPr>
              <w:t>分；</w:t>
            </w:r>
          </w:p>
          <w:p>
            <w:pPr>
              <w:adjustRightInd w:val="0"/>
              <w:snapToGrid w:val="0"/>
              <w:spacing w:line="370" w:lineRule="exact"/>
              <w:ind w:firstLine="396" w:firstLineChars="200"/>
              <w:rPr>
                <w:rFonts w:ascii="宋体" w:hAnsi="宋体" w:cs="宋体"/>
                <w:color w:val="auto"/>
                <w:spacing w:val="-6"/>
                <w:sz w:val="21"/>
                <w:szCs w:val="21"/>
              </w:rPr>
            </w:pPr>
            <w:r>
              <w:rPr>
                <w:rFonts w:hint="eastAsia" w:ascii="宋体" w:hAnsi="宋体" w:cs="宋体"/>
                <w:color w:val="auto"/>
                <w:spacing w:val="-6"/>
                <w:sz w:val="21"/>
                <w:szCs w:val="21"/>
              </w:rPr>
              <w:t>人员配备较为合理、职责划分较为明确，</w:t>
            </w:r>
            <w:r>
              <w:rPr>
                <w:rFonts w:hint="eastAsia" w:ascii="宋体" w:hAnsi="宋体" w:cs="宋体"/>
                <w:color w:val="auto"/>
                <w:sz w:val="21"/>
                <w:szCs w:val="21"/>
              </w:rPr>
              <w:t>作业车辆及设备投入</w:t>
            </w:r>
            <w:r>
              <w:rPr>
                <w:rFonts w:hint="eastAsia" w:ascii="宋体" w:hAnsi="宋体" w:cs="宋体"/>
                <w:color w:val="auto"/>
                <w:kern w:val="0"/>
                <w:sz w:val="21"/>
                <w:szCs w:val="21"/>
              </w:rPr>
              <w:t>与本项目所需部分匹配、针对性较强、较合理实用，</w:t>
            </w:r>
            <w:r>
              <w:rPr>
                <w:rFonts w:hint="eastAsia" w:ascii="宋体" w:hAnsi="宋体" w:cs="宋体"/>
                <w:color w:val="auto"/>
                <w:sz w:val="21"/>
                <w:szCs w:val="21"/>
              </w:rPr>
              <w:t>进退场交接</w:t>
            </w:r>
            <w:r>
              <w:rPr>
                <w:rFonts w:hint="eastAsia" w:ascii="宋体" w:hAnsi="宋体"/>
                <w:color w:val="auto"/>
                <w:sz w:val="21"/>
                <w:szCs w:val="21"/>
              </w:rPr>
              <w:t>措施较合理，可行性较强，</w:t>
            </w:r>
            <w:r>
              <w:rPr>
                <w:rFonts w:hint="eastAsia" w:ascii="宋体" w:hAnsi="宋体" w:cs="宋体"/>
                <w:color w:val="auto"/>
                <w:spacing w:val="-6"/>
                <w:sz w:val="21"/>
                <w:szCs w:val="21"/>
              </w:rPr>
              <w:t>得</w:t>
            </w:r>
            <w:r>
              <w:rPr>
                <w:rFonts w:hint="eastAsia" w:ascii="宋体" w:hAnsi="宋体" w:cs="宋体"/>
                <w:color w:val="auto"/>
                <w:spacing w:val="-6"/>
                <w:sz w:val="21"/>
                <w:szCs w:val="21"/>
                <w:lang w:val="en-US" w:eastAsia="zh-CN"/>
              </w:rPr>
              <w:t>3</w:t>
            </w:r>
            <w:r>
              <w:rPr>
                <w:rFonts w:hint="eastAsia" w:ascii="宋体" w:hAnsi="宋体" w:cs="宋体"/>
                <w:color w:val="auto"/>
                <w:spacing w:val="-6"/>
                <w:sz w:val="21"/>
                <w:szCs w:val="21"/>
              </w:rPr>
              <w:t>分；</w:t>
            </w:r>
          </w:p>
          <w:p>
            <w:pPr>
              <w:adjustRightInd w:val="0"/>
              <w:snapToGrid w:val="0"/>
              <w:spacing w:line="370" w:lineRule="exact"/>
              <w:ind w:firstLine="396" w:firstLineChars="200"/>
              <w:rPr>
                <w:rFonts w:ascii="宋体" w:hAnsi="宋体" w:cs="宋体"/>
                <w:color w:val="auto"/>
                <w:spacing w:val="-6"/>
                <w:sz w:val="21"/>
                <w:szCs w:val="21"/>
              </w:rPr>
            </w:pPr>
            <w:r>
              <w:rPr>
                <w:rFonts w:hint="eastAsia" w:ascii="宋体" w:hAnsi="宋体" w:cs="宋体"/>
                <w:color w:val="auto"/>
                <w:spacing w:val="-6"/>
                <w:sz w:val="21"/>
                <w:szCs w:val="21"/>
              </w:rPr>
              <w:t>人员配备职责划分一般，</w:t>
            </w:r>
            <w:r>
              <w:rPr>
                <w:rFonts w:hint="eastAsia" w:ascii="宋体" w:hAnsi="宋体" w:cs="宋体"/>
                <w:color w:val="auto"/>
                <w:sz w:val="21"/>
                <w:szCs w:val="21"/>
              </w:rPr>
              <w:t>作业车辆及设备投入</w:t>
            </w:r>
            <w:r>
              <w:rPr>
                <w:rFonts w:hint="eastAsia" w:ascii="宋体" w:hAnsi="宋体" w:cs="宋体"/>
                <w:color w:val="auto"/>
                <w:kern w:val="0"/>
                <w:sz w:val="21"/>
                <w:szCs w:val="21"/>
              </w:rPr>
              <w:t>与本项目所需不匹配、无针对性，</w:t>
            </w:r>
            <w:r>
              <w:rPr>
                <w:rFonts w:hint="eastAsia" w:ascii="宋体" w:hAnsi="宋体" w:cs="宋体"/>
                <w:color w:val="auto"/>
                <w:sz w:val="21"/>
                <w:szCs w:val="21"/>
              </w:rPr>
              <w:t>进退场交接</w:t>
            </w:r>
            <w:r>
              <w:rPr>
                <w:rFonts w:hint="eastAsia" w:ascii="宋体" w:hAnsi="宋体"/>
                <w:color w:val="auto"/>
                <w:sz w:val="21"/>
                <w:szCs w:val="21"/>
              </w:rPr>
              <w:t>措施简单，可行性一般</w:t>
            </w:r>
            <w:r>
              <w:rPr>
                <w:rFonts w:hint="eastAsia" w:ascii="宋体" w:hAnsi="宋体" w:cs="宋体"/>
                <w:color w:val="auto"/>
                <w:spacing w:val="-6"/>
                <w:sz w:val="21"/>
                <w:szCs w:val="21"/>
              </w:rPr>
              <w:t>得1分；</w:t>
            </w:r>
          </w:p>
          <w:p>
            <w:pPr>
              <w:adjustRightInd w:val="0"/>
              <w:snapToGrid w:val="0"/>
              <w:spacing w:line="370" w:lineRule="exact"/>
              <w:ind w:firstLine="420" w:firstLineChars="200"/>
              <w:rPr>
                <w:rFonts w:ascii="宋体" w:hAnsi="宋体" w:cs="宋体"/>
                <w:color w:val="auto"/>
                <w:sz w:val="21"/>
                <w:szCs w:val="21"/>
              </w:rPr>
            </w:pPr>
            <w:r>
              <w:rPr>
                <w:rFonts w:hint="eastAsia" w:ascii="宋体" w:hAnsi="宋体" w:cs="宋体"/>
                <w:color w:val="auto"/>
                <w:kern w:val="0"/>
                <w:sz w:val="21"/>
                <w:szCs w:val="21"/>
              </w:rPr>
              <w:t>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7" w:type="dxa"/>
            <w:vAlign w:val="center"/>
          </w:tcPr>
          <w:p>
            <w:pPr>
              <w:spacing w:line="370" w:lineRule="exact"/>
              <w:jc w:val="center"/>
              <w:rPr>
                <w:color w:val="auto"/>
                <w:sz w:val="21"/>
                <w:szCs w:val="21"/>
              </w:rPr>
            </w:pPr>
            <w:r>
              <w:rPr>
                <w:rFonts w:hint="eastAsia"/>
                <w:color w:val="auto"/>
                <w:sz w:val="21"/>
                <w:szCs w:val="21"/>
              </w:rPr>
              <w:t>5</w:t>
            </w:r>
          </w:p>
        </w:tc>
        <w:tc>
          <w:tcPr>
            <w:tcW w:w="1140" w:type="dxa"/>
            <w:vAlign w:val="center"/>
          </w:tcPr>
          <w:p>
            <w:pPr>
              <w:spacing w:line="370" w:lineRule="exact"/>
              <w:jc w:val="center"/>
              <w:rPr>
                <w:color w:val="auto"/>
                <w:sz w:val="21"/>
                <w:szCs w:val="21"/>
              </w:rPr>
            </w:pPr>
            <w:r>
              <w:rPr>
                <w:rFonts w:hint="eastAsia" w:ascii="宋体" w:hAnsi="宋体" w:cs="宋体"/>
                <w:color w:val="auto"/>
                <w:kern w:val="0"/>
                <w:sz w:val="21"/>
                <w:szCs w:val="21"/>
              </w:rPr>
              <w:t>安全作业保障措施</w:t>
            </w:r>
          </w:p>
        </w:tc>
        <w:tc>
          <w:tcPr>
            <w:tcW w:w="705" w:type="dxa"/>
            <w:vAlign w:val="center"/>
          </w:tcPr>
          <w:p>
            <w:pPr>
              <w:spacing w:line="370" w:lineRule="exact"/>
              <w:jc w:val="center"/>
              <w:rPr>
                <w:color w:val="auto"/>
                <w:sz w:val="21"/>
                <w:szCs w:val="21"/>
              </w:rPr>
            </w:pPr>
            <w:r>
              <w:rPr>
                <w:rFonts w:hint="eastAsia"/>
                <w:color w:val="auto"/>
                <w:sz w:val="21"/>
                <w:szCs w:val="21"/>
              </w:rPr>
              <w:t>3</w:t>
            </w:r>
          </w:p>
        </w:tc>
        <w:tc>
          <w:tcPr>
            <w:tcW w:w="6658" w:type="dxa"/>
            <w:vAlign w:val="center"/>
          </w:tcPr>
          <w:p>
            <w:pPr>
              <w:adjustRightInd w:val="0"/>
              <w:snapToGrid w:val="0"/>
              <w:spacing w:line="370" w:lineRule="exact"/>
              <w:ind w:firstLine="420" w:firstLineChars="200"/>
              <w:jc w:val="left"/>
              <w:rPr>
                <w:rFonts w:ascii="宋体" w:hAnsi="宋体" w:cs="宋体"/>
                <w:color w:val="auto"/>
                <w:sz w:val="21"/>
                <w:szCs w:val="21"/>
              </w:rPr>
            </w:pPr>
            <w:r>
              <w:rPr>
                <w:rFonts w:hint="eastAsia" w:ascii="宋体" w:hAnsi="宋体" w:cs="宋体"/>
                <w:color w:val="auto"/>
                <w:sz w:val="21"/>
                <w:szCs w:val="21"/>
              </w:rPr>
              <w:t>响应人建立的安全作业、风险防控工作管理方案：</w:t>
            </w:r>
          </w:p>
          <w:p>
            <w:pPr>
              <w:adjustRightInd w:val="0"/>
              <w:snapToGrid w:val="0"/>
              <w:spacing w:line="370" w:lineRule="exact"/>
              <w:ind w:firstLine="420" w:firstLineChars="200"/>
              <w:jc w:val="left"/>
              <w:rPr>
                <w:rFonts w:ascii="宋体" w:hAnsi="宋体" w:cs="宋体"/>
                <w:color w:val="auto"/>
                <w:sz w:val="21"/>
                <w:szCs w:val="21"/>
              </w:rPr>
            </w:pPr>
            <w:r>
              <w:rPr>
                <w:rFonts w:hint="eastAsia" w:ascii="宋体" w:hAnsi="宋体" w:cs="宋体"/>
                <w:color w:val="auto"/>
                <w:sz w:val="21"/>
                <w:szCs w:val="21"/>
              </w:rPr>
              <w:t>方案制定针对性强，清晰且有切实有效的措施和控制标准的得3分；</w:t>
            </w:r>
          </w:p>
          <w:p>
            <w:pPr>
              <w:adjustRightInd w:val="0"/>
              <w:snapToGrid w:val="0"/>
              <w:spacing w:line="370" w:lineRule="exact"/>
              <w:ind w:firstLine="420" w:firstLineChars="200"/>
              <w:jc w:val="left"/>
              <w:rPr>
                <w:rFonts w:ascii="宋体" w:hAnsi="宋体" w:cs="宋体"/>
                <w:color w:val="auto"/>
                <w:sz w:val="21"/>
                <w:szCs w:val="21"/>
              </w:rPr>
            </w:pPr>
            <w:r>
              <w:rPr>
                <w:rFonts w:hint="eastAsia" w:ascii="宋体" w:hAnsi="宋体" w:cs="宋体"/>
                <w:color w:val="auto"/>
                <w:sz w:val="21"/>
                <w:szCs w:val="21"/>
              </w:rPr>
              <w:t>方案精细度差、合理程度和操作性一般的得</w:t>
            </w:r>
            <w:r>
              <w:rPr>
                <w:rFonts w:ascii="宋体" w:hAnsi="宋体" w:cs="宋体"/>
                <w:color w:val="auto"/>
                <w:sz w:val="21"/>
                <w:szCs w:val="21"/>
              </w:rPr>
              <w:t>2</w:t>
            </w:r>
            <w:r>
              <w:rPr>
                <w:rFonts w:hint="eastAsia" w:ascii="宋体" w:hAnsi="宋体" w:cs="宋体"/>
                <w:color w:val="auto"/>
                <w:sz w:val="21"/>
                <w:szCs w:val="21"/>
              </w:rPr>
              <w:t>分；</w:t>
            </w:r>
          </w:p>
          <w:p>
            <w:pPr>
              <w:adjustRightInd w:val="0"/>
              <w:snapToGrid w:val="0"/>
              <w:spacing w:line="370" w:lineRule="exact"/>
              <w:ind w:firstLine="420" w:firstLineChars="200"/>
              <w:jc w:val="left"/>
              <w:rPr>
                <w:rFonts w:ascii="宋体" w:hAnsi="宋体" w:cs="宋体"/>
                <w:color w:val="auto"/>
                <w:sz w:val="21"/>
                <w:szCs w:val="21"/>
              </w:rPr>
            </w:pPr>
            <w:r>
              <w:rPr>
                <w:rFonts w:hint="eastAsia" w:ascii="宋体" w:hAnsi="宋体" w:cs="宋体"/>
                <w:color w:val="auto"/>
                <w:sz w:val="21"/>
                <w:szCs w:val="21"/>
              </w:rPr>
              <w:t>概念笼统、操作性差无针对性的得</w:t>
            </w:r>
            <w:r>
              <w:rPr>
                <w:rFonts w:ascii="宋体" w:hAnsi="宋体" w:cs="宋体"/>
                <w:color w:val="auto"/>
                <w:sz w:val="21"/>
                <w:szCs w:val="21"/>
              </w:rPr>
              <w:t>1</w:t>
            </w:r>
            <w:r>
              <w:rPr>
                <w:rFonts w:hint="eastAsia" w:ascii="宋体" w:hAnsi="宋体" w:cs="宋体"/>
                <w:color w:val="auto"/>
                <w:sz w:val="21"/>
                <w:szCs w:val="21"/>
              </w:rPr>
              <w:t>分；</w:t>
            </w:r>
          </w:p>
          <w:p>
            <w:pPr>
              <w:widowControl/>
              <w:spacing w:line="370" w:lineRule="exact"/>
              <w:ind w:firstLine="420" w:firstLineChars="200"/>
              <w:jc w:val="left"/>
              <w:rPr>
                <w:color w:val="auto"/>
                <w:sz w:val="21"/>
                <w:szCs w:val="21"/>
              </w:rPr>
            </w:pPr>
            <w:r>
              <w:rPr>
                <w:rFonts w:hint="eastAsia" w:ascii="宋体" w:hAnsi="宋体" w:cs="宋体"/>
                <w:color w:val="auto"/>
                <w:kern w:val="0"/>
                <w:sz w:val="21"/>
                <w:szCs w:val="21"/>
              </w:rPr>
              <w:t>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7" w:type="dxa"/>
            <w:vAlign w:val="center"/>
          </w:tcPr>
          <w:p>
            <w:pPr>
              <w:spacing w:line="370" w:lineRule="exact"/>
              <w:jc w:val="center"/>
              <w:rPr>
                <w:color w:val="auto"/>
                <w:sz w:val="21"/>
                <w:szCs w:val="21"/>
              </w:rPr>
            </w:pPr>
            <w:r>
              <w:rPr>
                <w:rFonts w:hint="eastAsia"/>
                <w:color w:val="auto"/>
                <w:sz w:val="21"/>
                <w:szCs w:val="21"/>
              </w:rPr>
              <w:t>6</w:t>
            </w:r>
          </w:p>
        </w:tc>
        <w:tc>
          <w:tcPr>
            <w:tcW w:w="1140" w:type="dxa"/>
            <w:vAlign w:val="center"/>
          </w:tcPr>
          <w:p>
            <w:pPr>
              <w:spacing w:line="370" w:lineRule="exact"/>
              <w:jc w:val="center"/>
              <w:rPr>
                <w:color w:val="auto"/>
                <w:sz w:val="21"/>
                <w:szCs w:val="21"/>
              </w:rPr>
            </w:pPr>
            <w:r>
              <w:rPr>
                <w:rFonts w:hint="eastAsia" w:ascii="宋体" w:hAnsi="宋体" w:cs="宋体"/>
                <w:color w:val="auto"/>
                <w:kern w:val="0"/>
                <w:sz w:val="21"/>
                <w:szCs w:val="21"/>
              </w:rPr>
              <w:t>恶劣天气应急预案</w:t>
            </w:r>
          </w:p>
        </w:tc>
        <w:tc>
          <w:tcPr>
            <w:tcW w:w="705" w:type="dxa"/>
            <w:vAlign w:val="center"/>
          </w:tcPr>
          <w:p>
            <w:pPr>
              <w:spacing w:line="370" w:lineRule="exact"/>
              <w:jc w:val="center"/>
              <w:rPr>
                <w:color w:val="auto"/>
                <w:sz w:val="21"/>
                <w:szCs w:val="21"/>
              </w:rPr>
            </w:pPr>
            <w:r>
              <w:rPr>
                <w:rFonts w:hint="eastAsia"/>
                <w:color w:val="auto"/>
                <w:sz w:val="21"/>
                <w:szCs w:val="21"/>
              </w:rPr>
              <w:t>3</w:t>
            </w:r>
          </w:p>
        </w:tc>
        <w:tc>
          <w:tcPr>
            <w:tcW w:w="6658" w:type="dxa"/>
            <w:vAlign w:val="center"/>
          </w:tcPr>
          <w:p>
            <w:pPr>
              <w:adjustRightInd w:val="0"/>
              <w:snapToGrid w:val="0"/>
              <w:spacing w:line="370" w:lineRule="exact"/>
              <w:ind w:firstLine="420" w:firstLineChars="200"/>
              <w:rPr>
                <w:rFonts w:ascii="宋体" w:hAnsi="宋体" w:cs="宋体"/>
                <w:color w:val="auto"/>
                <w:sz w:val="21"/>
                <w:szCs w:val="21"/>
              </w:rPr>
            </w:pPr>
            <w:r>
              <w:rPr>
                <w:rFonts w:hint="eastAsia" w:ascii="宋体" w:hAnsi="宋体" w:cs="宋体"/>
                <w:color w:val="auto"/>
                <w:sz w:val="21"/>
                <w:szCs w:val="21"/>
              </w:rPr>
              <w:t>响应人制定的恶劣天气应急预案：</w:t>
            </w:r>
          </w:p>
          <w:p>
            <w:pPr>
              <w:adjustRightInd w:val="0"/>
              <w:snapToGrid w:val="0"/>
              <w:spacing w:line="370" w:lineRule="exact"/>
              <w:ind w:firstLine="420" w:firstLineChars="200"/>
              <w:rPr>
                <w:rFonts w:ascii="宋体" w:hAnsi="宋体" w:cs="宋体"/>
                <w:color w:val="auto"/>
                <w:sz w:val="21"/>
                <w:szCs w:val="21"/>
              </w:rPr>
            </w:pPr>
            <w:r>
              <w:rPr>
                <w:rFonts w:hint="eastAsia" w:ascii="宋体" w:hAnsi="宋体" w:cs="宋体"/>
                <w:color w:val="auto"/>
                <w:sz w:val="21"/>
                <w:szCs w:val="21"/>
              </w:rPr>
              <w:t>对可能发生的应急情况分析深入，见解到位、全面、完善、防范及应对措施精细、准确，整体针对性强，得3分；</w:t>
            </w:r>
          </w:p>
          <w:p>
            <w:pPr>
              <w:adjustRightInd w:val="0"/>
              <w:snapToGrid w:val="0"/>
              <w:spacing w:line="370" w:lineRule="exact"/>
              <w:ind w:firstLine="420" w:firstLineChars="200"/>
              <w:rPr>
                <w:rFonts w:ascii="宋体" w:hAnsi="宋体" w:cs="宋体"/>
                <w:color w:val="auto"/>
                <w:sz w:val="21"/>
                <w:szCs w:val="21"/>
              </w:rPr>
            </w:pPr>
            <w:r>
              <w:rPr>
                <w:rFonts w:hint="eastAsia" w:ascii="宋体" w:hAnsi="宋体" w:cs="宋体"/>
                <w:color w:val="auto"/>
                <w:sz w:val="21"/>
                <w:szCs w:val="21"/>
              </w:rPr>
              <w:t>问题分析较为深入，应对措施可行，针对性较强得2分；</w:t>
            </w:r>
          </w:p>
          <w:p>
            <w:pPr>
              <w:adjustRightInd w:val="0"/>
              <w:snapToGrid w:val="0"/>
              <w:spacing w:line="370" w:lineRule="exact"/>
              <w:ind w:firstLine="420" w:firstLineChars="200"/>
              <w:rPr>
                <w:rFonts w:ascii="宋体" w:hAnsi="宋体" w:cs="宋体"/>
                <w:color w:val="auto"/>
                <w:sz w:val="21"/>
                <w:szCs w:val="21"/>
              </w:rPr>
            </w:pPr>
            <w:r>
              <w:rPr>
                <w:rFonts w:hint="eastAsia" w:ascii="宋体" w:hAnsi="宋体" w:cs="宋体"/>
                <w:color w:val="auto"/>
                <w:sz w:val="21"/>
                <w:szCs w:val="21"/>
              </w:rPr>
              <w:t>方案笼统、简单，应对措施缺乏合理性，针对性差得</w:t>
            </w:r>
            <w:r>
              <w:rPr>
                <w:rFonts w:ascii="宋体" w:hAnsi="宋体" w:cs="宋体"/>
                <w:color w:val="auto"/>
                <w:sz w:val="21"/>
                <w:szCs w:val="21"/>
              </w:rPr>
              <w:t>1</w:t>
            </w:r>
            <w:r>
              <w:rPr>
                <w:rFonts w:hint="eastAsia" w:ascii="宋体" w:hAnsi="宋体" w:cs="宋体"/>
                <w:color w:val="auto"/>
                <w:sz w:val="21"/>
                <w:szCs w:val="21"/>
              </w:rPr>
              <w:t>分；</w:t>
            </w:r>
          </w:p>
          <w:p>
            <w:pPr>
              <w:widowControl/>
              <w:spacing w:line="370" w:lineRule="exact"/>
              <w:ind w:firstLine="420" w:firstLineChars="200"/>
              <w:jc w:val="left"/>
              <w:rPr>
                <w:color w:val="auto"/>
                <w:sz w:val="21"/>
                <w:szCs w:val="21"/>
              </w:rPr>
            </w:pPr>
            <w:r>
              <w:rPr>
                <w:rFonts w:hint="eastAsia" w:ascii="宋体" w:hAnsi="宋体" w:cs="宋体"/>
                <w:color w:val="auto"/>
                <w:kern w:val="0"/>
                <w:sz w:val="21"/>
                <w:szCs w:val="21"/>
              </w:rPr>
              <w:t>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7" w:type="dxa"/>
            <w:vAlign w:val="center"/>
          </w:tcPr>
          <w:p>
            <w:pPr>
              <w:spacing w:line="370" w:lineRule="exact"/>
              <w:jc w:val="center"/>
              <w:rPr>
                <w:color w:val="auto"/>
                <w:sz w:val="21"/>
                <w:szCs w:val="21"/>
              </w:rPr>
            </w:pPr>
            <w:r>
              <w:rPr>
                <w:rFonts w:hint="eastAsia"/>
                <w:color w:val="auto"/>
                <w:sz w:val="21"/>
                <w:szCs w:val="21"/>
              </w:rPr>
              <w:t>7</w:t>
            </w:r>
          </w:p>
        </w:tc>
        <w:tc>
          <w:tcPr>
            <w:tcW w:w="1140" w:type="dxa"/>
            <w:vAlign w:val="center"/>
          </w:tcPr>
          <w:p>
            <w:pPr>
              <w:spacing w:line="370" w:lineRule="exact"/>
              <w:jc w:val="center"/>
              <w:rPr>
                <w:rFonts w:ascii="宋体" w:hAnsi="宋体" w:cs="宋体"/>
                <w:color w:val="auto"/>
                <w:kern w:val="0"/>
                <w:sz w:val="21"/>
                <w:szCs w:val="21"/>
              </w:rPr>
            </w:pPr>
            <w:r>
              <w:rPr>
                <w:rFonts w:hint="eastAsia" w:ascii="宋体" w:hAnsi="宋体" w:cs="宋体"/>
                <w:color w:val="auto"/>
                <w:kern w:val="0"/>
                <w:sz w:val="21"/>
                <w:szCs w:val="21"/>
              </w:rPr>
              <w:t>突发事件应急预案</w:t>
            </w:r>
          </w:p>
        </w:tc>
        <w:tc>
          <w:tcPr>
            <w:tcW w:w="705" w:type="dxa"/>
            <w:vAlign w:val="center"/>
          </w:tcPr>
          <w:p>
            <w:pPr>
              <w:spacing w:line="370" w:lineRule="exact"/>
              <w:jc w:val="center"/>
              <w:rPr>
                <w:color w:val="auto"/>
                <w:sz w:val="21"/>
                <w:szCs w:val="21"/>
              </w:rPr>
            </w:pPr>
            <w:r>
              <w:rPr>
                <w:rFonts w:hint="eastAsia"/>
                <w:color w:val="auto"/>
                <w:sz w:val="21"/>
                <w:szCs w:val="21"/>
              </w:rPr>
              <w:t>3</w:t>
            </w:r>
          </w:p>
        </w:tc>
        <w:tc>
          <w:tcPr>
            <w:tcW w:w="6658" w:type="dxa"/>
            <w:vAlign w:val="center"/>
          </w:tcPr>
          <w:p>
            <w:pPr>
              <w:widowControl/>
              <w:spacing w:line="37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根据响应文件中是否提供应急处理预案、突发事件处理方案，就其突发事件处理方法是否及时、措施是否得当，并就其方案的可行性和完整性进行综合评价：</w:t>
            </w:r>
          </w:p>
          <w:p>
            <w:pPr>
              <w:widowControl/>
              <w:spacing w:line="37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对可能发生的应急情况分析深入，见解到位、全面、完善、防范及应对措施精细、准确，整体针对性强，得3分；</w:t>
            </w:r>
          </w:p>
          <w:p>
            <w:pPr>
              <w:widowControl/>
              <w:spacing w:line="37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问题分析较为深入，应对措施可行，针对性较强得2分；</w:t>
            </w:r>
          </w:p>
          <w:p>
            <w:pPr>
              <w:widowControl/>
              <w:spacing w:line="37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方案笼统、简单，应对措施缺乏合理性，针对性差得1分；</w:t>
            </w:r>
          </w:p>
          <w:p>
            <w:pPr>
              <w:widowControl/>
              <w:spacing w:line="37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7" w:type="dxa"/>
            <w:vAlign w:val="center"/>
          </w:tcPr>
          <w:p>
            <w:pPr>
              <w:spacing w:line="370" w:lineRule="exact"/>
              <w:jc w:val="center"/>
              <w:rPr>
                <w:color w:val="auto"/>
                <w:sz w:val="21"/>
                <w:szCs w:val="21"/>
              </w:rPr>
            </w:pPr>
            <w:r>
              <w:rPr>
                <w:rFonts w:hint="eastAsia"/>
                <w:color w:val="auto"/>
                <w:sz w:val="21"/>
                <w:szCs w:val="21"/>
              </w:rPr>
              <w:t>8</w:t>
            </w:r>
          </w:p>
        </w:tc>
        <w:tc>
          <w:tcPr>
            <w:tcW w:w="1140" w:type="dxa"/>
            <w:vAlign w:val="center"/>
          </w:tcPr>
          <w:p>
            <w:pPr>
              <w:spacing w:line="370" w:lineRule="exact"/>
              <w:jc w:val="center"/>
              <w:rPr>
                <w:color w:val="auto"/>
                <w:sz w:val="21"/>
                <w:szCs w:val="21"/>
              </w:rPr>
            </w:pPr>
            <w:r>
              <w:rPr>
                <w:rFonts w:hint="eastAsia" w:ascii="宋体" w:hAnsi="宋体" w:cs="宋体"/>
                <w:color w:val="auto"/>
                <w:kern w:val="0"/>
                <w:sz w:val="21"/>
                <w:szCs w:val="21"/>
              </w:rPr>
              <w:t>重大活动，检查评比和节假日保障措施</w:t>
            </w:r>
          </w:p>
        </w:tc>
        <w:tc>
          <w:tcPr>
            <w:tcW w:w="705" w:type="dxa"/>
            <w:vAlign w:val="center"/>
          </w:tcPr>
          <w:p>
            <w:pPr>
              <w:spacing w:line="370" w:lineRule="exact"/>
              <w:jc w:val="center"/>
              <w:rPr>
                <w:color w:val="auto"/>
                <w:sz w:val="21"/>
                <w:szCs w:val="21"/>
              </w:rPr>
            </w:pPr>
            <w:r>
              <w:rPr>
                <w:rFonts w:hint="eastAsia"/>
                <w:color w:val="auto"/>
                <w:sz w:val="21"/>
                <w:szCs w:val="21"/>
              </w:rPr>
              <w:t>5</w:t>
            </w:r>
          </w:p>
        </w:tc>
        <w:tc>
          <w:tcPr>
            <w:tcW w:w="6658" w:type="dxa"/>
            <w:vAlign w:val="center"/>
          </w:tcPr>
          <w:p>
            <w:pPr>
              <w:widowControl/>
              <w:spacing w:line="37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根据响应文件中是否提供重大活动、检查评比和节假日保障方案，且具可操作性：</w:t>
            </w:r>
          </w:p>
          <w:p>
            <w:pPr>
              <w:widowControl/>
              <w:spacing w:line="37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保障措施科学、合理，操作性强，针对性强，得5分；</w:t>
            </w:r>
          </w:p>
          <w:p>
            <w:pPr>
              <w:widowControl/>
              <w:spacing w:line="37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保障措施较科学、合理，操作性较强，针对性较强，得3未提供的不得分；</w:t>
            </w:r>
          </w:p>
          <w:p>
            <w:pPr>
              <w:widowControl/>
              <w:spacing w:line="37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措施简单、笼统，一般的，得1分；</w:t>
            </w:r>
          </w:p>
          <w:p>
            <w:pPr>
              <w:widowControl/>
              <w:spacing w:line="370" w:lineRule="exact"/>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未提供的不得分。</w:t>
            </w:r>
          </w:p>
        </w:tc>
      </w:tr>
    </w:tbl>
    <w:p>
      <w:pPr>
        <w:rPr>
          <w:color w:val="auto"/>
        </w:rPr>
      </w:pPr>
      <w:r>
        <w:rPr>
          <w:rFonts w:hint="eastAsia"/>
          <w:color w:val="auto"/>
        </w:rPr>
        <w:br w:type="page"/>
      </w:r>
    </w:p>
    <w:p>
      <w:pPr>
        <w:tabs>
          <w:tab w:val="left" w:pos="3360"/>
        </w:tabs>
        <w:spacing w:line="360" w:lineRule="auto"/>
        <w:ind w:firstLine="2530" w:firstLineChars="700"/>
        <w:outlineLvl w:val="0"/>
        <w:rPr>
          <w:rFonts w:ascii="宋体" w:hAnsi="宋体" w:cs="宋体"/>
          <w:b/>
          <w:color w:val="auto"/>
          <w:sz w:val="36"/>
          <w:szCs w:val="32"/>
        </w:rPr>
      </w:pPr>
      <w:r>
        <w:rPr>
          <w:rFonts w:hint="eastAsia" w:ascii="宋体" w:hAnsi="宋体" w:cs="宋体"/>
          <w:b/>
          <w:color w:val="auto"/>
          <w:sz w:val="36"/>
          <w:szCs w:val="32"/>
        </w:rPr>
        <w:t>第六部分  合同条款</w:t>
      </w:r>
    </w:p>
    <w:p>
      <w:pPr>
        <w:spacing w:line="440" w:lineRule="exact"/>
        <w:rPr>
          <w:rFonts w:hint="eastAsia" w:ascii="宋体" w:hAnsi="宋体"/>
          <w:color w:val="auto"/>
          <w:sz w:val="21"/>
          <w:szCs w:val="21"/>
        </w:rPr>
      </w:pPr>
      <w:r>
        <w:rPr>
          <w:rFonts w:hint="eastAsia" w:ascii="宋体" w:hAnsi="宋体"/>
          <w:color w:val="auto"/>
          <w:sz w:val="21"/>
          <w:szCs w:val="21"/>
        </w:rPr>
        <w:t>甲方：</w:t>
      </w:r>
      <w:r>
        <w:rPr>
          <w:rFonts w:hint="eastAsia"/>
          <w:color w:val="auto"/>
          <w:sz w:val="21"/>
          <w:szCs w:val="21"/>
        </w:rPr>
        <w:t xml:space="preserve">                                      </w:t>
      </w:r>
      <w:r>
        <w:rPr>
          <w:rFonts w:hint="eastAsia" w:ascii="宋体" w:hAnsi="宋体"/>
          <w:color w:val="auto"/>
          <w:sz w:val="21"/>
          <w:szCs w:val="21"/>
        </w:rPr>
        <w:t xml:space="preserve"> （以下简称甲方）</w:t>
      </w:r>
    </w:p>
    <w:p>
      <w:pPr>
        <w:spacing w:line="440" w:lineRule="exact"/>
        <w:rPr>
          <w:rFonts w:hint="eastAsia" w:ascii="宋体" w:hAnsi="宋体"/>
          <w:color w:val="auto"/>
          <w:sz w:val="21"/>
          <w:szCs w:val="21"/>
        </w:rPr>
      </w:pPr>
      <w:r>
        <w:rPr>
          <w:rFonts w:hint="eastAsia" w:ascii="宋体" w:hAnsi="宋体"/>
          <w:color w:val="auto"/>
          <w:sz w:val="21"/>
          <w:szCs w:val="21"/>
        </w:rPr>
        <w:t>乙方：                                       （以下简称乙方）</w:t>
      </w:r>
    </w:p>
    <w:p>
      <w:pPr>
        <w:tabs>
          <w:tab w:val="left" w:pos="5465"/>
        </w:tabs>
        <w:adjustRightInd w:val="0"/>
        <w:snapToGrid w:val="0"/>
        <w:spacing w:line="440" w:lineRule="exact"/>
        <w:ind w:firstLine="420" w:firstLineChars="200"/>
        <w:rPr>
          <w:rFonts w:hint="eastAsia" w:ascii="宋体" w:hAnsi="宋体"/>
          <w:color w:val="auto"/>
          <w:sz w:val="21"/>
          <w:szCs w:val="21"/>
        </w:rPr>
      </w:pPr>
      <w:r>
        <w:rPr>
          <w:rFonts w:hint="eastAsia" w:ascii="宋体" w:hAnsi="宋体"/>
          <w:color w:val="auto"/>
          <w:sz w:val="21"/>
          <w:szCs w:val="21"/>
        </w:rPr>
        <w:t>甲乙双方就</w:t>
      </w:r>
      <w:r>
        <w:rPr>
          <w:rFonts w:hint="eastAsia" w:ascii="宋体" w:hAnsi="宋体"/>
          <w:color w:val="auto"/>
          <w:sz w:val="21"/>
          <w:szCs w:val="21"/>
          <w:u w:val="single"/>
        </w:rPr>
        <w:t xml:space="preserve">                            </w:t>
      </w:r>
      <w:r>
        <w:rPr>
          <w:rFonts w:hint="eastAsia" w:ascii="宋体" w:hAnsi="宋体"/>
          <w:color w:val="auto"/>
          <w:sz w:val="21"/>
          <w:szCs w:val="21"/>
        </w:rPr>
        <w:t xml:space="preserve"> 项目签订本合同书。</w:t>
      </w:r>
    </w:p>
    <w:p>
      <w:pPr>
        <w:spacing w:line="440" w:lineRule="exact"/>
        <w:ind w:firstLine="413" w:firstLineChars="196"/>
        <w:rPr>
          <w:rFonts w:hint="eastAsia" w:ascii="宋体" w:hAnsi="宋体"/>
          <w:b/>
          <w:color w:val="auto"/>
          <w:sz w:val="21"/>
          <w:szCs w:val="21"/>
        </w:rPr>
      </w:pPr>
      <w:r>
        <w:rPr>
          <w:rFonts w:hint="eastAsia" w:ascii="宋体" w:hAnsi="宋体"/>
          <w:b/>
          <w:color w:val="auto"/>
          <w:sz w:val="21"/>
          <w:szCs w:val="21"/>
        </w:rPr>
        <w:t>一、合同内容</w:t>
      </w:r>
    </w:p>
    <w:p>
      <w:pPr>
        <w:spacing w:line="440" w:lineRule="exact"/>
        <w:ind w:firstLine="420" w:firstLineChars="200"/>
        <w:jc w:val="left"/>
        <w:outlineLvl w:val="0"/>
        <w:rPr>
          <w:rFonts w:hint="eastAsia" w:ascii="宋体" w:hAnsi="宋体"/>
          <w:color w:val="auto"/>
          <w:sz w:val="21"/>
          <w:szCs w:val="21"/>
        </w:rPr>
      </w:pPr>
      <w:bookmarkStart w:id="65" w:name="_Toc19456612"/>
      <w:bookmarkStart w:id="66" w:name="_Toc13909123"/>
      <w:r>
        <w:rPr>
          <w:rFonts w:hint="eastAsia" w:ascii="宋体" w:hAnsi="宋体"/>
          <w:color w:val="auto"/>
          <w:sz w:val="21"/>
          <w:szCs w:val="21"/>
        </w:rPr>
        <w:t>1、服务范围：</w:t>
      </w:r>
      <w:bookmarkEnd w:id="65"/>
      <w:bookmarkEnd w:id="66"/>
    </w:p>
    <w:p>
      <w:pPr>
        <w:keepNext w:val="0"/>
        <w:keepLines w:val="0"/>
        <w:pageBreakBefore w:val="0"/>
        <w:widowControl w:val="0"/>
        <w:kinsoku/>
        <w:wordWrap/>
        <w:overflowPunct/>
        <w:topLinePunct w:val="0"/>
        <w:autoSpaceDE/>
        <w:autoSpaceDN/>
        <w:bidi w:val="0"/>
        <w:spacing w:line="420" w:lineRule="exact"/>
        <w:ind w:firstLine="420" w:firstLineChars="200"/>
        <w:jc w:val="left"/>
        <w:textAlignment w:val="auto"/>
        <w:outlineLvl w:val="0"/>
        <w:rPr>
          <w:color w:val="auto"/>
          <w:sz w:val="21"/>
          <w:szCs w:val="21"/>
        </w:rPr>
      </w:pPr>
      <w:r>
        <w:rPr>
          <w:rFonts w:hint="eastAsia"/>
          <w:color w:val="auto"/>
          <w:sz w:val="21"/>
          <w:szCs w:val="21"/>
        </w:rPr>
        <w:t>（1）a、对各村委的所有自然村的垃圾收集点的垃圾（包括但不限于垃圾收集房、垃圾收集池、垃圾桶、垃圾收集亭等）运至儒林镇生活垃圾综合处置站，做到日产日清；</w:t>
      </w:r>
    </w:p>
    <w:p>
      <w:pPr>
        <w:keepNext w:val="0"/>
        <w:keepLines w:val="0"/>
        <w:pageBreakBefore w:val="0"/>
        <w:widowControl w:val="0"/>
        <w:kinsoku/>
        <w:wordWrap/>
        <w:overflowPunct/>
        <w:topLinePunct w:val="0"/>
        <w:autoSpaceDE/>
        <w:autoSpaceDN/>
        <w:bidi w:val="0"/>
        <w:spacing w:line="420" w:lineRule="exact"/>
        <w:ind w:firstLine="420" w:firstLineChars="200"/>
        <w:jc w:val="left"/>
        <w:textAlignment w:val="auto"/>
        <w:outlineLvl w:val="0"/>
        <w:rPr>
          <w:color w:val="auto"/>
          <w:sz w:val="21"/>
          <w:szCs w:val="21"/>
        </w:rPr>
      </w:pPr>
      <w:r>
        <w:rPr>
          <w:rFonts w:hint="eastAsia"/>
          <w:color w:val="auto"/>
          <w:sz w:val="21"/>
          <w:szCs w:val="21"/>
        </w:rPr>
        <w:t>b、各自然村内村庄卫生保洁、白色垃圾清理、农户家前屋后乱堆乱放的整理、乱涂乱画、乱张贴等广告的清除、村庄内塘沟渠漂浮物</w:t>
      </w:r>
      <w:r>
        <w:rPr>
          <w:rFonts w:hint="eastAsia"/>
          <w:color w:val="auto"/>
          <w:sz w:val="21"/>
          <w:szCs w:val="21"/>
          <w:lang w:eastAsia="zh-CN"/>
        </w:rPr>
        <w:t>（</w:t>
      </w:r>
      <w:r>
        <w:rPr>
          <w:rFonts w:hint="eastAsia"/>
          <w:color w:val="auto"/>
          <w:sz w:val="21"/>
          <w:szCs w:val="21"/>
          <w:lang w:val="en-US" w:eastAsia="zh-CN"/>
        </w:rPr>
        <w:t>含水生植物</w:t>
      </w:r>
      <w:r>
        <w:rPr>
          <w:rFonts w:hint="eastAsia"/>
          <w:color w:val="auto"/>
          <w:sz w:val="21"/>
          <w:szCs w:val="21"/>
          <w:lang w:eastAsia="zh-CN"/>
        </w:rPr>
        <w:t>）</w:t>
      </w:r>
      <w:r>
        <w:rPr>
          <w:rFonts w:hint="eastAsia"/>
          <w:color w:val="auto"/>
          <w:sz w:val="21"/>
          <w:szCs w:val="21"/>
        </w:rPr>
        <w:t>的清理、村庄主次干道保洁、主次干道两侧保洁、杂草清除及省县干道绿化区域内卫生保洁等；</w:t>
      </w:r>
    </w:p>
    <w:p>
      <w:pPr>
        <w:keepNext w:val="0"/>
        <w:keepLines w:val="0"/>
        <w:pageBreakBefore w:val="0"/>
        <w:widowControl w:val="0"/>
        <w:kinsoku/>
        <w:wordWrap/>
        <w:overflowPunct/>
        <w:topLinePunct w:val="0"/>
        <w:autoSpaceDE/>
        <w:autoSpaceDN/>
        <w:bidi w:val="0"/>
        <w:spacing w:line="420" w:lineRule="exact"/>
        <w:ind w:firstLine="420" w:firstLineChars="200"/>
        <w:jc w:val="left"/>
        <w:textAlignment w:val="auto"/>
        <w:outlineLvl w:val="0"/>
        <w:rPr>
          <w:color w:val="auto"/>
          <w:sz w:val="21"/>
          <w:szCs w:val="21"/>
        </w:rPr>
      </w:pPr>
      <w:r>
        <w:rPr>
          <w:rFonts w:hint="eastAsia"/>
          <w:color w:val="auto"/>
          <w:sz w:val="21"/>
          <w:szCs w:val="21"/>
        </w:rPr>
        <w:t>c、各自然村内垃圾收集点（包括但不限于垃圾收集房、垃圾收集池、垃圾桶、垃圾收集亭等）定期维护、清洗；</w:t>
      </w:r>
    </w:p>
    <w:p>
      <w:pPr>
        <w:keepNext w:val="0"/>
        <w:keepLines w:val="0"/>
        <w:pageBreakBefore w:val="0"/>
        <w:widowControl w:val="0"/>
        <w:kinsoku/>
        <w:wordWrap/>
        <w:overflowPunct/>
        <w:topLinePunct w:val="0"/>
        <w:autoSpaceDE/>
        <w:autoSpaceDN/>
        <w:bidi w:val="0"/>
        <w:spacing w:line="420" w:lineRule="exact"/>
        <w:ind w:firstLine="420" w:firstLineChars="200"/>
        <w:jc w:val="left"/>
        <w:textAlignment w:val="auto"/>
        <w:outlineLvl w:val="0"/>
        <w:rPr>
          <w:color w:val="auto"/>
          <w:sz w:val="21"/>
          <w:szCs w:val="21"/>
        </w:rPr>
      </w:pPr>
      <w:r>
        <w:rPr>
          <w:rFonts w:hint="eastAsia"/>
          <w:color w:val="auto"/>
          <w:sz w:val="21"/>
          <w:szCs w:val="21"/>
        </w:rPr>
        <w:t>d、各村自然村内公厕的保洁、管理及维护；</w:t>
      </w:r>
    </w:p>
    <w:p>
      <w:pPr>
        <w:keepNext w:val="0"/>
        <w:keepLines w:val="0"/>
        <w:pageBreakBefore w:val="0"/>
        <w:widowControl w:val="0"/>
        <w:kinsoku/>
        <w:wordWrap/>
        <w:overflowPunct/>
        <w:topLinePunct w:val="0"/>
        <w:autoSpaceDE/>
        <w:autoSpaceDN/>
        <w:bidi w:val="0"/>
        <w:spacing w:line="420" w:lineRule="exact"/>
        <w:ind w:firstLine="420" w:firstLineChars="200"/>
        <w:jc w:val="left"/>
        <w:textAlignment w:val="auto"/>
        <w:outlineLvl w:val="0"/>
        <w:rPr>
          <w:rFonts w:hint="eastAsia"/>
          <w:color w:val="auto"/>
          <w:sz w:val="21"/>
          <w:szCs w:val="21"/>
        </w:rPr>
      </w:pPr>
      <w:r>
        <w:rPr>
          <w:rFonts w:hint="eastAsia"/>
          <w:color w:val="auto"/>
          <w:sz w:val="21"/>
          <w:szCs w:val="21"/>
        </w:rPr>
        <w:t>e、村健身广场公共设施卫生保洁；</w:t>
      </w:r>
    </w:p>
    <w:p>
      <w:pPr>
        <w:keepNext w:val="0"/>
        <w:keepLines w:val="0"/>
        <w:pageBreakBefore w:val="0"/>
        <w:widowControl w:val="0"/>
        <w:kinsoku/>
        <w:wordWrap/>
        <w:overflowPunct/>
        <w:topLinePunct w:val="0"/>
        <w:autoSpaceDE/>
        <w:autoSpaceDN/>
        <w:bidi w:val="0"/>
        <w:spacing w:line="420" w:lineRule="exact"/>
        <w:ind w:firstLine="420" w:firstLineChars="200"/>
        <w:jc w:val="left"/>
        <w:textAlignment w:val="auto"/>
        <w:outlineLvl w:val="0"/>
        <w:rPr>
          <w:rFonts w:hint="eastAsia"/>
          <w:color w:val="auto"/>
          <w:sz w:val="21"/>
          <w:szCs w:val="21"/>
        </w:rPr>
      </w:pPr>
      <w:r>
        <w:rPr>
          <w:rFonts w:hint="eastAsia"/>
          <w:color w:val="auto"/>
          <w:sz w:val="21"/>
          <w:szCs w:val="21"/>
        </w:rPr>
        <w:t>f、村庄绿化的修剪及管养。</w:t>
      </w:r>
    </w:p>
    <w:p>
      <w:pPr>
        <w:keepNext w:val="0"/>
        <w:keepLines w:val="0"/>
        <w:pageBreakBefore w:val="0"/>
        <w:widowControl w:val="0"/>
        <w:kinsoku/>
        <w:wordWrap/>
        <w:overflowPunct/>
        <w:topLinePunct w:val="0"/>
        <w:autoSpaceDE/>
        <w:autoSpaceDN/>
        <w:bidi w:val="0"/>
        <w:spacing w:line="420" w:lineRule="exact"/>
        <w:ind w:firstLine="420" w:firstLineChars="200"/>
        <w:jc w:val="left"/>
        <w:textAlignment w:val="auto"/>
        <w:outlineLvl w:val="0"/>
        <w:rPr>
          <w:rFonts w:hint="eastAsia"/>
          <w:color w:val="auto"/>
          <w:sz w:val="21"/>
          <w:szCs w:val="21"/>
        </w:rPr>
      </w:pPr>
      <w:r>
        <w:rPr>
          <w:rFonts w:hint="eastAsia"/>
          <w:color w:val="auto"/>
          <w:sz w:val="21"/>
          <w:szCs w:val="21"/>
        </w:rPr>
        <w:t>（2）</w:t>
      </w:r>
      <w:r>
        <w:rPr>
          <w:rFonts w:hint="eastAsia" w:ascii="宋体" w:hAnsi="宋体"/>
          <w:color w:val="auto"/>
          <w:sz w:val="21"/>
          <w:szCs w:val="21"/>
        </w:rPr>
        <w:t>村（含道路）保洁、垃圾收集及清运、乱垦种清除、垃圾桶（箱、房）清洗保洁、乱张贴涂写清除、散养家禽管理、沟（塘、渠）漂浮物（</w:t>
      </w:r>
      <w:r>
        <w:rPr>
          <w:rFonts w:hint="eastAsia" w:ascii="宋体" w:hAnsi="宋体"/>
          <w:color w:val="auto"/>
          <w:sz w:val="21"/>
          <w:szCs w:val="21"/>
          <w:lang w:val="en-US" w:eastAsia="zh-CN"/>
        </w:rPr>
        <w:t>含</w:t>
      </w:r>
      <w:r>
        <w:rPr>
          <w:rFonts w:hint="eastAsia" w:ascii="宋体" w:hAnsi="宋体"/>
          <w:color w:val="auto"/>
          <w:sz w:val="21"/>
          <w:szCs w:val="21"/>
        </w:rPr>
        <w:t>垃圾）</w:t>
      </w:r>
      <w:r>
        <w:rPr>
          <w:rFonts w:hint="eastAsia" w:ascii="宋体" w:hAnsi="宋体"/>
          <w:color w:val="auto"/>
          <w:sz w:val="21"/>
          <w:szCs w:val="21"/>
          <w:lang w:eastAsia="zh-CN"/>
        </w:rPr>
        <w:t>、</w:t>
      </w:r>
      <w:r>
        <w:rPr>
          <w:rFonts w:hint="eastAsia"/>
          <w:color w:val="auto"/>
          <w:sz w:val="21"/>
          <w:szCs w:val="21"/>
          <w:lang w:val="en-US" w:eastAsia="zh-CN"/>
        </w:rPr>
        <w:t>水生植物</w:t>
      </w:r>
      <w:r>
        <w:rPr>
          <w:rFonts w:hint="eastAsia" w:ascii="宋体" w:hAnsi="宋体"/>
          <w:color w:val="auto"/>
          <w:sz w:val="21"/>
          <w:szCs w:val="21"/>
        </w:rPr>
        <w:t>清除、公厕保洁、绿化养护等，确保无以下现象：乱堆放、乱垦种、乱张贴、乱涂写、暴露垃圾（含建筑垃圾、废弃物）、焚烧垃圾、污水横溢、垃圾桶破损、垃圾桶（箱、房）脏乱、周边有暴露垃圾、散养家禽、沟（塘、渠）漂浮物（垃圾）保洁、绿化修剪不到位、杂草丛生等；各村庄服务范围以各自然村边界为界。</w:t>
      </w:r>
    </w:p>
    <w:p>
      <w:pPr>
        <w:spacing w:line="440" w:lineRule="exact"/>
        <w:ind w:firstLine="428" w:firstLineChars="200"/>
        <w:rPr>
          <w:rFonts w:hint="eastAsia" w:ascii="宋体" w:hAnsi="宋体" w:cs="宋体"/>
          <w:color w:val="auto"/>
          <w:kern w:val="0"/>
          <w:sz w:val="21"/>
          <w:szCs w:val="21"/>
        </w:rPr>
      </w:pPr>
      <w:r>
        <w:rPr>
          <w:rFonts w:hint="eastAsia" w:ascii="宋体" w:hAnsi="宋体" w:cs="宋体"/>
          <w:color w:val="auto"/>
          <w:spacing w:val="2"/>
          <w:sz w:val="21"/>
          <w:szCs w:val="21"/>
          <w:lang w:val="zh-CN"/>
        </w:rPr>
        <w:t>（</w:t>
      </w:r>
      <w:r>
        <w:rPr>
          <w:rFonts w:hint="eastAsia" w:ascii="宋体" w:hAnsi="宋体" w:cs="宋体"/>
          <w:color w:val="auto"/>
          <w:spacing w:val="2"/>
          <w:sz w:val="21"/>
          <w:szCs w:val="21"/>
          <w:lang w:val="en-US" w:eastAsia="zh-CN"/>
        </w:rPr>
        <w:t>3</w:t>
      </w:r>
      <w:r>
        <w:rPr>
          <w:rFonts w:hint="eastAsia" w:ascii="宋体" w:hAnsi="宋体" w:cs="宋体"/>
          <w:color w:val="auto"/>
          <w:spacing w:val="2"/>
          <w:sz w:val="21"/>
          <w:szCs w:val="21"/>
          <w:lang w:val="zh-CN"/>
        </w:rPr>
        <w:t>）服务期限：</w:t>
      </w:r>
      <w:r>
        <w:rPr>
          <w:rFonts w:hint="eastAsia"/>
          <w:color w:val="auto"/>
          <w:sz w:val="21"/>
          <w:szCs w:val="21"/>
        </w:rPr>
        <w:t>1年，本项目采用1+1+1模式，合同期满经考核合格可续签下一年合同</w:t>
      </w:r>
      <w:r>
        <w:rPr>
          <w:rFonts w:hint="eastAsia" w:ascii="宋体" w:hAnsi="宋体" w:cs="宋体"/>
          <w:color w:val="auto"/>
          <w:kern w:val="0"/>
          <w:sz w:val="21"/>
          <w:szCs w:val="21"/>
        </w:rPr>
        <w:t>；</w:t>
      </w:r>
    </w:p>
    <w:p>
      <w:pPr>
        <w:spacing w:line="440" w:lineRule="exact"/>
        <w:ind w:firstLine="420" w:firstLineChars="200"/>
        <w:rPr>
          <w:rFonts w:hint="eastAsia" w:ascii="宋体" w:hAnsi="宋体"/>
          <w:color w:val="auto"/>
          <w:sz w:val="21"/>
          <w:szCs w:val="21"/>
          <w:lang w:val="zh-CN"/>
        </w:rPr>
      </w:pPr>
      <w:r>
        <w:rPr>
          <w:rFonts w:hint="eastAsia" w:ascii="宋体" w:hAnsi="宋体" w:cs="宋体"/>
          <w:color w:val="auto"/>
          <w:kern w:val="0"/>
          <w:sz w:val="21"/>
          <w:szCs w:val="21"/>
          <w:lang w:eastAsia="zh-CN"/>
        </w:rPr>
        <w:t>（</w:t>
      </w:r>
      <w:r>
        <w:rPr>
          <w:rFonts w:hint="eastAsia" w:ascii="宋体" w:hAnsi="宋体" w:cs="宋体"/>
          <w:color w:val="auto"/>
          <w:kern w:val="0"/>
          <w:sz w:val="21"/>
          <w:szCs w:val="21"/>
          <w:lang w:val="en-US" w:eastAsia="zh-CN"/>
        </w:rPr>
        <w:t>4</w:t>
      </w:r>
      <w:r>
        <w:rPr>
          <w:rFonts w:hint="eastAsia" w:ascii="宋体" w:hAnsi="宋体" w:cs="宋体"/>
          <w:color w:val="auto"/>
          <w:kern w:val="0"/>
          <w:sz w:val="21"/>
          <w:szCs w:val="21"/>
          <w:lang w:eastAsia="zh-CN"/>
        </w:rPr>
        <w:t>）</w:t>
      </w:r>
      <w:r>
        <w:rPr>
          <w:rFonts w:hint="eastAsia" w:ascii="宋体" w:hAnsi="宋体" w:cs="宋体"/>
          <w:color w:val="auto"/>
          <w:kern w:val="0"/>
          <w:sz w:val="21"/>
          <w:szCs w:val="21"/>
        </w:rPr>
        <w:t>质量要求：</w:t>
      </w:r>
      <w:r>
        <w:rPr>
          <w:rFonts w:hint="eastAsia"/>
          <w:color w:val="auto"/>
          <w:sz w:val="21"/>
          <w:szCs w:val="21"/>
        </w:rPr>
        <w:t>合格；满足金坛区农村环境卫生长效管理考核及城乡一体化考核标准，考核分不得低于95分。</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2、下列文件为本合同不可分割部分：</w:t>
      </w:r>
    </w:p>
    <w:p>
      <w:pPr>
        <w:spacing w:line="440" w:lineRule="exact"/>
        <w:ind w:firstLine="420" w:firstLineChars="200"/>
        <w:rPr>
          <w:rFonts w:hint="eastAsia" w:ascii="宋体" w:hAnsi="宋体"/>
          <w:color w:val="auto"/>
          <w:sz w:val="21"/>
          <w:szCs w:val="21"/>
        </w:rPr>
      </w:pPr>
      <w:r>
        <w:rPr>
          <w:rFonts w:hint="eastAsia" w:ascii="宋体" w:hAnsi="宋体" w:cs="宋体"/>
          <w:color w:val="auto"/>
          <w:sz w:val="21"/>
          <w:szCs w:val="21"/>
        </w:rPr>
        <w:t>①</w:t>
      </w:r>
      <w:r>
        <w:rPr>
          <w:rFonts w:hint="eastAsia" w:ascii="宋体" w:hAnsi="宋体"/>
          <w:color w:val="auto"/>
          <w:sz w:val="21"/>
          <w:szCs w:val="21"/>
        </w:rPr>
        <w:t>中标通知书；</w:t>
      </w:r>
    </w:p>
    <w:p>
      <w:pPr>
        <w:spacing w:line="440" w:lineRule="exact"/>
        <w:ind w:firstLine="420" w:firstLineChars="200"/>
        <w:rPr>
          <w:rFonts w:hint="eastAsia" w:ascii="宋体" w:hAnsi="宋体"/>
          <w:color w:val="auto"/>
          <w:sz w:val="21"/>
          <w:szCs w:val="21"/>
        </w:rPr>
      </w:pPr>
      <w:r>
        <w:rPr>
          <w:rFonts w:hint="eastAsia" w:ascii="宋体" w:hAnsi="宋体" w:cs="宋体"/>
          <w:color w:val="auto"/>
          <w:sz w:val="21"/>
          <w:szCs w:val="21"/>
        </w:rPr>
        <w:t>②</w:t>
      </w:r>
      <w:r>
        <w:rPr>
          <w:rFonts w:hint="eastAsia" w:ascii="宋体" w:hAnsi="宋体"/>
          <w:color w:val="auto"/>
          <w:sz w:val="21"/>
          <w:szCs w:val="21"/>
        </w:rPr>
        <w:t>乙方的投标文件；</w:t>
      </w:r>
    </w:p>
    <w:p>
      <w:pPr>
        <w:spacing w:line="440" w:lineRule="exact"/>
        <w:ind w:firstLine="420" w:firstLineChars="200"/>
        <w:rPr>
          <w:rFonts w:hint="eastAsia" w:ascii="宋体" w:hAnsi="宋体"/>
          <w:color w:val="auto"/>
          <w:sz w:val="21"/>
          <w:szCs w:val="21"/>
        </w:rPr>
      </w:pPr>
      <w:r>
        <w:rPr>
          <w:rFonts w:hint="eastAsia" w:ascii="宋体" w:hAnsi="宋体" w:cs="宋体"/>
          <w:color w:val="auto"/>
          <w:sz w:val="21"/>
          <w:szCs w:val="21"/>
        </w:rPr>
        <w:t>③</w:t>
      </w:r>
      <w:r>
        <w:rPr>
          <w:rFonts w:hint="eastAsia" w:ascii="宋体" w:hAnsi="宋体"/>
          <w:color w:val="auto"/>
          <w:sz w:val="21"/>
          <w:szCs w:val="21"/>
          <w:lang w:val="en-US" w:eastAsia="zh-CN"/>
        </w:rPr>
        <w:t>竞争性磋商</w:t>
      </w:r>
      <w:r>
        <w:rPr>
          <w:rFonts w:hint="eastAsia" w:ascii="宋体" w:hAnsi="宋体"/>
          <w:color w:val="auto"/>
          <w:sz w:val="21"/>
          <w:szCs w:val="21"/>
        </w:rPr>
        <w:t>文件（含作业服务量说明、作业服务要求等）及</w:t>
      </w:r>
      <w:r>
        <w:rPr>
          <w:rFonts w:hint="eastAsia"/>
          <w:color w:val="auto"/>
          <w:sz w:val="21"/>
          <w:szCs w:val="21"/>
        </w:rPr>
        <w:t>金坛区农村环境卫生长效管理考核及城乡一体化考核标准</w:t>
      </w:r>
      <w:r>
        <w:rPr>
          <w:rFonts w:hint="eastAsia" w:ascii="宋体" w:hAnsi="宋体"/>
          <w:color w:val="auto"/>
          <w:sz w:val="21"/>
          <w:szCs w:val="21"/>
        </w:rPr>
        <w:t>；</w:t>
      </w:r>
    </w:p>
    <w:p>
      <w:pPr>
        <w:spacing w:line="440" w:lineRule="exact"/>
        <w:ind w:firstLine="420" w:firstLineChars="200"/>
        <w:rPr>
          <w:rFonts w:hint="eastAsia" w:ascii="宋体" w:hAnsi="宋体"/>
          <w:color w:val="auto"/>
          <w:sz w:val="21"/>
          <w:szCs w:val="21"/>
        </w:rPr>
      </w:pPr>
      <w:r>
        <w:rPr>
          <w:rFonts w:hint="eastAsia" w:ascii="宋体" w:hAnsi="宋体" w:cs="宋体"/>
          <w:color w:val="auto"/>
          <w:sz w:val="21"/>
          <w:szCs w:val="21"/>
        </w:rPr>
        <w:t>④</w:t>
      </w:r>
      <w:r>
        <w:rPr>
          <w:rFonts w:hint="eastAsia" w:ascii="宋体" w:hAnsi="宋体"/>
          <w:color w:val="auto"/>
          <w:sz w:val="21"/>
          <w:szCs w:val="21"/>
        </w:rPr>
        <w:t>乙方在</w:t>
      </w:r>
      <w:r>
        <w:rPr>
          <w:rFonts w:hint="eastAsia" w:ascii="宋体" w:hAnsi="宋体"/>
          <w:color w:val="auto"/>
          <w:sz w:val="21"/>
          <w:szCs w:val="21"/>
          <w:lang w:val="en-US" w:eastAsia="zh-CN"/>
        </w:rPr>
        <w:t>采购</w:t>
      </w:r>
      <w:r>
        <w:rPr>
          <w:rFonts w:hint="eastAsia" w:ascii="宋体" w:hAnsi="宋体"/>
          <w:color w:val="auto"/>
          <w:sz w:val="21"/>
          <w:szCs w:val="21"/>
        </w:rPr>
        <w:t>过程中所作的其它承诺、声明、书面澄清等。</w:t>
      </w:r>
    </w:p>
    <w:p>
      <w:pPr>
        <w:spacing w:line="440" w:lineRule="exact"/>
        <w:ind w:firstLine="413" w:firstLineChars="196"/>
        <w:rPr>
          <w:rFonts w:hint="eastAsia" w:ascii="宋体" w:hAnsi="宋体"/>
          <w:b/>
          <w:color w:val="auto"/>
          <w:sz w:val="21"/>
          <w:szCs w:val="21"/>
        </w:rPr>
      </w:pPr>
      <w:r>
        <w:rPr>
          <w:rFonts w:hint="eastAsia" w:ascii="宋体" w:hAnsi="宋体"/>
          <w:b/>
          <w:color w:val="auto"/>
          <w:sz w:val="21"/>
          <w:szCs w:val="21"/>
        </w:rPr>
        <w:t>二、甲方权利和义务</w:t>
      </w:r>
    </w:p>
    <w:p>
      <w:pPr>
        <w:tabs>
          <w:tab w:val="left" w:pos="360"/>
        </w:tabs>
        <w:spacing w:line="440" w:lineRule="exact"/>
        <w:ind w:firstLine="420" w:firstLineChars="200"/>
        <w:rPr>
          <w:rFonts w:hint="eastAsia" w:ascii="宋体" w:hAnsi="宋体"/>
          <w:color w:val="auto"/>
          <w:sz w:val="21"/>
          <w:szCs w:val="21"/>
        </w:rPr>
      </w:pPr>
      <w:r>
        <w:rPr>
          <w:rFonts w:hint="eastAsia" w:ascii="宋体" w:hAnsi="宋体"/>
          <w:color w:val="auto"/>
          <w:sz w:val="21"/>
          <w:szCs w:val="21"/>
        </w:rPr>
        <w:t>1、根据《作业服务要求》、《作业考评细则》及相关管理标准，对乙方工作及履行合同情况进行指导和考核。</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2、根据乙方在考核中的结果，向乙方支付服务费。</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3、听取乙方提出的建议并给予答复。</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4、监督乙方履行承诺。</w:t>
      </w:r>
    </w:p>
    <w:p>
      <w:pPr>
        <w:spacing w:line="440" w:lineRule="exact"/>
        <w:ind w:firstLine="413" w:firstLineChars="196"/>
        <w:rPr>
          <w:rFonts w:hint="eastAsia" w:ascii="宋体" w:hAnsi="宋体"/>
          <w:b/>
          <w:color w:val="auto"/>
          <w:sz w:val="21"/>
          <w:szCs w:val="21"/>
        </w:rPr>
      </w:pPr>
      <w:r>
        <w:rPr>
          <w:rFonts w:hint="eastAsia" w:ascii="宋体" w:hAnsi="宋体"/>
          <w:b/>
          <w:color w:val="auto"/>
          <w:sz w:val="21"/>
          <w:szCs w:val="21"/>
        </w:rPr>
        <w:t>三、乙方权利和义务</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1、根据（含作业服务量说明、作业服务要求等）及</w:t>
      </w:r>
      <w:r>
        <w:rPr>
          <w:rFonts w:hint="eastAsia"/>
          <w:color w:val="auto"/>
          <w:sz w:val="21"/>
          <w:szCs w:val="21"/>
        </w:rPr>
        <w:t>金坛区农村环境卫生长效管理考核及城乡一体化考核标准</w:t>
      </w:r>
      <w:r>
        <w:rPr>
          <w:rFonts w:hint="eastAsia" w:ascii="宋体" w:hAnsi="宋体"/>
          <w:color w:val="auto"/>
          <w:sz w:val="21"/>
          <w:szCs w:val="21"/>
        </w:rPr>
        <w:t>和投标文件所作的承诺开展清扫保洁工作。确保承包清扫保洁的道路、公共设施、环卫设施等稳定呈现干净整洁的面貌，确保垃圾收集及运输工作做到日产日清，并按指定地点、指定时间、指定运输线路运送垃圾，严禁从事单位工业固废清运服务。</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2、为保证环卫作业工作正常有效开展，乙方负责组成固定的专业环卫作业队伍，按要求提交作业计划和相关的工作预案，经甲方认可并备案。</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3、接受甲方和相关管理部门的考核及其结果。</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4、独立承担环卫作业中的</w:t>
      </w:r>
      <w:r>
        <w:rPr>
          <w:rFonts w:hint="eastAsia" w:ascii="宋体" w:hAnsi="宋体"/>
          <w:color w:val="auto"/>
          <w:sz w:val="21"/>
          <w:szCs w:val="21"/>
          <w:lang w:val="en-US" w:eastAsia="zh-CN"/>
        </w:rPr>
        <w:t>一切</w:t>
      </w:r>
      <w:r>
        <w:rPr>
          <w:rFonts w:hint="eastAsia" w:ascii="宋体" w:hAnsi="宋体"/>
          <w:color w:val="auto"/>
          <w:sz w:val="21"/>
          <w:szCs w:val="21"/>
        </w:rPr>
        <w:t>安全责任和经济赔偿。</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5、在任何情况下（如灾害天气期间或重大活动期间），乙方均应保质保量按时完成甲方安排的指令性任务。</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6、自觉执行国家的法律、法规，按规定及时缴纳“五金”，签订劳动用工合同，作业及管理人员工资不得低于最低工资标准，独立处理劳资纠纷等工作。</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7、接受甲方和社会监督，对存在的问题在指定时间内整改到位，并将整改结果报甲方。</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8、准时参加甲方召开的会议。</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9、向甲方提出合理化建议。</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10、拟投入本项目人员不少于</w:t>
      </w:r>
      <w:r>
        <w:rPr>
          <w:rFonts w:hint="eastAsia" w:ascii="宋体" w:hAnsi="宋体"/>
          <w:color w:val="auto"/>
          <w:sz w:val="21"/>
          <w:szCs w:val="21"/>
          <w:u w:val="single"/>
        </w:rPr>
        <w:t xml:space="preserve">    </w:t>
      </w:r>
      <w:r>
        <w:rPr>
          <w:rFonts w:hint="eastAsia" w:ascii="宋体" w:hAnsi="宋体"/>
          <w:color w:val="auto"/>
          <w:sz w:val="21"/>
          <w:szCs w:val="21"/>
        </w:rPr>
        <w:t>人，并保证服务过程中人员总数量不得减少。</w:t>
      </w:r>
      <w:r>
        <w:rPr>
          <w:rFonts w:hint="eastAsia" w:ascii="宋体" w:hAnsi="宋体"/>
          <w:b/>
          <w:color w:val="auto"/>
          <w:sz w:val="21"/>
          <w:szCs w:val="21"/>
        </w:rPr>
        <w:t>合同签订后，甲方将不定期抽查，若发现人员数量未满足</w:t>
      </w:r>
      <w:r>
        <w:rPr>
          <w:rFonts w:hint="eastAsia" w:ascii="宋体" w:hAnsi="宋体"/>
          <w:b/>
          <w:color w:val="auto"/>
          <w:sz w:val="21"/>
          <w:szCs w:val="21"/>
          <w:lang w:val="en-US" w:eastAsia="zh-CN"/>
        </w:rPr>
        <w:t>采购</w:t>
      </w:r>
      <w:r>
        <w:rPr>
          <w:rFonts w:hint="eastAsia" w:ascii="宋体" w:hAnsi="宋体"/>
          <w:b/>
          <w:color w:val="auto"/>
          <w:sz w:val="21"/>
          <w:szCs w:val="21"/>
        </w:rPr>
        <w:t>文件要求的，则无条件退场并补偿给甲方由此引起的一切损失。</w:t>
      </w:r>
    </w:p>
    <w:p>
      <w:pPr>
        <w:tabs>
          <w:tab w:val="left" w:pos="1995"/>
        </w:tabs>
        <w:spacing w:line="440" w:lineRule="exact"/>
        <w:ind w:firstLine="413" w:firstLineChars="196"/>
        <w:rPr>
          <w:rFonts w:hint="eastAsia" w:ascii="宋体" w:hAnsi="宋体"/>
          <w:b/>
          <w:color w:val="auto"/>
          <w:sz w:val="21"/>
          <w:szCs w:val="21"/>
        </w:rPr>
      </w:pPr>
      <w:r>
        <w:rPr>
          <w:rFonts w:hint="eastAsia" w:ascii="宋体" w:hAnsi="宋体"/>
          <w:b/>
          <w:color w:val="auto"/>
          <w:sz w:val="21"/>
          <w:szCs w:val="21"/>
        </w:rPr>
        <w:t>四、价格与支付</w:t>
      </w:r>
      <w:r>
        <w:rPr>
          <w:rFonts w:hint="eastAsia" w:ascii="宋体" w:hAnsi="宋体"/>
          <w:b/>
          <w:color w:val="auto"/>
          <w:sz w:val="21"/>
          <w:szCs w:val="21"/>
        </w:rPr>
        <w:tab/>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1、合同总金额为人民币</w:t>
      </w:r>
      <w:r>
        <w:rPr>
          <w:rFonts w:hint="eastAsia" w:ascii="宋体" w:hAnsi="宋体"/>
          <w:color w:val="auto"/>
          <w:sz w:val="21"/>
          <w:szCs w:val="21"/>
          <w:u w:val="single"/>
        </w:rPr>
        <w:t xml:space="preserve">     </w:t>
      </w:r>
      <w:r>
        <w:rPr>
          <w:rFonts w:hint="eastAsia" w:ascii="宋体" w:hAnsi="宋体"/>
          <w:color w:val="auto"/>
          <w:sz w:val="21"/>
          <w:szCs w:val="21"/>
        </w:rPr>
        <w:t>元/年。</w:t>
      </w:r>
    </w:p>
    <w:p>
      <w:pPr>
        <w:spacing w:line="440" w:lineRule="exact"/>
        <w:ind w:firstLine="420" w:firstLineChars="200"/>
        <w:rPr>
          <w:rFonts w:hint="eastAsia"/>
          <w:color w:val="auto"/>
          <w:sz w:val="21"/>
          <w:szCs w:val="21"/>
        </w:rPr>
      </w:pPr>
      <w:r>
        <w:rPr>
          <w:rFonts w:hint="eastAsia" w:ascii="宋体" w:hAnsi="宋体"/>
          <w:color w:val="auto"/>
          <w:sz w:val="21"/>
          <w:szCs w:val="21"/>
        </w:rPr>
        <w:t>2、付款及扣款方式：</w:t>
      </w:r>
      <w:r>
        <w:rPr>
          <w:rFonts w:hint="eastAsia"/>
          <w:color w:val="auto"/>
          <w:sz w:val="21"/>
          <w:szCs w:val="21"/>
        </w:rPr>
        <w:t>根据金坛区农村环境卫生长效管理考核及城乡一体化考核标准，按月考核（依据合同总价计算出各月的服务费用），季度付款（①考核分≥95分时，全额支付服务费；②考核分＜95分时，以95分为基数，每低1分扣</w:t>
      </w:r>
      <w:r>
        <w:rPr>
          <w:rFonts w:hint="eastAsia"/>
          <w:color w:val="auto"/>
          <w:sz w:val="21"/>
          <w:szCs w:val="21"/>
          <w:lang w:val="en-US" w:eastAsia="zh-CN"/>
        </w:rPr>
        <w:t>10</w:t>
      </w:r>
      <w:r>
        <w:rPr>
          <w:rFonts w:hint="eastAsia"/>
          <w:color w:val="auto"/>
          <w:sz w:val="21"/>
          <w:szCs w:val="21"/>
        </w:rPr>
        <w:t>00元；如遇上级主管部门考核细则有调整时，相应调整考核分值）。</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付款方式：以转账方式直接转入乙方银行账户。</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3、费用调整（如：人工、材料、机具设备、规费、税金等费用的调整或出现新的费用），除</w:t>
      </w:r>
      <w:r>
        <w:rPr>
          <w:rFonts w:hint="eastAsia" w:ascii="宋体" w:hAnsi="宋体"/>
          <w:color w:val="auto"/>
          <w:sz w:val="21"/>
          <w:szCs w:val="21"/>
          <w:lang w:eastAsia="zh-CN"/>
        </w:rPr>
        <w:t>采购人</w:t>
      </w:r>
      <w:r>
        <w:rPr>
          <w:rFonts w:hint="eastAsia" w:ascii="宋体" w:hAnsi="宋体"/>
          <w:color w:val="auto"/>
          <w:sz w:val="21"/>
          <w:szCs w:val="21"/>
        </w:rPr>
        <w:t>要求外，投标总价不作调整。</w:t>
      </w:r>
    </w:p>
    <w:p>
      <w:pPr>
        <w:spacing w:line="440" w:lineRule="exact"/>
        <w:ind w:firstLine="422" w:firstLineChars="200"/>
        <w:rPr>
          <w:rFonts w:hint="eastAsia" w:ascii="宋体" w:hAnsi="宋体"/>
          <w:b/>
          <w:color w:val="auto"/>
          <w:sz w:val="21"/>
          <w:szCs w:val="21"/>
        </w:rPr>
      </w:pPr>
      <w:r>
        <w:rPr>
          <w:rFonts w:hint="eastAsia"/>
          <w:b/>
          <w:color w:val="auto"/>
          <w:sz w:val="21"/>
          <w:szCs w:val="21"/>
        </w:rPr>
        <w:t>上述费用包括但不限于</w:t>
      </w:r>
      <w:r>
        <w:rPr>
          <w:rFonts w:hint="eastAsia" w:ascii="宋体" w:hAnsi="宋体"/>
          <w:b/>
          <w:color w:val="auto"/>
          <w:sz w:val="21"/>
          <w:szCs w:val="21"/>
        </w:rPr>
        <w:t>承包期内保洁服务的保洁、清理、设备、辅助材料、人工、机械、运输、仓储、安装、调试、备品备件、保险、劳保、利润、各种税费、培训、专利技术、不可预见费用等一切费用。</w:t>
      </w:r>
    </w:p>
    <w:p>
      <w:pPr>
        <w:spacing w:line="440" w:lineRule="exact"/>
        <w:ind w:firstLine="413" w:firstLineChars="196"/>
        <w:rPr>
          <w:rFonts w:hint="eastAsia" w:ascii="宋体" w:hAnsi="宋体"/>
          <w:b/>
          <w:color w:val="auto"/>
          <w:sz w:val="21"/>
          <w:szCs w:val="21"/>
        </w:rPr>
      </w:pPr>
      <w:r>
        <w:rPr>
          <w:rFonts w:hint="eastAsia" w:ascii="宋体" w:hAnsi="宋体"/>
          <w:b/>
          <w:color w:val="auto"/>
          <w:sz w:val="21"/>
          <w:szCs w:val="21"/>
        </w:rPr>
        <w:t>五、服务作业权的交付</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甲方应于合同签订后，于</w:t>
      </w:r>
      <w:r>
        <w:rPr>
          <w:rFonts w:hint="eastAsia" w:ascii="宋体" w:hAnsi="宋体"/>
          <w:color w:val="auto"/>
          <w:sz w:val="21"/>
          <w:szCs w:val="21"/>
          <w:u w:val="single"/>
        </w:rPr>
        <w:t xml:space="preserve">        </w:t>
      </w:r>
      <w:r>
        <w:rPr>
          <w:rFonts w:hint="eastAsia" w:ascii="宋体" w:hAnsi="宋体"/>
          <w:color w:val="auto"/>
          <w:sz w:val="21"/>
          <w:szCs w:val="21"/>
        </w:rPr>
        <w:t>年</w:t>
      </w:r>
      <w:r>
        <w:rPr>
          <w:rFonts w:hint="eastAsia" w:ascii="宋体" w:hAnsi="宋体"/>
          <w:color w:val="auto"/>
          <w:sz w:val="21"/>
          <w:szCs w:val="21"/>
          <w:u w:val="single"/>
        </w:rPr>
        <w:t xml:space="preserve">     </w:t>
      </w:r>
      <w:r>
        <w:rPr>
          <w:rFonts w:hint="eastAsia" w:ascii="宋体" w:hAnsi="宋体"/>
          <w:color w:val="auto"/>
          <w:sz w:val="21"/>
          <w:szCs w:val="21"/>
        </w:rPr>
        <w:t>月</w:t>
      </w:r>
      <w:r>
        <w:rPr>
          <w:rFonts w:hint="eastAsia" w:ascii="宋体" w:hAnsi="宋体"/>
          <w:color w:val="auto"/>
          <w:sz w:val="21"/>
          <w:szCs w:val="21"/>
          <w:u w:val="single"/>
        </w:rPr>
        <w:t xml:space="preserve">    </w:t>
      </w:r>
      <w:r>
        <w:rPr>
          <w:rFonts w:hint="eastAsia" w:ascii="宋体" w:hAnsi="宋体"/>
          <w:color w:val="auto"/>
          <w:sz w:val="21"/>
          <w:szCs w:val="21"/>
        </w:rPr>
        <w:t>日负责向乙方转交服务作业权，服务期满，甲乙双方应提前20天进行交接手续或续签，确保服务正常运行。</w:t>
      </w:r>
    </w:p>
    <w:p>
      <w:pPr>
        <w:spacing w:line="440" w:lineRule="exact"/>
        <w:ind w:firstLine="413" w:firstLineChars="196"/>
        <w:rPr>
          <w:rFonts w:hint="eastAsia" w:ascii="宋体" w:hAnsi="宋体"/>
          <w:b/>
          <w:color w:val="auto"/>
          <w:sz w:val="21"/>
          <w:szCs w:val="21"/>
        </w:rPr>
      </w:pPr>
      <w:r>
        <w:rPr>
          <w:rFonts w:hint="eastAsia" w:ascii="宋体" w:hAnsi="宋体"/>
          <w:b/>
          <w:color w:val="auto"/>
          <w:sz w:val="21"/>
          <w:szCs w:val="21"/>
        </w:rPr>
        <w:t>六、违约责任</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1、合同一方不履行合同义务或违反履行合同义务约定的，应当承担继续履行、采取补救措施或者赔偿损失等违约责任。</w:t>
      </w:r>
    </w:p>
    <w:p>
      <w:pPr>
        <w:spacing w:line="440" w:lineRule="exact"/>
        <w:ind w:firstLine="420" w:firstLineChars="200"/>
        <w:rPr>
          <w:color w:val="auto"/>
          <w:sz w:val="21"/>
          <w:szCs w:val="21"/>
        </w:rPr>
      </w:pPr>
      <w:r>
        <w:rPr>
          <w:rFonts w:hint="eastAsia"/>
          <w:color w:val="auto"/>
          <w:sz w:val="21"/>
          <w:szCs w:val="21"/>
        </w:rPr>
        <w:t>2、乙方未按本合同规定提供相关服务或未能履行本合同规定的其他义务的，甲方有权要求乙方限期整改并落实违约补偿，逾期不整改或整改后仍达不到甲方要求的，甲方有权终止合同，由此造成甲方经济损失的，乙方应承担赔偿责任。同时乙方应向甲方支付合同总价5%的违约金。</w:t>
      </w:r>
    </w:p>
    <w:p>
      <w:pPr>
        <w:spacing w:line="440" w:lineRule="exact"/>
        <w:ind w:firstLine="420" w:firstLineChars="200"/>
        <w:rPr>
          <w:color w:val="auto"/>
          <w:sz w:val="21"/>
          <w:szCs w:val="21"/>
        </w:rPr>
      </w:pPr>
      <w:r>
        <w:rPr>
          <w:rFonts w:hint="eastAsia"/>
          <w:color w:val="auto"/>
          <w:sz w:val="21"/>
          <w:szCs w:val="21"/>
        </w:rPr>
        <w:t>3、乙方在承担上述一项或多项违约责任后，仍应继续履行合同规定的义务（甲方解除合同的除外）。甲方未能及时追究乙方的任何一项违约责任并不表明甲方放弃追究乙方该项或其他违约责任。</w:t>
      </w:r>
    </w:p>
    <w:p>
      <w:pPr>
        <w:spacing w:line="440" w:lineRule="exact"/>
        <w:ind w:firstLine="413" w:firstLineChars="196"/>
        <w:rPr>
          <w:rFonts w:hint="eastAsia" w:ascii="宋体" w:hAnsi="宋体"/>
          <w:b/>
          <w:color w:val="auto"/>
          <w:sz w:val="21"/>
          <w:szCs w:val="21"/>
        </w:rPr>
      </w:pPr>
      <w:r>
        <w:rPr>
          <w:rFonts w:hint="eastAsia" w:ascii="宋体" w:hAnsi="宋体"/>
          <w:b/>
          <w:color w:val="auto"/>
          <w:sz w:val="21"/>
          <w:szCs w:val="21"/>
        </w:rPr>
        <w:t>七、不可抗力</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1、因不可抗力（或甲、乙双方不能控制的原因）不能履行合同的，根据不可抗力的影响，部分或者全部免除责任，但合同一方迟延履行后发生不可抗力的，不能免除其责任。</w:t>
      </w:r>
    </w:p>
    <w:p>
      <w:pPr>
        <w:tabs>
          <w:tab w:val="left" w:pos="720"/>
        </w:tabs>
        <w:spacing w:line="440" w:lineRule="exact"/>
        <w:ind w:firstLine="420" w:firstLineChars="200"/>
        <w:rPr>
          <w:rFonts w:hint="eastAsia" w:ascii="宋体" w:hAnsi="宋体"/>
          <w:color w:val="auto"/>
          <w:sz w:val="21"/>
          <w:szCs w:val="21"/>
        </w:rPr>
      </w:pPr>
      <w:r>
        <w:rPr>
          <w:rFonts w:hint="eastAsia" w:ascii="宋体" w:hAnsi="宋体"/>
          <w:color w:val="auto"/>
          <w:sz w:val="21"/>
          <w:szCs w:val="21"/>
        </w:rPr>
        <w:t>2、合同一方因不可抗力不能履行合同的，应当及时通知对方，以减轻可能给对方造成的损失，并应当在合理期限内提供证明。</w:t>
      </w:r>
    </w:p>
    <w:p>
      <w:pPr>
        <w:spacing w:line="440" w:lineRule="exact"/>
        <w:ind w:firstLine="413" w:firstLineChars="196"/>
        <w:rPr>
          <w:rFonts w:hint="eastAsia" w:ascii="宋体" w:hAnsi="宋体"/>
          <w:b/>
          <w:color w:val="auto"/>
          <w:sz w:val="21"/>
          <w:szCs w:val="21"/>
        </w:rPr>
      </w:pPr>
      <w:r>
        <w:rPr>
          <w:rFonts w:hint="eastAsia" w:ascii="宋体" w:hAnsi="宋体"/>
          <w:b/>
          <w:color w:val="auto"/>
          <w:sz w:val="21"/>
          <w:szCs w:val="21"/>
        </w:rPr>
        <w:t>八、合同生效及其它</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合同经甲乙双方签字并盖章后即生效。</w:t>
      </w:r>
    </w:p>
    <w:p>
      <w:pPr>
        <w:spacing w:line="440" w:lineRule="exact"/>
        <w:ind w:firstLine="413" w:firstLineChars="196"/>
        <w:rPr>
          <w:rFonts w:hint="eastAsia" w:ascii="宋体" w:hAnsi="宋体"/>
          <w:b/>
          <w:color w:val="auto"/>
          <w:sz w:val="21"/>
          <w:szCs w:val="21"/>
        </w:rPr>
      </w:pPr>
      <w:r>
        <w:rPr>
          <w:rFonts w:hint="eastAsia" w:ascii="宋体" w:hAnsi="宋体"/>
          <w:b/>
          <w:color w:val="auto"/>
          <w:sz w:val="21"/>
          <w:szCs w:val="21"/>
        </w:rPr>
        <w:t>九、合同的解除和转让</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1、甲方和乙方协商一致，可以解除合同。</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2、有下列情况之一，合同方可以解除合同；</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（1）因不可抗力致使不能实现合同目的，未受不可抗力影响的一方有权解除合同；</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（2）因合同一方违约导致合同不能履行，另一方有权解除合同。</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3、有权解除合同的一方，应当在违约事实或不可抗力发生之后30天内书面通知对方提出解除合同，合同在书面通知到达对方时解除。</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4、合同的部分或全部未经甲方同意都不得转包或分包。</w:t>
      </w:r>
    </w:p>
    <w:p>
      <w:pPr>
        <w:spacing w:line="440" w:lineRule="exact"/>
        <w:ind w:firstLine="413" w:firstLineChars="196"/>
        <w:rPr>
          <w:rFonts w:hint="eastAsia" w:ascii="宋体" w:hAnsi="宋体"/>
          <w:b/>
          <w:color w:val="auto"/>
          <w:sz w:val="21"/>
          <w:szCs w:val="21"/>
        </w:rPr>
      </w:pPr>
      <w:r>
        <w:rPr>
          <w:rFonts w:hint="eastAsia" w:ascii="宋体" w:hAnsi="宋体"/>
          <w:b/>
          <w:color w:val="auto"/>
          <w:sz w:val="21"/>
          <w:szCs w:val="21"/>
        </w:rPr>
        <w:t>十、履约保证金</w:t>
      </w:r>
    </w:p>
    <w:p>
      <w:pPr>
        <w:spacing w:line="440" w:lineRule="exact"/>
        <w:ind w:firstLine="420" w:firstLineChars="200"/>
        <w:rPr>
          <w:rFonts w:hint="eastAsia" w:ascii="宋体" w:hAnsi="宋体" w:eastAsia="宋体"/>
          <w:color w:val="auto"/>
          <w:sz w:val="21"/>
          <w:szCs w:val="21"/>
          <w:lang w:eastAsia="zh-CN"/>
        </w:rPr>
      </w:pPr>
      <w:r>
        <w:rPr>
          <w:rFonts w:hint="eastAsia" w:ascii="宋体" w:hAnsi="宋体"/>
          <w:color w:val="auto"/>
          <w:sz w:val="21"/>
          <w:szCs w:val="21"/>
        </w:rPr>
        <w:t>1、履约保证金为合同价款</w:t>
      </w:r>
      <w:r>
        <w:rPr>
          <w:rFonts w:hint="eastAsia" w:ascii="宋体" w:hAnsi="宋体"/>
          <w:color w:val="auto"/>
          <w:sz w:val="21"/>
          <w:szCs w:val="21"/>
          <w:lang w:val="en-US" w:eastAsia="zh-CN"/>
        </w:rPr>
        <w:t>5</w:t>
      </w:r>
      <w:r>
        <w:rPr>
          <w:rFonts w:hint="eastAsia" w:ascii="宋体" w:hAnsi="宋体"/>
          <w:color w:val="auto"/>
          <w:sz w:val="21"/>
          <w:szCs w:val="21"/>
        </w:rPr>
        <w:t>%，合同签订前交至</w:t>
      </w:r>
      <w:r>
        <w:rPr>
          <w:rFonts w:hint="eastAsia" w:ascii="宋体" w:hAnsi="宋体"/>
          <w:color w:val="auto"/>
          <w:sz w:val="21"/>
          <w:szCs w:val="21"/>
          <w:lang w:eastAsia="zh-CN"/>
        </w:rPr>
        <w:t>采购人</w:t>
      </w:r>
      <w:r>
        <w:rPr>
          <w:rFonts w:hint="eastAsia" w:ascii="宋体" w:hAnsi="宋体"/>
          <w:color w:val="auto"/>
          <w:sz w:val="21"/>
          <w:szCs w:val="21"/>
        </w:rPr>
        <w:t>指定账户，乙方履行完合同义务，甲方收回环卫作业权完毕后5个工作日内无息退回乙方。</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 xml:space="preserve">    2、乙方不履行合同的履约保证金不予退还，给甲方造成的损失超过履约保证金数额的，还应当对超过部分予以赔偿。但因不可抗力不能履行合同的，不适应用此款规定。</w:t>
      </w:r>
    </w:p>
    <w:p>
      <w:pPr>
        <w:spacing w:line="440" w:lineRule="exact"/>
        <w:ind w:firstLine="413" w:firstLineChars="196"/>
        <w:rPr>
          <w:rFonts w:hint="eastAsia" w:ascii="宋体" w:hAnsi="宋体"/>
          <w:b/>
          <w:color w:val="auto"/>
          <w:sz w:val="21"/>
          <w:szCs w:val="21"/>
        </w:rPr>
      </w:pPr>
      <w:r>
        <w:rPr>
          <w:rFonts w:hint="eastAsia" w:ascii="宋体" w:hAnsi="宋体"/>
          <w:b/>
          <w:color w:val="auto"/>
          <w:sz w:val="21"/>
          <w:szCs w:val="21"/>
        </w:rPr>
        <w:t>十一、争议解决</w:t>
      </w:r>
    </w:p>
    <w:p>
      <w:pPr>
        <w:spacing w:line="440" w:lineRule="exact"/>
        <w:ind w:firstLine="420" w:firstLineChars="200"/>
        <w:rPr>
          <w:rFonts w:hint="eastAsia" w:ascii="宋体" w:hAnsi="宋体"/>
          <w:color w:val="auto"/>
          <w:sz w:val="21"/>
          <w:szCs w:val="21"/>
        </w:rPr>
      </w:pPr>
      <w:r>
        <w:rPr>
          <w:rFonts w:hint="eastAsia" w:ascii="宋体" w:hAnsi="宋体"/>
          <w:color w:val="auto"/>
          <w:sz w:val="21"/>
          <w:szCs w:val="21"/>
        </w:rPr>
        <w:t>甲乙双方因履行本合同发生争议，应在有权部门主持下进行调解，协商未果，任何一方可向常州市金坛区人民法院起诉。</w:t>
      </w:r>
    </w:p>
    <w:p>
      <w:pPr>
        <w:spacing w:line="440" w:lineRule="exact"/>
        <w:ind w:firstLine="413" w:firstLineChars="196"/>
        <w:rPr>
          <w:rFonts w:hint="eastAsia" w:ascii="宋体" w:hAnsi="宋体"/>
          <w:color w:val="auto"/>
          <w:sz w:val="21"/>
          <w:szCs w:val="21"/>
        </w:rPr>
      </w:pPr>
      <w:r>
        <w:rPr>
          <w:rFonts w:hint="eastAsia" w:ascii="宋体" w:hAnsi="宋体"/>
          <w:b/>
          <w:color w:val="auto"/>
          <w:sz w:val="21"/>
          <w:szCs w:val="21"/>
        </w:rPr>
        <w:t>十二、</w:t>
      </w:r>
      <w:r>
        <w:rPr>
          <w:rFonts w:hint="eastAsia" w:ascii="宋体" w:hAnsi="宋体"/>
          <w:color w:val="auto"/>
          <w:sz w:val="21"/>
          <w:szCs w:val="21"/>
        </w:rPr>
        <w:t>本合同一式陆份，甲乙双方各执两份，代理单位两份。</w:t>
      </w:r>
    </w:p>
    <w:p>
      <w:pPr>
        <w:spacing w:line="440" w:lineRule="exact"/>
        <w:ind w:firstLine="413" w:firstLineChars="196"/>
        <w:rPr>
          <w:rFonts w:hint="eastAsia" w:ascii="宋体" w:hAnsi="宋体"/>
          <w:color w:val="auto"/>
          <w:sz w:val="21"/>
          <w:szCs w:val="21"/>
        </w:rPr>
      </w:pPr>
      <w:r>
        <w:rPr>
          <w:rFonts w:hint="eastAsia" w:ascii="宋体" w:hAnsi="宋体"/>
          <w:b/>
          <w:color w:val="auto"/>
          <w:sz w:val="21"/>
          <w:szCs w:val="21"/>
        </w:rPr>
        <w:t>十三、</w:t>
      </w:r>
      <w:r>
        <w:rPr>
          <w:rFonts w:hint="eastAsia" w:ascii="宋体" w:hAnsi="宋体"/>
          <w:color w:val="auto"/>
          <w:sz w:val="21"/>
          <w:szCs w:val="21"/>
        </w:rPr>
        <w:t>本合同在执行过程中如出现未尽事宜，双方在不违背合同和投标文件的原则下协商解决，协商结果以书面记录在案，作为本合同的附件，与本合同具有同等效力。</w:t>
      </w:r>
    </w:p>
    <w:p>
      <w:pPr>
        <w:spacing w:line="440" w:lineRule="exact"/>
        <w:ind w:firstLine="435"/>
        <w:rPr>
          <w:rFonts w:hint="eastAsia" w:ascii="宋体" w:hAnsi="宋体"/>
          <w:color w:val="auto"/>
          <w:sz w:val="21"/>
          <w:szCs w:val="21"/>
        </w:rPr>
      </w:pPr>
    </w:p>
    <w:p>
      <w:pPr>
        <w:spacing w:line="440" w:lineRule="exact"/>
        <w:ind w:firstLine="435"/>
        <w:rPr>
          <w:rFonts w:hint="eastAsia" w:ascii="宋体" w:hAnsi="宋体"/>
          <w:b/>
          <w:color w:val="auto"/>
          <w:sz w:val="21"/>
          <w:szCs w:val="21"/>
        </w:rPr>
      </w:pPr>
      <w:r>
        <w:rPr>
          <w:rFonts w:hint="eastAsia" w:ascii="宋体" w:hAnsi="宋体"/>
          <w:b/>
          <w:color w:val="auto"/>
          <w:sz w:val="21"/>
          <w:szCs w:val="21"/>
        </w:rPr>
        <w:t>甲    方：                            乙    方：</w:t>
      </w:r>
    </w:p>
    <w:p>
      <w:pPr>
        <w:spacing w:line="440" w:lineRule="exact"/>
        <w:ind w:firstLine="435"/>
        <w:rPr>
          <w:rFonts w:hint="eastAsia" w:ascii="宋体" w:hAnsi="宋体"/>
          <w:b/>
          <w:color w:val="auto"/>
          <w:sz w:val="21"/>
          <w:szCs w:val="21"/>
        </w:rPr>
      </w:pPr>
      <w:r>
        <w:rPr>
          <w:rFonts w:hint="eastAsia" w:ascii="宋体" w:hAnsi="宋体"/>
          <w:b/>
          <w:color w:val="auto"/>
          <w:sz w:val="21"/>
          <w:szCs w:val="21"/>
        </w:rPr>
        <w:t>法定代表人：                          法定代表人：</w:t>
      </w:r>
    </w:p>
    <w:p>
      <w:pPr>
        <w:spacing w:line="440" w:lineRule="exact"/>
        <w:ind w:firstLine="435"/>
        <w:rPr>
          <w:rFonts w:hint="eastAsia" w:ascii="宋体" w:hAnsi="宋体"/>
          <w:b/>
          <w:color w:val="auto"/>
          <w:sz w:val="21"/>
          <w:szCs w:val="21"/>
        </w:rPr>
      </w:pPr>
      <w:r>
        <w:rPr>
          <w:rFonts w:hint="eastAsia" w:ascii="宋体" w:hAnsi="宋体"/>
          <w:b/>
          <w:color w:val="auto"/>
          <w:sz w:val="21"/>
          <w:szCs w:val="21"/>
        </w:rPr>
        <w:t>委托代理人：                          委托代理人：</w:t>
      </w:r>
    </w:p>
    <w:p>
      <w:pPr>
        <w:spacing w:line="440" w:lineRule="exact"/>
        <w:ind w:firstLine="413" w:firstLineChars="196"/>
        <w:rPr>
          <w:rFonts w:hint="eastAsia" w:ascii="宋体" w:hAnsi="宋体"/>
          <w:b/>
          <w:color w:val="auto"/>
          <w:sz w:val="21"/>
          <w:szCs w:val="21"/>
        </w:rPr>
      </w:pPr>
      <w:r>
        <w:rPr>
          <w:rFonts w:hint="eastAsia" w:ascii="宋体" w:hAnsi="宋体"/>
          <w:b/>
          <w:color w:val="auto"/>
          <w:sz w:val="21"/>
          <w:szCs w:val="21"/>
        </w:rPr>
        <w:t xml:space="preserve">年     月     日                      年     月     日  </w:t>
      </w:r>
    </w:p>
    <w:p>
      <w:pPr>
        <w:spacing w:line="440" w:lineRule="exact"/>
        <w:jc w:val="center"/>
        <w:outlineLvl w:val="0"/>
        <w:rPr>
          <w:rFonts w:hint="eastAsia" w:ascii="宋体" w:hAnsi="宋体"/>
          <w:color w:val="auto"/>
          <w:spacing w:val="-10"/>
          <w:szCs w:val="21"/>
        </w:rPr>
      </w:pPr>
    </w:p>
    <w:p>
      <w:pPr>
        <w:spacing w:line="440" w:lineRule="exact"/>
        <w:jc w:val="center"/>
        <w:outlineLvl w:val="0"/>
        <w:rPr>
          <w:rFonts w:hint="eastAsia" w:ascii="宋体" w:hAnsi="宋体"/>
          <w:color w:val="auto"/>
          <w:spacing w:val="-10"/>
          <w:szCs w:val="21"/>
        </w:rPr>
      </w:pPr>
    </w:p>
    <w:p>
      <w:pPr>
        <w:spacing w:line="440" w:lineRule="exact"/>
        <w:jc w:val="center"/>
        <w:outlineLvl w:val="0"/>
        <w:rPr>
          <w:rFonts w:hint="eastAsia" w:ascii="宋体" w:hAnsi="宋体"/>
          <w:color w:val="auto"/>
          <w:spacing w:val="-10"/>
          <w:szCs w:val="21"/>
        </w:rPr>
      </w:pPr>
    </w:p>
    <w:p>
      <w:pPr>
        <w:rPr>
          <w:color w:val="auto"/>
        </w:rPr>
      </w:pPr>
    </w:p>
    <w:p>
      <w:pPr>
        <w:rPr>
          <w:rFonts w:hint="eastAsia" w:ascii="宋体" w:hAnsi="宋体" w:cs="宋体"/>
          <w:b/>
          <w:bCs/>
          <w:color w:val="auto"/>
          <w:sz w:val="32"/>
          <w:szCs w:val="32"/>
          <w:u w:color="000000"/>
        </w:rPr>
      </w:pPr>
      <w:r>
        <w:rPr>
          <w:rFonts w:hint="eastAsia" w:ascii="宋体" w:hAnsi="宋体" w:cs="宋体"/>
          <w:b/>
          <w:bCs/>
          <w:color w:val="auto"/>
          <w:sz w:val="32"/>
          <w:szCs w:val="32"/>
          <w:u w:color="000000"/>
        </w:rPr>
        <w:br w:type="page"/>
      </w:r>
    </w:p>
    <w:p>
      <w:pPr>
        <w:rPr>
          <w:rFonts w:ascii="宋体" w:hAnsi="宋体" w:cs="宋体"/>
          <w:b/>
          <w:bCs/>
          <w:color w:val="auto"/>
          <w:sz w:val="32"/>
          <w:szCs w:val="32"/>
          <w:u w:color="000000"/>
        </w:rPr>
      </w:pPr>
    </w:p>
    <w:p>
      <w:pPr>
        <w:snapToGrid w:val="0"/>
        <w:spacing w:line="400" w:lineRule="exact"/>
        <w:jc w:val="center"/>
        <w:outlineLvl w:val="0"/>
        <w:rPr>
          <w:rFonts w:ascii="宋体" w:hAnsi="宋体" w:cs="宋体"/>
          <w:b/>
          <w:bCs/>
          <w:color w:val="auto"/>
          <w:sz w:val="32"/>
          <w:szCs w:val="32"/>
          <w:u w:color="000000"/>
        </w:rPr>
      </w:pPr>
      <w:r>
        <w:rPr>
          <w:rFonts w:hint="eastAsia" w:ascii="宋体" w:hAnsi="宋体" w:cs="宋体"/>
          <w:b/>
          <w:bCs/>
          <w:color w:val="auto"/>
          <w:sz w:val="32"/>
          <w:szCs w:val="32"/>
          <w:u w:color="000000"/>
        </w:rPr>
        <w:t>第七部分   响应文件格式</w:t>
      </w:r>
    </w:p>
    <w:p>
      <w:pPr>
        <w:pStyle w:val="2"/>
        <w:spacing w:line="400" w:lineRule="exact"/>
        <w:ind w:left="560"/>
        <w:rPr>
          <w:rFonts w:ascii="宋体" w:hAnsi="宋体" w:cs="宋体"/>
          <w:color w:val="auto"/>
          <w:sz w:val="21"/>
          <w:szCs w:val="21"/>
        </w:rPr>
      </w:pPr>
    </w:p>
    <w:p>
      <w:pPr>
        <w:spacing w:line="480" w:lineRule="auto"/>
        <w:jc w:val="center"/>
        <w:rPr>
          <w:rFonts w:ascii="宋体" w:hAnsi="宋体" w:cs="宋体"/>
          <w:b/>
          <w:color w:val="auto"/>
          <w:sz w:val="44"/>
          <w:szCs w:val="44"/>
        </w:rPr>
      </w:pPr>
    </w:p>
    <w:p>
      <w:pPr>
        <w:rPr>
          <w:color w:val="auto"/>
        </w:rPr>
      </w:pPr>
    </w:p>
    <w:p>
      <w:pPr>
        <w:spacing w:line="480" w:lineRule="auto"/>
        <w:jc w:val="center"/>
        <w:rPr>
          <w:rFonts w:ascii="宋体" w:hAnsi="宋体" w:cs="宋体"/>
          <w:b/>
          <w:color w:val="auto"/>
          <w:sz w:val="44"/>
          <w:szCs w:val="44"/>
        </w:rPr>
      </w:pPr>
    </w:p>
    <w:p>
      <w:pPr>
        <w:spacing w:line="480" w:lineRule="auto"/>
        <w:jc w:val="center"/>
        <w:rPr>
          <w:rFonts w:ascii="宋体" w:hAnsi="宋体" w:cs="宋体"/>
          <w:b/>
          <w:color w:val="auto"/>
          <w:sz w:val="44"/>
          <w:szCs w:val="44"/>
        </w:rPr>
      </w:pPr>
      <w:r>
        <w:rPr>
          <w:rFonts w:hint="eastAsia" w:ascii="宋体" w:hAnsi="宋体" w:cs="宋体"/>
          <w:b/>
          <w:color w:val="auto"/>
          <w:sz w:val="44"/>
          <w:szCs w:val="44"/>
        </w:rPr>
        <w:t>响 应 文 件</w:t>
      </w:r>
    </w:p>
    <w:p>
      <w:pPr>
        <w:spacing w:line="480" w:lineRule="auto"/>
        <w:jc w:val="center"/>
        <w:rPr>
          <w:rFonts w:ascii="宋体" w:hAnsi="宋体" w:cs="宋体"/>
          <w:b/>
          <w:color w:val="auto"/>
          <w:sz w:val="32"/>
          <w:szCs w:val="32"/>
        </w:rPr>
      </w:pPr>
    </w:p>
    <w:p>
      <w:pPr>
        <w:spacing w:line="480" w:lineRule="auto"/>
        <w:jc w:val="center"/>
        <w:rPr>
          <w:rFonts w:ascii="宋体" w:hAnsi="宋体" w:cs="宋体"/>
          <w:b/>
          <w:color w:val="auto"/>
          <w:sz w:val="32"/>
          <w:szCs w:val="32"/>
        </w:rPr>
      </w:pPr>
    </w:p>
    <w:p>
      <w:pPr>
        <w:spacing w:line="480" w:lineRule="auto"/>
        <w:jc w:val="center"/>
        <w:rPr>
          <w:rFonts w:ascii="宋体" w:hAnsi="宋体" w:cs="宋体"/>
          <w:b/>
          <w:color w:val="auto"/>
          <w:sz w:val="32"/>
          <w:szCs w:val="32"/>
        </w:rPr>
      </w:pPr>
    </w:p>
    <w:p>
      <w:pPr>
        <w:spacing w:line="480" w:lineRule="auto"/>
        <w:jc w:val="center"/>
        <w:rPr>
          <w:rFonts w:ascii="宋体" w:hAnsi="宋体" w:cs="宋体"/>
          <w:b/>
          <w:color w:val="auto"/>
          <w:sz w:val="32"/>
          <w:szCs w:val="32"/>
        </w:rPr>
      </w:pPr>
    </w:p>
    <w:p>
      <w:pPr>
        <w:rPr>
          <w:color w:val="auto"/>
        </w:rPr>
      </w:pPr>
    </w:p>
    <w:p>
      <w:pPr>
        <w:spacing w:line="480" w:lineRule="auto"/>
        <w:rPr>
          <w:rFonts w:ascii="宋体" w:hAnsi="宋体" w:cs="宋体"/>
          <w:b/>
          <w:color w:val="auto"/>
          <w:sz w:val="32"/>
          <w:szCs w:val="32"/>
        </w:rPr>
      </w:pPr>
    </w:p>
    <w:p>
      <w:pPr>
        <w:pStyle w:val="13"/>
        <w:spacing w:line="400" w:lineRule="exact"/>
        <w:ind w:firstLine="560" w:firstLineChars="200"/>
        <w:rPr>
          <w:rFonts w:hint="default" w:hAnsi="宋体" w:cs="宋体"/>
          <w:color w:val="auto"/>
          <w:sz w:val="28"/>
          <w:szCs w:val="28"/>
        </w:rPr>
      </w:pPr>
      <w:r>
        <w:rPr>
          <w:rFonts w:hAnsi="宋体" w:cs="宋体"/>
          <w:color w:val="auto"/>
          <w:sz w:val="28"/>
          <w:szCs w:val="28"/>
        </w:rPr>
        <w:t xml:space="preserve">采购项目名称：               </w:t>
      </w:r>
    </w:p>
    <w:p>
      <w:pPr>
        <w:pStyle w:val="13"/>
        <w:spacing w:line="400" w:lineRule="exact"/>
        <w:ind w:firstLine="560" w:firstLineChars="200"/>
        <w:rPr>
          <w:rFonts w:hint="default" w:hAnsi="宋体" w:cs="宋体"/>
          <w:color w:val="auto"/>
          <w:sz w:val="28"/>
          <w:szCs w:val="28"/>
        </w:rPr>
      </w:pPr>
      <w:r>
        <w:rPr>
          <w:rFonts w:hAnsi="宋体" w:cs="宋体"/>
          <w:color w:val="auto"/>
          <w:sz w:val="28"/>
          <w:szCs w:val="28"/>
        </w:rPr>
        <w:t xml:space="preserve">响应人名称：               </w:t>
      </w:r>
    </w:p>
    <w:p>
      <w:pPr>
        <w:pStyle w:val="13"/>
        <w:spacing w:line="400" w:lineRule="exact"/>
        <w:ind w:firstLine="560" w:firstLineChars="200"/>
        <w:rPr>
          <w:rFonts w:hint="default" w:hAnsi="宋体" w:cs="宋体"/>
          <w:color w:val="auto"/>
          <w:sz w:val="28"/>
          <w:szCs w:val="28"/>
        </w:rPr>
      </w:pPr>
      <w:r>
        <w:rPr>
          <w:rFonts w:hAnsi="宋体" w:cs="宋体"/>
          <w:color w:val="auto"/>
          <w:sz w:val="28"/>
          <w:szCs w:val="28"/>
        </w:rPr>
        <w:t xml:space="preserve">日      期：               </w:t>
      </w:r>
    </w:p>
    <w:p>
      <w:pPr>
        <w:pStyle w:val="13"/>
        <w:spacing w:line="400" w:lineRule="exact"/>
        <w:ind w:firstLine="560" w:firstLineChars="200"/>
        <w:rPr>
          <w:rFonts w:hint="default" w:hAnsi="宋体" w:cs="宋体"/>
          <w:color w:val="auto"/>
          <w:sz w:val="28"/>
          <w:szCs w:val="28"/>
        </w:rPr>
      </w:pPr>
    </w:p>
    <w:p>
      <w:pPr>
        <w:pStyle w:val="13"/>
        <w:spacing w:line="400" w:lineRule="exact"/>
        <w:ind w:firstLine="420" w:firstLineChars="200"/>
        <w:rPr>
          <w:rFonts w:hint="default" w:hAnsi="宋体" w:cs="宋体"/>
          <w:color w:val="auto"/>
          <w:sz w:val="21"/>
          <w:szCs w:val="21"/>
        </w:rPr>
      </w:pPr>
    </w:p>
    <w:p>
      <w:pPr>
        <w:rPr>
          <w:rFonts w:ascii="宋体" w:hAnsi="宋体" w:cs="宋体"/>
          <w:b/>
          <w:bCs/>
          <w:color w:val="auto"/>
          <w:sz w:val="32"/>
          <w:szCs w:val="32"/>
        </w:rPr>
      </w:pPr>
      <w:r>
        <w:rPr>
          <w:rFonts w:hint="eastAsia" w:ascii="宋体" w:hAnsi="宋体" w:cs="宋体"/>
          <w:b/>
          <w:bCs/>
          <w:color w:val="auto"/>
          <w:sz w:val="32"/>
          <w:szCs w:val="32"/>
        </w:rPr>
        <w:br w:type="page"/>
      </w:r>
    </w:p>
    <w:p>
      <w:pPr>
        <w:spacing w:line="400" w:lineRule="exact"/>
        <w:jc w:val="center"/>
        <w:outlineLvl w:val="0"/>
        <w:rPr>
          <w:rFonts w:ascii="宋体" w:hAnsi="宋体" w:cs="宋体"/>
          <w:b/>
          <w:bCs/>
          <w:color w:val="auto"/>
          <w:sz w:val="32"/>
          <w:szCs w:val="32"/>
        </w:rPr>
      </w:pPr>
      <w:r>
        <w:rPr>
          <w:rFonts w:hint="eastAsia" w:ascii="宋体" w:hAnsi="宋体" w:cs="宋体"/>
          <w:b/>
          <w:bCs/>
          <w:color w:val="auto"/>
          <w:sz w:val="32"/>
          <w:szCs w:val="32"/>
        </w:rPr>
        <w:t>目   录</w:t>
      </w:r>
    </w:p>
    <w:p>
      <w:pPr>
        <w:spacing w:line="400" w:lineRule="exact"/>
        <w:jc w:val="center"/>
        <w:rPr>
          <w:rFonts w:ascii="宋体" w:hAnsi="宋体" w:cs="宋体"/>
          <w:b/>
          <w:bCs/>
          <w:color w:val="auto"/>
          <w:szCs w:val="21"/>
        </w:rPr>
      </w:pPr>
    </w:p>
    <w:p>
      <w:pPr>
        <w:spacing w:line="400" w:lineRule="exact"/>
        <w:ind w:firstLine="420" w:firstLineChars="200"/>
        <w:rPr>
          <w:rFonts w:ascii="宋体" w:hAnsi="宋体" w:cs="宋体"/>
          <w:color w:val="auto"/>
          <w:sz w:val="21"/>
          <w:szCs w:val="21"/>
        </w:rPr>
      </w:pP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（1）响应函；</w:t>
      </w: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（2）法定代表人资格证明书；</w:t>
      </w: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kern w:val="0"/>
          <w:sz w:val="21"/>
          <w:szCs w:val="21"/>
        </w:rPr>
        <w:t>（3）授权委托书</w:t>
      </w:r>
      <w:r>
        <w:rPr>
          <w:rFonts w:hint="eastAsia" w:ascii="宋体" w:hAnsi="宋体" w:cs="宋体"/>
          <w:color w:val="auto"/>
          <w:sz w:val="21"/>
          <w:szCs w:val="21"/>
        </w:rPr>
        <w:t>；</w:t>
      </w: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（4）具备履行合同所必需的设备和专业技术能力的书面声明；</w:t>
      </w: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（5）报价一览表；</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（6）承诺函；</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（7）供应商信用承诺书；</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（8）响应人资格审查承诺书；</w:t>
      </w:r>
    </w:p>
    <w:p>
      <w:pPr>
        <w:spacing w:line="40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（9）相关业绩案例一览表</w:t>
      </w:r>
    </w:p>
    <w:p>
      <w:pPr>
        <w:spacing w:line="40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（10）成交供应商项目服务人员一览表</w:t>
      </w:r>
    </w:p>
    <w:p>
      <w:pPr>
        <w:spacing w:line="400" w:lineRule="exact"/>
        <w:ind w:firstLine="420" w:firstLineChars="200"/>
        <w:rPr>
          <w:rFonts w:hint="eastAsia" w:ascii="宋体" w:hAnsi="宋体" w:cs="宋体"/>
          <w:color w:val="auto"/>
          <w:sz w:val="21"/>
          <w:szCs w:val="21"/>
        </w:rPr>
      </w:pP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11</w:t>
      </w:r>
      <w:r>
        <w:rPr>
          <w:rFonts w:hint="eastAsia" w:ascii="宋体" w:hAnsi="宋体" w:cs="宋体"/>
          <w:color w:val="auto"/>
          <w:sz w:val="21"/>
          <w:szCs w:val="21"/>
          <w:lang w:eastAsia="zh-CN"/>
        </w:rPr>
        <w:t>）</w:t>
      </w:r>
      <w:r>
        <w:rPr>
          <w:rFonts w:hint="eastAsia" w:ascii="宋体" w:hAnsi="宋体" w:cs="宋体"/>
          <w:color w:val="auto"/>
          <w:sz w:val="21"/>
          <w:szCs w:val="21"/>
        </w:rPr>
        <w:t>机械设备配备情况表</w:t>
      </w:r>
    </w:p>
    <w:p>
      <w:pPr>
        <w:spacing w:line="40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（1</w:t>
      </w:r>
      <w:r>
        <w:rPr>
          <w:rFonts w:hint="eastAsia" w:ascii="宋体" w:hAnsi="宋体" w:cs="宋体"/>
          <w:color w:val="auto"/>
          <w:sz w:val="21"/>
          <w:szCs w:val="21"/>
          <w:lang w:val="en-US" w:eastAsia="zh-CN"/>
        </w:rPr>
        <w:t>2</w:t>
      </w:r>
      <w:r>
        <w:rPr>
          <w:rFonts w:hint="eastAsia" w:ascii="宋体" w:hAnsi="宋体" w:cs="宋体"/>
          <w:color w:val="auto"/>
          <w:sz w:val="21"/>
          <w:szCs w:val="21"/>
        </w:rPr>
        <w:t>）</w:t>
      </w:r>
      <w:r>
        <w:rPr>
          <w:rFonts w:hint="eastAsia" w:ascii="宋体" w:hAnsi="宋体" w:cs="宋体"/>
          <w:color w:val="auto"/>
          <w:sz w:val="21"/>
          <w:szCs w:val="21"/>
          <w:lang w:eastAsia="zh-CN"/>
        </w:rPr>
        <w:t>投标人</w:t>
      </w:r>
      <w:r>
        <w:rPr>
          <w:rFonts w:hint="eastAsia" w:ascii="宋体" w:hAnsi="宋体" w:cs="宋体"/>
          <w:color w:val="auto"/>
          <w:sz w:val="21"/>
          <w:szCs w:val="21"/>
        </w:rPr>
        <w:t>拟组建的项目团队承诺函</w:t>
      </w:r>
    </w:p>
    <w:p>
      <w:pPr>
        <w:spacing w:line="400" w:lineRule="exact"/>
        <w:ind w:firstLine="420" w:firstLineChars="200"/>
        <w:rPr>
          <w:rFonts w:hint="eastAsia" w:ascii="宋体" w:hAnsi="宋体" w:cs="宋体"/>
          <w:color w:val="auto"/>
          <w:sz w:val="21"/>
          <w:szCs w:val="21"/>
        </w:rPr>
      </w:pP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13</w:t>
      </w:r>
      <w:r>
        <w:rPr>
          <w:rFonts w:hint="eastAsia" w:ascii="宋体" w:hAnsi="宋体" w:cs="宋体"/>
          <w:color w:val="auto"/>
          <w:sz w:val="21"/>
          <w:szCs w:val="21"/>
          <w:lang w:eastAsia="zh-CN"/>
        </w:rPr>
        <w:t>）</w:t>
      </w:r>
      <w:r>
        <w:rPr>
          <w:rFonts w:hint="eastAsia" w:ascii="宋体" w:hAnsi="宋体" w:cs="宋体"/>
          <w:color w:val="auto"/>
          <w:sz w:val="21"/>
          <w:szCs w:val="21"/>
        </w:rPr>
        <w:t>其他证明材料。</w:t>
      </w:r>
    </w:p>
    <w:p>
      <w:pPr>
        <w:spacing w:line="400" w:lineRule="exact"/>
        <w:ind w:firstLine="420" w:firstLineChars="200"/>
        <w:rPr>
          <w:rFonts w:hint="eastAsia" w:ascii="宋体" w:hAnsi="宋体" w:cs="宋体"/>
          <w:color w:val="auto"/>
          <w:sz w:val="21"/>
          <w:szCs w:val="21"/>
        </w:rPr>
      </w:pPr>
    </w:p>
    <w:p>
      <w:pPr>
        <w:spacing w:line="400" w:lineRule="exact"/>
        <w:ind w:firstLine="420" w:firstLineChars="200"/>
        <w:rPr>
          <w:rFonts w:ascii="宋体" w:hAnsi="宋体" w:cs="宋体"/>
          <w:color w:val="auto"/>
          <w:sz w:val="21"/>
          <w:szCs w:val="21"/>
        </w:rPr>
      </w:pPr>
    </w:p>
    <w:p>
      <w:pPr>
        <w:spacing w:line="400" w:lineRule="exact"/>
        <w:ind w:firstLine="420" w:firstLineChars="200"/>
        <w:rPr>
          <w:rFonts w:ascii="宋体" w:hAnsi="宋体" w:cs="宋体"/>
          <w:color w:val="auto"/>
          <w:sz w:val="21"/>
          <w:szCs w:val="21"/>
        </w:rPr>
      </w:pPr>
    </w:p>
    <w:p>
      <w:pPr>
        <w:pStyle w:val="4"/>
        <w:jc w:val="left"/>
        <w:rPr>
          <w:rFonts w:ascii="宋体" w:hAnsi="宋体" w:eastAsia="宋体" w:cs="宋体"/>
          <w:color w:val="auto"/>
          <w:sz w:val="21"/>
          <w:szCs w:val="21"/>
        </w:rPr>
      </w:pPr>
      <w:r>
        <w:rPr>
          <w:rFonts w:hint="eastAsia" w:ascii="宋体" w:hAnsi="宋体" w:eastAsia="宋体" w:cs="宋体"/>
          <w:color w:val="auto"/>
          <w:sz w:val="21"/>
          <w:szCs w:val="21"/>
        </w:rPr>
        <w:br w:type="column"/>
      </w:r>
      <w:r>
        <w:rPr>
          <w:rFonts w:hint="eastAsia" w:ascii="宋体" w:hAnsi="宋体" w:eastAsia="宋体" w:cs="宋体"/>
          <w:color w:val="auto"/>
          <w:sz w:val="21"/>
          <w:szCs w:val="21"/>
        </w:rPr>
        <w:t>附件一：</w:t>
      </w:r>
    </w:p>
    <w:p>
      <w:pPr>
        <w:spacing w:line="400" w:lineRule="exact"/>
        <w:jc w:val="center"/>
        <w:rPr>
          <w:rFonts w:ascii="宋体" w:hAnsi="宋体" w:cs="宋体"/>
          <w:b/>
          <w:color w:val="auto"/>
          <w:sz w:val="21"/>
          <w:szCs w:val="21"/>
        </w:rPr>
      </w:pPr>
      <w:r>
        <w:rPr>
          <w:rFonts w:hint="eastAsia" w:ascii="宋体" w:hAnsi="宋体" w:cs="宋体"/>
          <w:b/>
          <w:color w:val="auto"/>
          <w:sz w:val="21"/>
          <w:szCs w:val="21"/>
        </w:rPr>
        <w:t xml:space="preserve">  响  应  函</w:t>
      </w:r>
    </w:p>
    <w:p>
      <w:pPr>
        <w:spacing w:line="400" w:lineRule="exact"/>
        <w:rPr>
          <w:rFonts w:ascii="宋体" w:hAnsi="宋体" w:cs="宋体"/>
          <w:color w:val="auto"/>
          <w:sz w:val="21"/>
          <w:szCs w:val="21"/>
        </w:rPr>
      </w:pPr>
    </w:p>
    <w:p>
      <w:pPr>
        <w:spacing w:line="400" w:lineRule="exact"/>
        <w:rPr>
          <w:rFonts w:ascii="宋体" w:hAnsi="宋体" w:cs="宋体"/>
          <w:color w:val="auto"/>
          <w:sz w:val="21"/>
          <w:szCs w:val="21"/>
        </w:rPr>
      </w:pPr>
      <w:r>
        <w:rPr>
          <w:rFonts w:hint="eastAsia" w:ascii="宋体" w:hAnsi="宋体" w:cs="宋体"/>
          <w:color w:val="auto"/>
          <w:sz w:val="21"/>
          <w:szCs w:val="21"/>
        </w:rPr>
        <w:t>致：</w:t>
      </w:r>
      <w:r>
        <w:rPr>
          <w:rFonts w:hint="eastAsia" w:ascii="宋体" w:hAnsi="宋体" w:cs="宋体"/>
          <w:color w:val="auto"/>
          <w:sz w:val="21"/>
          <w:szCs w:val="21"/>
          <w:u w:val="single"/>
        </w:rPr>
        <w:t xml:space="preserve">                （采购人名称）</w:t>
      </w:r>
    </w:p>
    <w:p>
      <w:pPr>
        <w:pStyle w:val="13"/>
        <w:spacing w:line="400" w:lineRule="exact"/>
        <w:ind w:firstLine="420" w:firstLineChars="200"/>
        <w:rPr>
          <w:rFonts w:hint="default" w:hAnsi="宋体" w:cs="宋体"/>
          <w:color w:val="auto"/>
          <w:sz w:val="21"/>
          <w:szCs w:val="21"/>
        </w:rPr>
      </w:pPr>
      <w:r>
        <w:rPr>
          <w:rFonts w:hAnsi="宋体" w:cs="宋体"/>
          <w:color w:val="auto"/>
          <w:sz w:val="21"/>
          <w:szCs w:val="21"/>
        </w:rPr>
        <w:t>我单位收到贵单位</w:t>
      </w:r>
      <w:r>
        <w:rPr>
          <w:rFonts w:hAnsi="宋体" w:cs="宋体"/>
          <w:color w:val="auto"/>
          <w:sz w:val="21"/>
          <w:szCs w:val="21"/>
          <w:u w:val="single"/>
        </w:rPr>
        <w:t xml:space="preserve">                   （项目编号）</w:t>
      </w:r>
      <w:r>
        <w:rPr>
          <w:rFonts w:hAnsi="宋体" w:cs="宋体"/>
          <w:color w:val="auto"/>
          <w:sz w:val="21"/>
          <w:szCs w:val="21"/>
        </w:rPr>
        <w:t>磋商文件后，经详细研究，我们决定参加该项目采购活动。为此，我方郑重声明以下诸点，并负法律责任。</w:t>
      </w:r>
    </w:p>
    <w:p>
      <w:pPr>
        <w:pStyle w:val="13"/>
        <w:spacing w:line="400" w:lineRule="exact"/>
        <w:ind w:firstLine="420" w:firstLineChars="200"/>
        <w:rPr>
          <w:rFonts w:hint="default" w:hAnsi="宋体" w:cs="宋体"/>
          <w:color w:val="auto"/>
          <w:sz w:val="21"/>
          <w:szCs w:val="21"/>
        </w:rPr>
      </w:pPr>
      <w:r>
        <w:rPr>
          <w:rFonts w:hAnsi="宋体" w:cs="宋体"/>
          <w:color w:val="auto"/>
          <w:sz w:val="21"/>
          <w:szCs w:val="21"/>
        </w:rPr>
        <w:t>1、按磋商文件规定的各项要求，向采购人提供所需货物与服务。</w:t>
      </w:r>
      <w:r>
        <w:rPr>
          <w:rFonts w:hAnsi="宋体" w:cs="宋体"/>
          <w:color w:val="auto"/>
          <w:sz w:val="21"/>
          <w:szCs w:val="21"/>
        </w:rPr>
        <w:t>磋商报价包括但不限于</w:t>
      </w:r>
      <w:r>
        <w:rPr>
          <w:rFonts w:hAnsi="宋体"/>
          <w:color w:val="auto"/>
          <w:sz w:val="21"/>
          <w:szCs w:val="21"/>
        </w:rPr>
        <w:t>该项目的现场保洁、清理、设备、辅助材料、人工、机械、运输、仓储、安装、调试、备品备件、保险、劳保、利润、各种税费、培训、专利技术、不可预见费用等一切费用。</w:t>
      </w:r>
    </w:p>
    <w:p>
      <w:pPr>
        <w:pStyle w:val="13"/>
        <w:spacing w:line="400" w:lineRule="exact"/>
        <w:ind w:firstLine="420" w:firstLineChars="200"/>
        <w:rPr>
          <w:rFonts w:hint="default" w:hAnsi="宋体" w:cs="宋体"/>
          <w:color w:val="auto"/>
          <w:sz w:val="21"/>
          <w:szCs w:val="21"/>
        </w:rPr>
      </w:pPr>
      <w:r>
        <w:rPr>
          <w:rFonts w:hAnsi="宋体" w:cs="宋体"/>
          <w:color w:val="auto"/>
          <w:sz w:val="21"/>
          <w:szCs w:val="21"/>
        </w:rPr>
        <w:t>2、我方承诺质量、工期满足采购方要求。</w:t>
      </w:r>
    </w:p>
    <w:p>
      <w:pPr>
        <w:pStyle w:val="13"/>
        <w:spacing w:line="400" w:lineRule="exact"/>
        <w:ind w:firstLine="420" w:firstLineChars="200"/>
        <w:rPr>
          <w:rFonts w:hint="default" w:hAnsi="宋体" w:cs="宋体"/>
          <w:color w:val="auto"/>
          <w:sz w:val="21"/>
          <w:szCs w:val="21"/>
        </w:rPr>
      </w:pPr>
      <w:r>
        <w:rPr>
          <w:rFonts w:hAnsi="宋体" w:cs="宋体"/>
          <w:color w:val="auto"/>
          <w:sz w:val="21"/>
          <w:szCs w:val="21"/>
        </w:rPr>
        <w:t>3、我方承诺财务状况良好，依法缴纳税收和社会保障资金，具备履行合同所必需的设备和专业技术能力，参加采购活动前3年内在经营活动中没有重大违法记录。</w:t>
      </w:r>
    </w:p>
    <w:p>
      <w:pPr>
        <w:pStyle w:val="13"/>
        <w:spacing w:line="400" w:lineRule="exact"/>
        <w:ind w:firstLine="420" w:firstLineChars="200"/>
        <w:rPr>
          <w:rFonts w:hint="default" w:hAnsi="宋体" w:cs="宋体"/>
          <w:color w:val="auto"/>
          <w:sz w:val="21"/>
          <w:szCs w:val="21"/>
        </w:rPr>
      </w:pPr>
      <w:r>
        <w:rPr>
          <w:rFonts w:hAnsi="宋体" w:cs="宋体"/>
          <w:color w:val="auto"/>
          <w:sz w:val="21"/>
          <w:szCs w:val="21"/>
        </w:rPr>
        <w:t>4、我方承诺该响应文件在该项目的全过程中保持有效，不作任何更改和变动。</w:t>
      </w:r>
    </w:p>
    <w:p>
      <w:pPr>
        <w:pStyle w:val="13"/>
        <w:spacing w:line="400" w:lineRule="exact"/>
        <w:ind w:firstLine="420" w:firstLineChars="200"/>
        <w:rPr>
          <w:rFonts w:hint="default" w:hAnsi="宋体" w:cs="宋体"/>
          <w:color w:val="auto"/>
          <w:sz w:val="21"/>
          <w:szCs w:val="21"/>
        </w:rPr>
      </w:pPr>
      <w:r>
        <w:rPr>
          <w:rFonts w:hAnsi="宋体" w:cs="宋体"/>
          <w:color w:val="auto"/>
          <w:sz w:val="21"/>
          <w:szCs w:val="21"/>
        </w:rPr>
        <w:t>5、我们愿按《中华人民共和国民法典》履行自己的全部责任。</w:t>
      </w:r>
    </w:p>
    <w:p>
      <w:pPr>
        <w:pStyle w:val="13"/>
        <w:spacing w:line="400" w:lineRule="exact"/>
        <w:ind w:firstLine="420" w:firstLineChars="200"/>
        <w:rPr>
          <w:rFonts w:hint="default" w:hAnsi="宋体" w:cs="宋体"/>
          <w:color w:val="auto"/>
          <w:sz w:val="21"/>
          <w:szCs w:val="21"/>
        </w:rPr>
      </w:pPr>
      <w:r>
        <w:rPr>
          <w:rFonts w:hAnsi="宋体" w:cs="宋体"/>
          <w:color w:val="auto"/>
          <w:sz w:val="21"/>
          <w:szCs w:val="21"/>
        </w:rPr>
        <w:t>6、我方同意按磋商文件规定交纳磋商保证金（如需），遵守贵机构有关采购活动的各项规定。</w:t>
      </w:r>
    </w:p>
    <w:p>
      <w:pPr>
        <w:pStyle w:val="13"/>
        <w:spacing w:line="400" w:lineRule="exact"/>
        <w:ind w:firstLine="420" w:firstLineChars="200"/>
        <w:rPr>
          <w:rFonts w:hint="default" w:hAnsi="宋体" w:cs="宋体"/>
          <w:color w:val="auto"/>
          <w:sz w:val="21"/>
          <w:szCs w:val="21"/>
        </w:rPr>
      </w:pPr>
      <w:r>
        <w:rPr>
          <w:rFonts w:hAnsi="宋体" w:cs="宋体"/>
          <w:color w:val="auto"/>
          <w:sz w:val="21"/>
          <w:szCs w:val="21"/>
        </w:rPr>
        <w:t>7、愿意提供磋商文件中要求所有资料，并保证完全真实准确，若有虚假和违背，我公司愿意承担由此而产生的一切后果。</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8、与本次采购活动有关的正式通讯地址为：</w:t>
      </w:r>
    </w:p>
    <w:p>
      <w:pPr>
        <w:spacing w:line="400" w:lineRule="exact"/>
        <w:rPr>
          <w:rFonts w:ascii="宋体" w:hAnsi="宋体" w:cs="宋体"/>
          <w:color w:val="auto"/>
          <w:sz w:val="21"/>
          <w:szCs w:val="21"/>
        </w:rPr>
      </w:pPr>
    </w:p>
    <w:p>
      <w:pPr>
        <w:spacing w:line="400" w:lineRule="exact"/>
        <w:rPr>
          <w:rFonts w:ascii="宋体" w:hAnsi="宋体" w:cs="宋体"/>
          <w:color w:val="auto"/>
          <w:sz w:val="21"/>
          <w:szCs w:val="21"/>
        </w:rPr>
      </w:pPr>
      <w:r>
        <w:rPr>
          <w:rFonts w:hint="eastAsia" w:ascii="宋体" w:hAnsi="宋体" w:cs="宋体"/>
          <w:color w:val="auto"/>
          <w:sz w:val="21"/>
          <w:szCs w:val="21"/>
        </w:rPr>
        <w:t>地   址：                  </w:t>
      </w:r>
    </w:p>
    <w:p>
      <w:pPr>
        <w:spacing w:line="400" w:lineRule="exact"/>
        <w:rPr>
          <w:rFonts w:ascii="宋体" w:hAnsi="宋体" w:cs="宋体"/>
          <w:color w:val="auto"/>
          <w:sz w:val="21"/>
          <w:szCs w:val="21"/>
        </w:rPr>
      </w:pPr>
      <w:r>
        <w:rPr>
          <w:rFonts w:hint="eastAsia" w:ascii="宋体" w:hAnsi="宋体" w:cs="宋体"/>
          <w:color w:val="auto"/>
          <w:sz w:val="21"/>
          <w:szCs w:val="21"/>
        </w:rPr>
        <w:t>电   话：                  </w:t>
      </w:r>
    </w:p>
    <w:p>
      <w:pPr>
        <w:spacing w:line="400" w:lineRule="exact"/>
        <w:rPr>
          <w:rFonts w:ascii="宋体" w:hAnsi="宋体" w:cs="宋体"/>
          <w:color w:val="auto"/>
          <w:sz w:val="21"/>
          <w:szCs w:val="21"/>
        </w:rPr>
      </w:pPr>
      <w:r>
        <w:rPr>
          <w:rFonts w:hint="eastAsia" w:ascii="宋体" w:hAnsi="宋体" w:cs="宋体"/>
          <w:color w:val="auto"/>
          <w:sz w:val="21"/>
          <w:szCs w:val="21"/>
        </w:rPr>
        <w:t>传   真：                  </w:t>
      </w:r>
    </w:p>
    <w:p>
      <w:pPr>
        <w:spacing w:line="400" w:lineRule="exact"/>
        <w:rPr>
          <w:rFonts w:ascii="宋体" w:hAnsi="宋体" w:cs="宋体"/>
          <w:color w:val="auto"/>
          <w:sz w:val="21"/>
          <w:szCs w:val="21"/>
        </w:rPr>
      </w:pPr>
      <w:r>
        <w:rPr>
          <w:rFonts w:hint="eastAsia" w:ascii="宋体" w:hAnsi="宋体" w:cs="宋体"/>
          <w:color w:val="auto"/>
          <w:sz w:val="21"/>
          <w:szCs w:val="21"/>
        </w:rPr>
        <w:t>响应人法定代表人或代理人（签字或盖章）：       </w:t>
      </w:r>
    </w:p>
    <w:p>
      <w:pPr>
        <w:spacing w:line="400" w:lineRule="exact"/>
        <w:rPr>
          <w:rFonts w:ascii="宋体" w:hAnsi="宋体" w:cs="宋体"/>
          <w:color w:val="auto"/>
          <w:sz w:val="21"/>
          <w:szCs w:val="21"/>
        </w:rPr>
      </w:pPr>
      <w:r>
        <w:rPr>
          <w:rFonts w:hint="eastAsia" w:ascii="宋体" w:hAnsi="宋体" w:cs="宋体"/>
          <w:color w:val="auto"/>
          <w:sz w:val="21"/>
          <w:szCs w:val="21"/>
        </w:rPr>
        <w:t>响应人名称（盖章）：             </w:t>
      </w:r>
    </w:p>
    <w:p>
      <w:pPr>
        <w:spacing w:line="400" w:lineRule="exact"/>
        <w:rPr>
          <w:rFonts w:ascii="宋体" w:hAnsi="宋体" w:cs="宋体"/>
          <w:color w:val="auto"/>
          <w:sz w:val="21"/>
          <w:szCs w:val="21"/>
        </w:rPr>
      </w:pPr>
      <w:r>
        <w:rPr>
          <w:rFonts w:hint="eastAsia" w:ascii="宋体" w:hAnsi="宋体" w:cs="宋体"/>
          <w:color w:val="auto"/>
          <w:sz w:val="21"/>
          <w:szCs w:val="21"/>
        </w:rPr>
        <w:t>日    期：     年    月    日</w:t>
      </w:r>
    </w:p>
    <w:p>
      <w:pPr>
        <w:spacing w:line="400" w:lineRule="exact"/>
        <w:rPr>
          <w:rFonts w:ascii="宋体" w:hAnsi="宋体" w:cs="宋体"/>
          <w:b/>
          <w:color w:val="auto"/>
          <w:sz w:val="21"/>
          <w:szCs w:val="21"/>
        </w:rPr>
      </w:pPr>
      <w:r>
        <w:rPr>
          <w:rFonts w:hint="eastAsia" w:ascii="宋体" w:hAnsi="宋体" w:cs="宋体"/>
          <w:b/>
          <w:color w:val="auto"/>
          <w:sz w:val="21"/>
          <w:szCs w:val="21"/>
        </w:rPr>
        <w:br w:type="page"/>
      </w:r>
      <w:r>
        <w:rPr>
          <w:rFonts w:hint="eastAsia" w:ascii="宋体" w:hAnsi="宋体" w:cs="宋体"/>
          <w:b/>
          <w:color w:val="auto"/>
          <w:sz w:val="21"/>
          <w:szCs w:val="21"/>
        </w:rPr>
        <w:t>附件二：</w:t>
      </w:r>
    </w:p>
    <w:p>
      <w:pPr>
        <w:snapToGrid w:val="0"/>
        <w:spacing w:line="400" w:lineRule="exact"/>
        <w:jc w:val="center"/>
        <w:rPr>
          <w:rFonts w:ascii="宋体" w:hAnsi="宋体" w:cs="宋体"/>
          <w:b/>
          <w:color w:val="auto"/>
          <w:sz w:val="21"/>
          <w:szCs w:val="21"/>
        </w:rPr>
      </w:pPr>
      <w:r>
        <w:rPr>
          <w:rFonts w:hint="eastAsia" w:ascii="宋体" w:hAnsi="宋体" w:cs="宋体"/>
          <w:b/>
          <w:color w:val="auto"/>
          <w:sz w:val="21"/>
          <w:szCs w:val="21"/>
        </w:rPr>
        <w:t>法定代表人资格证明书</w:t>
      </w:r>
    </w:p>
    <w:p>
      <w:pPr>
        <w:spacing w:line="400" w:lineRule="exact"/>
        <w:rPr>
          <w:rFonts w:ascii="宋体" w:hAnsi="宋体" w:cs="宋体"/>
          <w:color w:val="auto"/>
          <w:sz w:val="21"/>
          <w:szCs w:val="21"/>
        </w:rPr>
      </w:pPr>
      <w:r>
        <w:rPr>
          <w:rFonts w:hint="eastAsia" w:ascii="宋体" w:hAnsi="宋体" w:cs="宋体"/>
          <w:color w:val="auto"/>
          <w:sz w:val="21"/>
          <w:szCs w:val="21"/>
        </w:rPr>
        <w:t>单位名称:</w:t>
      </w:r>
    </w:p>
    <w:p>
      <w:pPr>
        <w:spacing w:line="400" w:lineRule="exact"/>
        <w:rPr>
          <w:rFonts w:ascii="宋体" w:hAnsi="宋体" w:cs="宋体"/>
          <w:color w:val="auto"/>
          <w:sz w:val="21"/>
          <w:szCs w:val="21"/>
        </w:rPr>
      </w:pPr>
      <w:r>
        <w:rPr>
          <w:rFonts w:hint="eastAsia" w:ascii="宋体" w:hAnsi="宋体" w:cs="宋体"/>
          <w:color w:val="auto"/>
          <w:sz w:val="21"/>
          <w:szCs w:val="21"/>
        </w:rPr>
        <w:t>地址:</w:t>
      </w:r>
    </w:p>
    <w:p>
      <w:pPr>
        <w:spacing w:line="400" w:lineRule="exact"/>
        <w:rPr>
          <w:rFonts w:ascii="宋体" w:hAnsi="宋体" w:cs="宋体"/>
          <w:color w:val="auto"/>
          <w:sz w:val="21"/>
          <w:szCs w:val="21"/>
        </w:rPr>
      </w:pPr>
      <w:r>
        <w:rPr>
          <w:rFonts w:hint="eastAsia" w:ascii="宋体" w:hAnsi="宋体" w:cs="宋体"/>
          <w:color w:val="auto"/>
          <w:sz w:val="21"/>
          <w:szCs w:val="21"/>
        </w:rPr>
        <w:t>姓名:            性别:        年龄:        职务:</w:t>
      </w:r>
    </w:p>
    <w:p>
      <w:pPr>
        <w:spacing w:line="400" w:lineRule="exact"/>
        <w:rPr>
          <w:rFonts w:ascii="宋体" w:hAnsi="宋体" w:cs="宋体"/>
          <w:color w:val="auto"/>
          <w:sz w:val="21"/>
          <w:szCs w:val="21"/>
        </w:rPr>
      </w:pPr>
      <w:r>
        <w:rPr>
          <w:rFonts w:hint="eastAsia" w:ascii="宋体" w:hAnsi="宋体" w:cs="宋体"/>
          <w:color w:val="auto"/>
          <w:sz w:val="21"/>
          <w:szCs w:val="21"/>
        </w:rPr>
        <w:t>系</w:t>
      </w:r>
      <w:r>
        <w:rPr>
          <w:rFonts w:hint="eastAsia" w:ascii="宋体" w:hAnsi="宋体" w:cs="宋体"/>
          <w:color w:val="auto"/>
          <w:sz w:val="21"/>
          <w:szCs w:val="21"/>
          <w:u w:val="single"/>
        </w:rPr>
        <w:t xml:space="preserve">                    </w:t>
      </w:r>
      <w:r>
        <w:rPr>
          <w:rFonts w:hint="eastAsia" w:ascii="宋体" w:hAnsi="宋体" w:cs="宋体"/>
          <w:color w:val="auto"/>
          <w:sz w:val="21"/>
          <w:szCs w:val="21"/>
        </w:rPr>
        <w:t> 的法定代表人。为实施</w:t>
      </w:r>
      <w:r>
        <w:rPr>
          <w:rFonts w:hint="eastAsia" w:ascii="宋体" w:hAnsi="宋体" w:cs="宋体"/>
          <w:color w:val="auto"/>
          <w:sz w:val="21"/>
          <w:szCs w:val="21"/>
          <w:u w:val="single"/>
        </w:rPr>
        <w:t xml:space="preserve">            </w:t>
      </w:r>
      <w:r>
        <w:rPr>
          <w:rFonts w:hint="eastAsia" w:hAnsi="宋体" w:cs="宋体"/>
          <w:color w:val="auto"/>
          <w:sz w:val="21"/>
          <w:szCs w:val="21"/>
          <w:u w:val="single"/>
        </w:rPr>
        <w:t>（项目编号）</w:t>
      </w:r>
      <w:r>
        <w:rPr>
          <w:rFonts w:hint="eastAsia" w:ascii="宋体" w:hAnsi="宋体" w:cs="宋体"/>
          <w:color w:val="auto"/>
          <w:sz w:val="21"/>
          <w:szCs w:val="21"/>
        </w:rPr>
        <w:t>的工作，签署上述项目的响应文件、进行合同磋商、签署合同和处理与之有关的一切事务。</w:t>
      </w:r>
    </w:p>
    <w:p>
      <w:pPr>
        <w:spacing w:line="400" w:lineRule="exact"/>
        <w:rPr>
          <w:rFonts w:ascii="宋体" w:hAnsi="宋体" w:cs="宋体"/>
          <w:color w:val="auto"/>
          <w:sz w:val="21"/>
          <w:szCs w:val="21"/>
        </w:rPr>
      </w:pPr>
      <w:r>
        <w:rPr>
          <w:rFonts w:hint="eastAsia" w:ascii="宋体" w:hAnsi="宋体" w:cs="宋体"/>
          <w:color w:val="auto"/>
          <w:sz w:val="21"/>
          <w:szCs w:val="21"/>
        </w:rPr>
        <w:t>特此证明。</w:t>
      </w:r>
    </w:p>
    <w:p>
      <w:pPr>
        <w:spacing w:line="400" w:lineRule="exact"/>
        <w:rPr>
          <w:rFonts w:ascii="宋体" w:hAnsi="宋体" w:cs="宋体"/>
          <w:color w:val="auto"/>
          <w:sz w:val="21"/>
          <w:szCs w:val="21"/>
        </w:rPr>
      </w:pPr>
    </w:p>
    <w:p>
      <w:pPr>
        <w:spacing w:line="400" w:lineRule="exact"/>
        <w:rPr>
          <w:rFonts w:ascii="宋体" w:hAnsi="宋体" w:cs="宋体"/>
          <w:color w:val="auto"/>
          <w:sz w:val="21"/>
          <w:szCs w:val="21"/>
        </w:rPr>
      </w:pPr>
      <w:r>
        <w:rPr>
          <w:rFonts w:hint="eastAsia" w:ascii="宋体" w:hAnsi="宋体" w:cs="宋体"/>
          <w:color w:val="auto"/>
          <w:sz w:val="21"/>
          <w:szCs w:val="21"/>
        </w:rPr>
        <w:t>                 响应人：（盖章）</w:t>
      </w:r>
    </w:p>
    <w:p>
      <w:pPr>
        <w:spacing w:line="400" w:lineRule="exact"/>
        <w:rPr>
          <w:rFonts w:ascii="宋体" w:hAnsi="宋体" w:cs="宋体"/>
          <w:color w:val="auto"/>
          <w:sz w:val="21"/>
          <w:szCs w:val="21"/>
        </w:rPr>
      </w:pPr>
      <w:r>
        <w:rPr>
          <w:rFonts w:hint="eastAsia" w:ascii="宋体" w:hAnsi="宋体" w:cs="宋体"/>
          <w:color w:val="auto"/>
          <w:sz w:val="21"/>
          <w:szCs w:val="21"/>
        </w:rPr>
        <w:t>                     法定代表人（签字或盖章）：</w:t>
      </w:r>
    </w:p>
    <w:p>
      <w:pPr>
        <w:spacing w:line="400" w:lineRule="exact"/>
        <w:ind w:firstLine="3570" w:firstLineChars="1700"/>
        <w:rPr>
          <w:rFonts w:ascii="宋体" w:hAnsi="宋体" w:cs="宋体"/>
          <w:color w:val="auto"/>
          <w:sz w:val="21"/>
          <w:szCs w:val="21"/>
        </w:rPr>
      </w:pPr>
      <w:r>
        <w:rPr>
          <w:rFonts w:hint="eastAsia" w:ascii="宋体" w:hAnsi="宋体" w:cs="宋体"/>
          <w:color w:val="auto"/>
          <w:sz w:val="21"/>
          <w:szCs w:val="21"/>
        </w:rPr>
        <w:t>日期：    年    月    日</w:t>
      </w:r>
    </w:p>
    <w:p>
      <w:pPr>
        <w:spacing w:line="400" w:lineRule="exact"/>
        <w:jc w:val="center"/>
        <w:rPr>
          <w:rFonts w:ascii="宋体" w:hAnsi="宋体" w:cs="宋体"/>
          <w:color w:val="auto"/>
          <w:sz w:val="21"/>
          <w:szCs w:val="21"/>
        </w:rPr>
      </w:pPr>
    </w:p>
    <w:p>
      <w:pPr>
        <w:spacing w:line="400" w:lineRule="exact"/>
        <w:jc w:val="center"/>
        <w:rPr>
          <w:rFonts w:ascii="宋体" w:hAnsi="宋体" w:cs="宋体"/>
          <w:color w:val="auto"/>
          <w:sz w:val="21"/>
          <w:szCs w:val="21"/>
        </w:rPr>
      </w:pPr>
    </w:p>
    <w:p>
      <w:pPr>
        <w:spacing w:line="400" w:lineRule="exact"/>
        <w:jc w:val="center"/>
        <w:rPr>
          <w:rFonts w:ascii="宋体" w:hAnsi="宋体" w:cs="宋体"/>
          <w:color w:val="auto"/>
          <w:sz w:val="21"/>
          <w:szCs w:val="21"/>
        </w:rPr>
      </w:pPr>
    </w:p>
    <w:p>
      <w:pPr>
        <w:spacing w:line="400" w:lineRule="exact"/>
        <w:jc w:val="center"/>
        <w:rPr>
          <w:rFonts w:ascii="宋体" w:hAnsi="宋体" w:cs="宋体"/>
          <w:color w:val="auto"/>
          <w:sz w:val="21"/>
          <w:szCs w:val="21"/>
        </w:rPr>
      </w:pPr>
      <w:r>
        <w:rPr>
          <w:rFonts w:hint="eastAsia" w:ascii="宋体" w:hAnsi="宋体" w:cs="宋体"/>
          <w:color w:val="auto"/>
          <w:sz w:val="21"/>
          <w:szCs w:val="21"/>
        </w:rPr>
        <w:t>法定代表人身份证</w:t>
      </w:r>
    </w:p>
    <w:p>
      <w:pPr>
        <w:spacing w:line="400" w:lineRule="exact"/>
        <w:jc w:val="center"/>
        <w:rPr>
          <w:rFonts w:ascii="宋体" w:hAnsi="宋体" w:cs="宋体"/>
          <w:color w:val="auto"/>
          <w:sz w:val="21"/>
          <w:szCs w:val="21"/>
        </w:rPr>
      </w:pPr>
      <w:r>
        <w:rPr>
          <w:rFonts w:hint="eastAsia" w:ascii="宋体" w:hAnsi="宋体" w:cs="宋体"/>
          <w:color w:val="auto"/>
          <w:sz w:val="21"/>
          <w:szCs w:val="21"/>
        </w:rPr>
        <w:t>（复印件）</w:t>
      </w: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pacing w:line="400" w:lineRule="exact"/>
        <w:rPr>
          <w:rFonts w:ascii="宋体" w:hAnsi="宋体" w:cs="宋体"/>
          <w:b/>
          <w:color w:val="auto"/>
          <w:sz w:val="21"/>
          <w:szCs w:val="21"/>
        </w:rPr>
      </w:pPr>
      <w:bookmarkStart w:id="67" w:name="_Toc517793379"/>
      <w:r>
        <w:rPr>
          <w:rFonts w:hint="eastAsia" w:ascii="宋体" w:hAnsi="宋体" w:cs="宋体"/>
          <w:b/>
          <w:color w:val="auto"/>
          <w:sz w:val="21"/>
          <w:szCs w:val="21"/>
        </w:rPr>
        <w:t>附件三：</w:t>
      </w:r>
      <w:bookmarkEnd w:id="67"/>
    </w:p>
    <w:p>
      <w:pPr>
        <w:snapToGrid w:val="0"/>
        <w:spacing w:line="400" w:lineRule="exact"/>
        <w:jc w:val="center"/>
        <w:rPr>
          <w:rFonts w:ascii="宋体" w:hAnsi="宋体" w:cs="宋体"/>
          <w:b/>
          <w:color w:val="auto"/>
          <w:sz w:val="21"/>
          <w:szCs w:val="21"/>
        </w:rPr>
      </w:pPr>
      <w:r>
        <w:rPr>
          <w:rFonts w:hint="eastAsia" w:ascii="宋体" w:hAnsi="宋体" w:cs="宋体"/>
          <w:b/>
          <w:color w:val="auto"/>
          <w:sz w:val="21"/>
          <w:szCs w:val="21"/>
        </w:rPr>
        <w:t>授权委托书</w:t>
      </w:r>
    </w:p>
    <w:p>
      <w:pPr>
        <w:snapToGrid w:val="0"/>
        <w:spacing w:line="400" w:lineRule="exact"/>
        <w:ind w:firstLine="420" w:firstLineChars="200"/>
        <w:rPr>
          <w:rFonts w:ascii="宋体" w:hAnsi="宋体" w:cs="宋体"/>
          <w:color w:val="auto"/>
          <w:sz w:val="21"/>
          <w:szCs w:val="21"/>
        </w:rPr>
      </w:pP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本授权委托书声明：__________________（响应人名称）的________________（法定代表人姓名、职务）代表响应人授权_______________（被授权人的姓名、职务）为</w:t>
      </w:r>
      <w:r>
        <w:rPr>
          <w:rFonts w:hint="eastAsia" w:ascii="宋体" w:hAnsi="宋体" w:cs="宋体"/>
          <w:color w:val="auto"/>
          <w:sz w:val="21"/>
          <w:szCs w:val="21"/>
          <w:u w:val="single"/>
        </w:rPr>
        <w:t xml:space="preserve">       </w:t>
      </w:r>
      <w:r>
        <w:rPr>
          <w:rFonts w:hint="eastAsia" w:ascii="宋体" w:hAnsi="宋体" w:cs="宋体"/>
          <w:color w:val="auto"/>
          <w:sz w:val="21"/>
          <w:szCs w:val="21"/>
        </w:rPr>
        <w:t>项目采购的合法代理人，全权负责参加本次采购项目磋商、签订合约以及与之相关的各项工作。本响应人对代理人的签名负全部责任。</w:t>
      </w: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本授权书于__________年_______月________日签字生效，特此声明。</w:t>
      </w:r>
    </w:p>
    <w:p>
      <w:pPr>
        <w:snapToGrid w:val="0"/>
        <w:spacing w:line="400" w:lineRule="exact"/>
        <w:rPr>
          <w:rFonts w:ascii="宋体" w:hAnsi="宋体" w:cs="宋体"/>
          <w:color w:val="auto"/>
          <w:sz w:val="21"/>
          <w:szCs w:val="21"/>
        </w:rPr>
      </w:pPr>
    </w:p>
    <w:p>
      <w:pPr>
        <w:snapToGrid w:val="0"/>
        <w:spacing w:line="400" w:lineRule="exact"/>
        <w:rPr>
          <w:rFonts w:ascii="宋体" w:hAnsi="宋体" w:cs="宋体"/>
          <w:color w:val="auto"/>
          <w:sz w:val="21"/>
          <w:szCs w:val="21"/>
        </w:rPr>
      </w:pPr>
    </w:p>
    <w:p>
      <w:pPr>
        <w:snapToGrid w:val="0"/>
        <w:spacing w:line="400" w:lineRule="exact"/>
        <w:rPr>
          <w:rFonts w:ascii="宋体" w:hAnsi="宋体" w:cs="宋体"/>
          <w:color w:val="auto"/>
          <w:sz w:val="21"/>
          <w:szCs w:val="21"/>
        </w:rPr>
      </w:pPr>
      <w:r>
        <w:rPr>
          <w:rFonts w:hint="eastAsia" w:ascii="宋体" w:hAnsi="宋体" w:cs="宋体"/>
          <w:color w:val="auto"/>
          <w:sz w:val="21"/>
          <w:szCs w:val="21"/>
        </w:rPr>
        <w:t>响应人章：</w:t>
      </w:r>
    </w:p>
    <w:p>
      <w:pPr>
        <w:snapToGrid w:val="0"/>
        <w:spacing w:line="400" w:lineRule="exact"/>
        <w:rPr>
          <w:rFonts w:ascii="宋体" w:hAnsi="宋体" w:cs="宋体"/>
          <w:color w:val="auto"/>
          <w:sz w:val="21"/>
          <w:szCs w:val="21"/>
        </w:rPr>
      </w:pPr>
    </w:p>
    <w:p>
      <w:pPr>
        <w:snapToGrid w:val="0"/>
        <w:spacing w:line="400" w:lineRule="exact"/>
        <w:rPr>
          <w:rFonts w:ascii="宋体" w:hAnsi="宋体" w:cs="宋体"/>
          <w:color w:val="auto"/>
          <w:sz w:val="21"/>
          <w:szCs w:val="21"/>
        </w:rPr>
      </w:pPr>
      <w:r>
        <w:rPr>
          <w:rFonts w:hint="eastAsia" w:ascii="宋体" w:hAnsi="宋体" w:cs="宋体"/>
          <w:color w:val="auto"/>
          <w:sz w:val="21"/>
          <w:szCs w:val="21"/>
        </w:rPr>
        <w:t>法定代表人签字或盖章：                   日期：</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职务：                                   联系电话：</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单位名称：                               地址：</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身份证号码：</w:t>
      </w:r>
    </w:p>
    <w:p>
      <w:pPr>
        <w:snapToGrid w:val="0"/>
        <w:spacing w:line="400" w:lineRule="exact"/>
        <w:rPr>
          <w:rFonts w:ascii="宋体" w:hAnsi="宋体" w:cs="宋体"/>
          <w:color w:val="auto"/>
          <w:sz w:val="21"/>
          <w:szCs w:val="21"/>
        </w:rPr>
      </w:pPr>
    </w:p>
    <w:p>
      <w:pPr>
        <w:snapToGrid w:val="0"/>
        <w:spacing w:line="400" w:lineRule="exact"/>
        <w:rPr>
          <w:rFonts w:ascii="宋体" w:hAnsi="宋体" w:cs="宋体"/>
          <w:color w:val="auto"/>
          <w:sz w:val="21"/>
          <w:szCs w:val="21"/>
        </w:rPr>
      </w:pPr>
      <w:r>
        <w:rPr>
          <w:rFonts w:hint="eastAsia" w:ascii="宋体" w:hAnsi="宋体" w:cs="宋体"/>
          <w:color w:val="auto"/>
          <w:sz w:val="21"/>
          <w:szCs w:val="21"/>
        </w:rPr>
        <w:t>代理人签字或盖章：                       日期：</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职务：                                   联系电话：</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单位名称：                               地址：</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身份证号码：</w:t>
      </w:r>
    </w:p>
    <w:p>
      <w:pPr>
        <w:snapToGrid w:val="0"/>
        <w:spacing w:line="400" w:lineRule="exact"/>
        <w:rPr>
          <w:rFonts w:ascii="宋体" w:hAnsi="宋体" w:cs="宋体"/>
          <w:color w:val="auto"/>
          <w:sz w:val="21"/>
          <w:szCs w:val="21"/>
        </w:rPr>
      </w:pPr>
    </w:p>
    <w:p>
      <w:pPr>
        <w:snapToGrid w:val="0"/>
        <w:spacing w:line="400" w:lineRule="exact"/>
        <w:rPr>
          <w:rFonts w:ascii="宋体" w:hAnsi="宋体" w:cs="宋体"/>
          <w:color w:val="auto"/>
          <w:sz w:val="21"/>
          <w:szCs w:val="21"/>
        </w:rPr>
      </w:pPr>
    </w:p>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代理人身份证</w:t>
      </w:r>
    </w:p>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（复印件）</w:t>
      </w:r>
    </w:p>
    <w:p>
      <w:pPr>
        <w:pStyle w:val="2"/>
        <w:ind w:left="560"/>
        <w:rPr>
          <w:rFonts w:ascii="宋体" w:hAnsi="宋体" w:cs="宋体"/>
          <w:color w:val="auto"/>
          <w:sz w:val="21"/>
          <w:szCs w:val="21"/>
        </w:rPr>
      </w:pPr>
    </w:p>
    <w:p>
      <w:pPr>
        <w:rPr>
          <w:rFonts w:ascii="宋体" w:hAnsi="宋体" w:cs="宋体"/>
          <w:color w:val="auto"/>
          <w:sz w:val="21"/>
          <w:szCs w:val="21"/>
        </w:rPr>
      </w:pPr>
    </w:p>
    <w:p>
      <w:pPr>
        <w:pStyle w:val="2"/>
        <w:ind w:left="560"/>
        <w:rPr>
          <w:rFonts w:ascii="宋体" w:hAnsi="宋体" w:cs="宋体"/>
          <w:color w:val="auto"/>
          <w:sz w:val="21"/>
          <w:szCs w:val="21"/>
        </w:rPr>
      </w:pPr>
    </w:p>
    <w:p>
      <w:pPr>
        <w:rPr>
          <w:rFonts w:ascii="宋体" w:hAnsi="宋体" w:cs="宋体"/>
          <w:color w:val="auto"/>
          <w:sz w:val="21"/>
          <w:szCs w:val="21"/>
        </w:rPr>
      </w:pPr>
    </w:p>
    <w:p>
      <w:pPr>
        <w:pStyle w:val="7"/>
        <w:ind w:firstLine="0"/>
        <w:jc w:val="left"/>
        <w:rPr>
          <w:rFonts w:ascii="宋体" w:hAnsi="宋体" w:cs="宋体"/>
          <w:b/>
          <w:color w:val="auto"/>
          <w:sz w:val="21"/>
          <w:szCs w:val="21"/>
        </w:rPr>
      </w:pPr>
      <w:bookmarkStart w:id="68" w:name="_Toc288738394"/>
      <w:bookmarkStart w:id="69" w:name="_Toc288738836"/>
      <w:r>
        <w:rPr>
          <w:rFonts w:hint="eastAsia" w:ascii="宋体" w:hAnsi="宋体" w:cs="宋体"/>
          <w:b/>
          <w:color w:val="auto"/>
          <w:sz w:val="21"/>
          <w:szCs w:val="21"/>
        </w:rPr>
        <w:br w:type="page"/>
      </w:r>
      <w:r>
        <w:rPr>
          <w:rFonts w:hint="eastAsia" w:ascii="宋体" w:hAnsi="宋体" w:cs="宋体"/>
          <w:b/>
          <w:color w:val="auto"/>
          <w:sz w:val="21"/>
          <w:szCs w:val="21"/>
        </w:rPr>
        <w:t>附件四：</w:t>
      </w:r>
    </w:p>
    <w:bookmarkEnd w:id="68"/>
    <w:bookmarkEnd w:id="69"/>
    <w:p>
      <w:pPr>
        <w:spacing w:line="400" w:lineRule="exact"/>
        <w:jc w:val="center"/>
        <w:rPr>
          <w:rFonts w:ascii="宋体" w:hAnsi="宋体" w:cs="宋体"/>
          <w:b/>
          <w:color w:val="auto"/>
          <w:sz w:val="21"/>
          <w:szCs w:val="21"/>
        </w:rPr>
      </w:pPr>
      <w:bookmarkStart w:id="70" w:name="_Toc288738396"/>
      <w:bookmarkStart w:id="71" w:name="_Toc288738838"/>
      <w:r>
        <w:rPr>
          <w:rFonts w:hint="eastAsia" w:ascii="宋体" w:hAnsi="宋体" w:cs="宋体"/>
          <w:b/>
          <w:color w:val="auto"/>
          <w:sz w:val="21"/>
          <w:szCs w:val="21"/>
        </w:rPr>
        <w:t>具备履行合同所必需的设备和专业技术能力的书面声明</w:t>
      </w:r>
    </w:p>
    <w:p>
      <w:pPr>
        <w:spacing w:line="400" w:lineRule="exact"/>
        <w:rPr>
          <w:rFonts w:ascii="宋体" w:hAnsi="宋体" w:cs="宋体"/>
          <w:color w:val="auto"/>
          <w:sz w:val="21"/>
          <w:szCs w:val="21"/>
        </w:rPr>
      </w:pP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我公司郑重声明：我公司具备履行本项采购合同所必需的设备和专业技术能力，为履行本项采购合同我公司具备如下主要设备和主要专业技术能力：</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主要设备有：</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主要专业技术能力有：</w:t>
      </w:r>
    </w:p>
    <w:p>
      <w:pPr>
        <w:snapToGrid w:val="0"/>
        <w:spacing w:line="400" w:lineRule="exact"/>
        <w:ind w:firstLine="420" w:firstLineChars="200"/>
        <w:rPr>
          <w:rFonts w:ascii="宋体" w:hAnsi="宋体" w:cs="宋体"/>
          <w:color w:val="auto"/>
          <w:sz w:val="21"/>
          <w:szCs w:val="21"/>
        </w:rPr>
      </w:pPr>
    </w:p>
    <w:p>
      <w:pPr>
        <w:spacing w:line="400" w:lineRule="exact"/>
        <w:rPr>
          <w:rFonts w:ascii="宋体" w:hAnsi="宋体" w:cs="宋体"/>
          <w:color w:val="auto"/>
          <w:sz w:val="21"/>
          <w:szCs w:val="21"/>
        </w:rPr>
      </w:pPr>
      <w:r>
        <w:rPr>
          <w:rFonts w:hint="eastAsia" w:ascii="宋体" w:hAnsi="宋体" w:cs="宋体"/>
          <w:color w:val="auto"/>
          <w:sz w:val="21"/>
          <w:szCs w:val="21"/>
        </w:rPr>
        <w:t>响应人（盖章）：</w:t>
      </w:r>
    </w:p>
    <w:p>
      <w:pPr>
        <w:spacing w:line="400" w:lineRule="exact"/>
        <w:rPr>
          <w:rFonts w:ascii="宋体" w:hAnsi="宋体" w:cs="宋体"/>
          <w:color w:val="auto"/>
          <w:sz w:val="21"/>
          <w:szCs w:val="21"/>
        </w:rPr>
      </w:pPr>
      <w:r>
        <w:rPr>
          <w:rFonts w:hint="eastAsia" w:ascii="宋体" w:hAnsi="宋体" w:cs="宋体"/>
          <w:color w:val="auto"/>
          <w:sz w:val="21"/>
          <w:szCs w:val="21"/>
        </w:rPr>
        <w:t>法定代表人（签字或盖章）：</w:t>
      </w:r>
    </w:p>
    <w:p>
      <w:pPr>
        <w:spacing w:line="400" w:lineRule="exact"/>
        <w:rPr>
          <w:rFonts w:ascii="宋体" w:hAnsi="宋体" w:cs="宋体"/>
          <w:color w:val="auto"/>
          <w:sz w:val="21"/>
          <w:szCs w:val="21"/>
        </w:rPr>
      </w:pPr>
      <w:r>
        <w:rPr>
          <w:rFonts w:hint="eastAsia" w:ascii="宋体" w:hAnsi="宋体" w:cs="宋体"/>
          <w:color w:val="auto"/>
          <w:sz w:val="21"/>
          <w:szCs w:val="21"/>
        </w:rPr>
        <w:t>日期：    年    月    日</w:t>
      </w:r>
    </w:p>
    <w:p>
      <w:pPr>
        <w:spacing w:line="400" w:lineRule="exact"/>
        <w:rPr>
          <w:rFonts w:ascii="宋体" w:hAnsi="宋体" w:cs="宋体"/>
          <w:color w:val="auto"/>
          <w:sz w:val="21"/>
          <w:szCs w:val="21"/>
        </w:rPr>
      </w:pPr>
    </w:p>
    <w:p>
      <w:pPr>
        <w:spacing w:line="400" w:lineRule="exact"/>
        <w:rPr>
          <w:rFonts w:ascii="宋体" w:hAnsi="宋体" w:cs="宋体"/>
          <w:color w:val="auto"/>
          <w:sz w:val="21"/>
          <w:szCs w:val="21"/>
        </w:rPr>
      </w:pPr>
    </w:p>
    <w:p>
      <w:pPr>
        <w:spacing w:line="360" w:lineRule="auto"/>
        <w:jc w:val="left"/>
        <w:rPr>
          <w:rFonts w:ascii="宋体" w:hAnsi="宋体" w:cs="宋体"/>
          <w:b/>
          <w:color w:val="auto"/>
          <w:sz w:val="21"/>
          <w:szCs w:val="21"/>
        </w:rPr>
      </w:pPr>
      <w:r>
        <w:rPr>
          <w:rFonts w:hint="eastAsia" w:ascii="宋体" w:hAnsi="宋体" w:cs="宋体"/>
          <w:b/>
          <w:color w:val="auto"/>
          <w:sz w:val="21"/>
          <w:szCs w:val="21"/>
        </w:rPr>
        <w:br w:type="page"/>
      </w:r>
      <w:r>
        <w:rPr>
          <w:rFonts w:hint="eastAsia" w:ascii="宋体" w:hAnsi="宋体" w:cs="宋体"/>
          <w:b/>
          <w:color w:val="auto"/>
          <w:sz w:val="21"/>
          <w:szCs w:val="21"/>
        </w:rPr>
        <w:t>附件五：</w:t>
      </w:r>
    </w:p>
    <w:p>
      <w:pPr>
        <w:spacing w:line="400" w:lineRule="exact"/>
        <w:jc w:val="center"/>
        <w:rPr>
          <w:rFonts w:ascii="宋体" w:hAnsi="宋体" w:cs="宋体"/>
          <w:b/>
          <w:color w:val="auto"/>
          <w:sz w:val="21"/>
          <w:szCs w:val="21"/>
        </w:rPr>
      </w:pPr>
      <w:r>
        <w:rPr>
          <w:rFonts w:hint="eastAsia" w:ascii="宋体" w:hAnsi="宋体" w:cs="宋体"/>
          <w:b/>
          <w:color w:val="auto"/>
          <w:sz w:val="21"/>
          <w:szCs w:val="21"/>
        </w:rPr>
        <w:t>报价一览表</w:t>
      </w:r>
    </w:p>
    <w:p>
      <w:pPr>
        <w:snapToGrid w:val="0"/>
        <w:spacing w:line="360" w:lineRule="auto"/>
        <w:ind w:firstLine="480"/>
        <w:rPr>
          <w:rFonts w:ascii="宋体" w:hAnsi="宋体"/>
          <w:color w:val="auto"/>
        </w:rPr>
      </w:pPr>
    </w:p>
    <w:p>
      <w:pPr>
        <w:snapToGrid w:val="0"/>
        <w:spacing w:line="400" w:lineRule="exact"/>
        <w:rPr>
          <w:rFonts w:ascii="宋体" w:hAnsi="宋体"/>
          <w:color w:val="auto"/>
          <w:sz w:val="21"/>
          <w:szCs w:val="21"/>
        </w:rPr>
      </w:pPr>
      <w:r>
        <w:rPr>
          <w:rFonts w:hint="eastAsia" w:ascii="宋体" w:hAnsi="宋体"/>
          <w:color w:val="auto"/>
          <w:sz w:val="21"/>
          <w:szCs w:val="21"/>
        </w:rPr>
        <w:t>响应人</w:t>
      </w:r>
      <w:r>
        <w:rPr>
          <w:rFonts w:ascii="宋体" w:hAnsi="宋体"/>
          <w:color w:val="auto"/>
          <w:sz w:val="21"/>
          <w:szCs w:val="21"/>
        </w:rPr>
        <w:t>名称（公章）：</w:t>
      </w:r>
    </w:p>
    <w:p>
      <w:pPr>
        <w:snapToGrid w:val="0"/>
        <w:spacing w:line="400" w:lineRule="exact"/>
        <w:rPr>
          <w:rFonts w:ascii="宋体" w:hAnsi="宋体"/>
          <w:color w:val="auto"/>
          <w:sz w:val="21"/>
          <w:szCs w:val="21"/>
        </w:rPr>
      </w:pPr>
      <w:r>
        <w:rPr>
          <w:rFonts w:ascii="宋体" w:hAnsi="宋体"/>
          <w:color w:val="auto"/>
          <w:sz w:val="21"/>
          <w:szCs w:val="21"/>
        </w:rPr>
        <w:t>招标编号：</w:t>
      </w:r>
    </w:p>
    <w:p>
      <w:pPr>
        <w:snapToGrid w:val="0"/>
        <w:spacing w:line="400" w:lineRule="exact"/>
        <w:jc w:val="right"/>
        <w:rPr>
          <w:rFonts w:ascii="宋体" w:hAnsi="宋体"/>
          <w:color w:val="auto"/>
          <w:sz w:val="21"/>
          <w:szCs w:val="21"/>
        </w:rPr>
      </w:pPr>
      <w:r>
        <w:rPr>
          <w:rFonts w:ascii="宋体" w:hAnsi="宋体"/>
          <w:color w:val="auto"/>
          <w:sz w:val="21"/>
          <w:szCs w:val="21"/>
        </w:rPr>
        <w:t>单位：人民币（</w:t>
      </w:r>
      <w:r>
        <w:rPr>
          <w:rFonts w:hint="eastAsia" w:ascii="宋体" w:hAnsi="宋体"/>
          <w:color w:val="auto"/>
          <w:sz w:val="21"/>
          <w:szCs w:val="21"/>
        </w:rPr>
        <w:t>元</w:t>
      </w:r>
      <w:r>
        <w:rPr>
          <w:rFonts w:ascii="宋体" w:hAnsi="宋体"/>
          <w:color w:val="auto"/>
          <w:sz w:val="21"/>
          <w:szCs w:val="21"/>
        </w:rPr>
        <w:t>）</w:t>
      </w:r>
    </w:p>
    <w:tbl>
      <w:tblPr>
        <w:tblStyle w:val="2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177"/>
        <w:gridCol w:w="330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1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宋体" w:hAnsi="宋体"/>
                <w:color w:val="auto"/>
                <w:sz w:val="21"/>
                <w:szCs w:val="21"/>
              </w:rPr>
            </w:pPr>
            <w:r>
              <w:rPr>
                <w:rFonts w:hint="eastAsia" w:ascii="宋体" w:hAnsi="宋体"/>
                <w:color w:val="auto"/>
                <w:sz w:val="21"/>
                <w:szCs w:val="21"/>
              </w:rPr>
              <w:t>项目</w:t>
            </w:r>
            <w:r>
              <w:rPr>
                <w:rFonts w:ascii="宋体" w:hAnsi="宋体"/>
                <w:color w:val="auto"/>
                <w:sz w:val="21"/>
                <w:szCs w:val="21"/>
              </w:rPr>
              <w:t>名称</w:t>
            </w:r>
          </w:p>
        </w:tc>
        <w:tc>
          <w:tcPr>
            <w:tcW w:w="330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宋体" w:hAnsi="宋体"/>
                <w:color w:val="auto"/>
                <w:sz w:val="21"/>
                <w:szCs w:val="21"/>
              </w:rPr>
            </w:pPr>
            <w:r>
              <w:rPr>
                <w:rFonts w:hint="eastAsia" w:ascii="宋体" w:hAnsi="宋体"/>
                <w:color w:val="auto"/>
                <w:sz w:val="21"/>
                <w:szCs w:val="21"/>
              </w:rPr>
              <w:t>投标报价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1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宋体" w:hAnsi="宋体"/>
                <w:color w:val="auto"/>
                <w:sz w:val="21"/>
                <w:szCs w:val="21"/>
              </w:rPr>
            </w:pPr>
            <w:r>
              <w:rPr>
                <w:rFonts w:hint="eastAsia" w:ascii="宋体" w:hAnsi="宋体"/>
                <w:color w:val="auto"/>
                <w:sz w:val="21"/>
                <w:szCs w:val="21"/>
              </w:rPr>
              <w:t>常州市金坛区儒林镇村庄环境卫生长效管护项目（儒林村、南社村）</w:t>
            </w:r>
          </w:p>
        </w:tc>
        <w:tc>
          <w:tcPr>
            <w:tcW w:w="330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宋体" w:hAnsi="宋体"/>
                <w:color w:val="auto"/>
                <w:sz w:val="21"/>
                <w:szCs w:val="21"/>
              </w:rPr>
            </w:pPr>
          </w:p>
        </w:tc>
      </w:tr>
    </w:tbl>
    <w:p>
      <w:pPr>
        <w:snapToGrid w:val="0"/>
        <w:spacing w:line="400" w:lineRule="exact"/>
        <w:rPr>
          <w:rFonts w:ascii="宋体" w:hAnsi="宋体"/>
          <w:color w:val="auto"/>
          <w:sz w:val="21"/>
          <w:szCs w:val="21"/>
        </w:rPr>
      </w:pPr>
    </w:p>
    <w:p>
      <w:pPr>
        <w:pStyle w:val="7"/>
        <w:rPr>
          <w:rFonts w:ascii="宋体" w:hAnsi="宋体" w:cs="宋体"/>
          <w:color w:val="auto"/>
          <w:sz w:val="21"/>
          <w:szCs w:val="21"/>
        </w:rPr>
      </w:pP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响应人（盖章）：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法定代表人（签字或盖章）：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日期：    年    月    日</w:t>
      </w:r>
    </w:p>
    <w:p>
      <w:pPr>
        <w:spacing w:line="400" w:lineRule="exact"/>
        <w:ind w:firstLine="420" w:firstLineChars="200"/>
        <w:rPr>
          <w:rFonts w:ascii="宋体" w:hAnsi="宋体" w:cs="宋体"/>
          <w:color w:val="auto"/>
          <w:sz w:val="21"/>
          <w:szCs w:val="21"/>
        </w:rPr>
      </w:pPr>
    </w:p>
    <w:p>
      <w:pPr>
        <w:pStyle w:val="23"/>
        <w:ind w:left="560" w:firstLine="422"/>
        <w:rPr>
          <w:rFonts w:ascii="宋体" w:hAnsi="宋体" w:cs="宋体"/>
          <w:b/>
          <w:bCs/>
          <w:color w:val="auto"/>
          <w:sz w:val="21"/>
          <w:szCs w:val="21"/>
        </w:rPr>
      </w:pPr>
    </w:p>
    <w:p>
      <w:pPr>
        <w:rPr>
          <w:rFonts w:ascii="宋体" w:hAnsi="宋体" w:cs="宋体"/>
          <w:b/>
          <w:bCs/>
          <w:color w:val="auto"/>
          <w:sz w:val="21"/>
          <w:szCs w:val="21"/>
        </w:rPr>
      </w:pPr>
      <w:r>
        <w:rPr>
          <w:rFonts w:ascii="宋体" w:hAnsi="宋体" w:cs="宋体"/>
          <w:b/>
          <w:bCs/>
          <w:color w:val="auto"/>
          <w:sz w:val="21"/>
          <w:szCs w:val="21"/>
        </w:rPr>
        <w:br w:type="page"/>
      </w:r>
    </w:p>
    <w:p>
      <w:pPr>
        <w:tabs>
          <w:tab w:val="left" w:pos="5465"/>
        </w:tabs>
        <w:adjustRightInd w:val="0"/>
        <w:snapToGrid w:val="0"/>
        <w:spacing w:line="440" w:lineRule="atLeast"/>
        <w:jc w:val="center"/>
        <w:outlineLvl w:val="1"/>
        <w:rPr>
          <w:rFonts w:ascii="宋体" w:hAnsi="宋体"/>
          <w:b/>
          <w:color w:val="auto"/>
          <w:sz w:val="21"/>
          <w:szCs w:val="21"/>
        </w:rPr>
      </w:pPr>
      <w:bookmarkStart w:id="72" w:name="_Toc19456625"/>
      <w:r>
        <w:rPr>
          <w:rFonts w:hint="eastAsia" w:ascii="宋体" w:hAnsi="宋体"/>
          <w:b/>
          <w:color w:val="auto"/>
          <w:sz w:val="21"/>
          <w:szCs w:val="21"/>
        </w:rPr>
        <w:t>投标分项报价表</w:t>
      </w:r>
      <w:bookmarkEnd w:id="72"/>
    </w:p>
    <w:p>
      <w:pPr>
        <w:pStyle w:val="2"/>
        <w:ind w:left="560"/>
        <w:rPr>
          <w:color w:val="auto"/>
        </w:rPr>
      </w:pPr>
    </w:p>
    <w:tbl>
      <w:tblPr>
        <w:tblStyle w:val="24"/>
        <w:tblW w:w="94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2335"/>
        <w:gridCol w:w="3162"/>
        <w:gridCol w:w="1420"/>
        <w:gridCol w:w="1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序号</w:t>
            </w:r>
          </w:p>
        </w:tc>
        <w:tc>
          <w:tcPr>
            <w:tcW w:w="2335"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 xml:space="preserve">内容 </w:t>
            </w:r>
          </w:p>
        </w:tc>
        <w:tc>
          <w:tcPr>
            <w:tcW w:w="3162"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金额（元）</w:t>
            </w:r>
          </w:p>
        </w:tc>
        <w:tc>
          <w:tcPr>
            <w:tcW w:w="1420"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计算依据</w:t>
            </w:r>
          </w:p>
        </w:tc>
        <w:tc>
          <w:tcPr>
            <w:tcW w:w="1748"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65"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一</w:t>
            </w:r>
          </w:p>
        </w:tc>
        <w:tc>
          <w:tcPr>
            <w:tcW w:w="2335"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项目负责人：1人</w:t>
            </w:r>
          </w:p>
        </w:tc>
        <w:tc>
          <w:tcPr>
            <w:tcW w:w="6330" w:type="dxa"/>
            <w:gridSpan w:val="3"/>
            <w:vAlign w:val="center"/>
          </w:tcPr>
          <w:p>
            <w:pPr>
              <w:widowControl/>
              <w:jc w:val="left"/>
              <w:rPr>
                <w:rFonts w:ascii="宋体" w:hAnsi="宋体" w:cs="宋体"/>
                <w:b/>
                <w:bCs/>
                <w:color w:val="auto"/>
                <w:kern w:val="0"/>
                <w:sz w:val="21"/>
                <w:szCs w:val="21"/>
              </w:rPr>
            </w:pPr>
            <w:r>
              <w:rPr>
                <w:rFonts w:hint="eastAsia" w:ascii="宋体" w:hAnsi="宋体" w:cs="宋体"/>
                <w:b/>
                <w:bCs/>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233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工资</w:t>
            </w:r>
          </w:p>
        </w:tc>
        <w:tc>
          <w:tcPr>
            <w:tcW w:w="3162" w:type="dxa"/>
            <w:vAlign w:val="center"/>
          </w:tcPr>
          <w:p>
            <w:pPr>
              <w:widowControl/>
              <w:jc w:val="center"/>
              <w:rPr>
                <w:rFonts w:ascii="宋体" w:hAnsi="宋体" w:cs="宋体"/>
                <w:color w:val="auto"/>
                <w:kern w:val="0"/>
                <w:sz w:val="21"/>
                <w:szCs w:val="21"/>
              </w:rPr>
            </w:pPr>
          </w:p>
        </w:tc>
        <w:tc>
          <w:tcPr>
            <w:tcW w:w="1420" w:type="dxa"/>
            <w:vAlign w:val="center"/>
          </w:tcPr>
          <w:p>
            <w:pPr>
              <w:widowControl/>
              <w:jc w:val="center"/>
              <w:rPr>
                <w:rFonts w:ascii="宋体" w:hAnsi="宋体" w:cs="宋体"/>
                <w:color w:val="auto"/>
                <w:kern w:val="0"/>
                <w:sz w:val="21"/>
                <w:szCs w:val="21"/>
              </w:rPr>
            </w:pPr>
          </w:p>
        </w:tc>
        <w:tc>
          <w:tcPr>
            <w:tcW w:w="1748"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w:t>
            </w:r>
          </w:p>
        </w:tc>
        <w:tc>
          <w:tcPr>
            <w:tcW w:w="233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节假日加班</w:t>
            </w:r>
          </w:p>
        </w:tc>
        <w:tc>
          <w:tcPr>
            <w:tcW w:w="3162" w:type="dxa"/>
            <w:vAlign w:val="center"/>
          </w:tcPr>
          <w:p>
            <w:pPr>
              <w:widowControl/>
              <w:jc w:val="center"/>
              <w:rPr>
                <w:rFonts w:ascii="宋体" w:hAnsi="宋体" w:cs="宋体"/>
                <w:color w:val="auto"/>
                <w:kern w:val="0"/>
                <w:sz w:val="21"/>
                <w:szCs w:val="21"/>
              </w:rPr>
            </w:pPr>
          </w:p>
        </w:tc>
        <w:tc>
          <w:tcPr>
            <w:tcW w:w="1420" w:type="dxa"/>
            <w:vAlign w:val="center"/>
          </w:tcPr>
          <w:p>
            <w:pPr>
              <w:widowControl/>
              <w:jc w:val="center"/>
              <w:rPr>
                <w:rFonts w:ascii="宋体" w:hAnsi="宋体" w:cs="宋体"/>
                <w:color w:val="auto"/>
                <w:kern w:val="0"/>
                <w:sz w:val="21"/>
                <w:szCs w:val="21"/>
              </w:rPr>
            </w:pPr>
          </w:p>
        </w:tc>
        <w:tc>
          <w:tcPr>
            <w:tcW w:w="1748"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4</w:t>
            </w:r>
          </w:p>
        </w:tc>
        <w:tc>
          <w:tcPr>
            <w:tcW w:w="233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高温费</w:t>
            </w:r>
          </w:p>
        </w:tc>
        <w:tc>
          <w:tcPr>
            <w:tcW w:w="3162" w:type="dxa"/>
            <w:vAlign w:val="center"/>
          </w:tcPr>
          <w:p>
            <w:pPr>
              <w:widowControl/>
              <w:jc w:val="center"/>
              <w:rPr>
                <w:rFonts w:ascii="宋体" w:hAnsi="宋体" w:cs="宋体"/>
                <w:color w:val="auto"/>
                <w:kern w:val="0"/>
                <w:sz w:val="21"/>
                <w:szCs w:val="21"/>
              </w:rPr>
            </w:pPr>
          </w:p>
        </w:tc>
        <w:tc>
          <w:tcPr>
            <w:tcW w:w="1420" w:type="dxa"/>
            <w:vAlign w:val="center"/>
          </w:tcPr>
          <w:p>
            <w:pPr>
              <w:widowControl/>
              <w:jc w:val="center"/>
              <w:rPr>
                <w:rFonts w:ascii="宋体" w:hAnsi="宋体" w:cs="宋体"/>
                <w:color w:val="auto"/>
                <w:kern w:val="0"/>
                <w:sz w:val="21"/>
                <w:szCs w:val="21"/>
              </w:rPr>
            </w:pPr>
          </w:p>
        </w:tc>
        <w:tc>
          <w:tcPr>
            <w:tcW w:w="1748"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5</w:t>
            </w:r>
          </w:p>
        </w:tc>
        <w:tc>
          <w:tcPr>
            <w:tcW w:w="233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褔利费</w:t>
            </w:r>
          </w:p>
        </w:tc>
        <w:tc>
          <w:tcPr>
            <w:tcW w:w="3162" w:type="dxa"/>
            <w:vAlign w:val="center"/>
          </w:tcPr>
          <w:p>
            <w:pPr>
              <w:widowControl/>
              <w:jc w:val="center"/>
              <w:rPr>
                <w:rFonts w:ascii="宋体" w:hAnsi="宋体" w:cs="宋体"/>
                <w:color w:val="auto"/>
                <w:kern w:val="0"/>
                <w:sz w:val="21"/>
                <w:szCs w:val="21"/>
              </w:rPr>
            </w:pPr>
          </w:p>
        </w:tc>
        <w:tc>
          <w:tcPr>
            <w:tcW w:w="1420" w:type="dxa"/>
            <w:vAlign w:val="center"/>
          </w:tcPr>
          <w:p>
            <w:pPr>
              <w:widowControl/>
              <w:jc w:val="center"/>
              <w:rPr>
                <w:rFonts w:ascii="宋体" w:hAnsi="宋体" w:cs="宋体"/>
                <w:color w:val="auto"/>
                <w:kern w:val="0"/>
                <w:sz w:val="21"/>
                <w:szCs w:val="21"/>
              </w:rPr>
            </w:pPr>
          </w:p>
        </w:tc>
        <w:tc>
          <w:tcPr>
            <w:tcW w:w="1748"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6</w:t>
            </w:r>
          </w:p>
        </w:tc>
        <w:tc>
          <w:tcPr>
            <w:tcW w:w="233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五险</w:t>
            </w:r>
          </w:p>
        </w:tc>
        <w:tc>
          <w:tcPr>
            <w:tcW w:w="3162" w:type="dxa"/>
            <w:vAlign w:val="center"/>
          </w:tcPr>
          <w:p>
            <w:pPr>
              <w:widowControl/>
              <w:jc w:val="center"/>
              <w:rPr>
                <w:rFonts w:ascii="宋体" w:hAnsi="宋体" w:cs="宋体"/>
                <w:color w:val="auto"/>
                <w:kern w:val="0"/>
                <w:sz w:val="21"/>
                <w:szCs w:val="21"/>
              </w:rPr>
            </w:pPr>
          </w:p>
        </w:tc>
        <w:tc>
          <w:tcPr>
            <w:tcW w:w="1420" w:type="dxa"/>
            <w:vAlign w:val="center"/>
          </w:tcPr>
          <w:p>
            <w:pPr>
              <w:widowControl/>
              <w:jc w:val="center"/>
              <w:rPr>
                <w:rFonts w:ascii="宋体" w:hAnsi="宋体" w:cs="宋体"/>
                <w:color w:val="auto"/>
                <w:kern w:val="0"/>
                <w:sz w:val="21"/>
                <w:szCs w:val="21"/>
              </w:rPr>
            </w:pPr>
          </w:p>
        </w:tc>
        <w:tc>
          <w:tcPr>
            <w:tcW w:w="1748"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养老、医疗、失业、工伤、生育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7</w:t>
            </w:r>
          </w:p>
        </w:tc>
        <w:tc>
          <w:tcPr>
            <w:tcW w:w="2335"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小计（元）</w:t>
            </w:r>
          </w:p>
        </w:tc>
        <w:tc>
          <w:tcPr>
            <w:tcW w:w="3162"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　</w:t>
            </w:r>
          </w:p>
        </w:tc>
        <w:tc>
          <w:tcPr>
            <w:tcW w:w="1420" w:type="dxa"/>
            <w:vAlign w:val="center"/>
          </w:tcPr>
          <w:p>
            <w:pPr>
              <w:widowControl/>
              <w:jc w:val="center"/>
              <w:rPr>
                <w:rFonts w:ascii="宋体" w:hAnsi="宋体" w:cs="宋体"/>
                <w:b/>
                <w:bCs/>
                <w:color w:val="auto"/>
                <w:kern w:val="0"/>
                <w:sz w:val="21"/>
                <w:szCs w:val="21"/>
              </w:rPr>
            </w:pPr>
          </w:p>
        </w:tc>
        <w:tc>
          <w:tcPr>
            <w:tcW w:w="1748"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b/>
                <w:bCs/>
                <w:color w:val="auto"/>
                <w:kern w:val="0"/>
                <w:sz w:val="21"/>
                <w:szCs w:val="21"/>
              </w:rPr>
            </w:pPr>
          </w:p>
        </w:tc>
        <w:tc>
          <w:tcPr>
            <w:tcW w:w="2335"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w:t>
            </w:r>
          </w:p>
        </w:tc>
        <w:tc>
          <w:tcPr>
            <w:tcW w:w="3162" w:type="dxa"/>
            <w:vAlign w:val="center"/>
          </w:tcPr>
          <w:p>
            <w:pPr>
              <w:widowControl/>
              <w:jc w:val="center"/>
              <w:rPr>
                <w:rFonts w:ascii="宋体" w:hAnsi="宋体" w:cs="宋体"/>
                <w:b/>
                <w:bCs/>
                <w:color w:val="auto"/>
                <w:kern w:val="0"/>
                <w:sz w:val="21"/>
                <w:szCs w:val="21"/>
              </w:rPr>
            </w:pPr>
          </w:p>
        </w:tc>
        <w:tc>
          <w:tcPr>
            <w:tcW w:w="1420" w:type="dxa"/>
            <w:vAlign w:val="center"/>
          </w:tcPr>
          <w:p>
            <w:pPr>
              <w:widowControl/>
              <w:jc w:val="center"/>
              <w:rPr>
                <w:rFonts w:ascii="宋体" w:hAnsi="宋体" w:cs="宋体"/>
                <w:b/>
                <w:bCs/>
                <w:color w:val="auto"/>
                <w:kern w:val="0"/>
                <w:sz w:val="21"/>
                <w:szCs w:val="21"/>
              </w:rPr>
            </w:pPr>
          </w:p>
        </w:tc>
        <w:tc>
          <w:tcPr>
            <w:tcW w:w="1748" w:type="dxa"/>
            <w:vAlign w:val="center"/>
          </w:tcPr>
          <w:p>
            <w:pPr>
              <w:widowControl/>
              <w:jc w:val="center"/>
              <w:rPr>
                <w:rFonts w:ascii="宋体" w:hAnsi="宋体" w:cs="宋体"/>
                <w:b/>
                <w:bCs/>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二</w:t>
            </w:r>
          </w:p>
        </w:tc>
        <w:tc>
          <w:tcPr>
            <w:tcW w:w="2335" w:type="dxa"/>
            <w:noWrap/>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保洁员：  人</w:t>
            </w:r>
          </w:p>
        </w:tc>
        <w:tc>
          <w:tcPr>
            <w:tcW w:w="3162"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　</w:t>
            </w:r>
          </w:p>
        </w:tc>
        <w:tc>
          <w:tcPr>
            <w:tcW w:w="1420" w:type="dxa"/>
            <w:vAlign w:val="center"/>
          </w:tcPr>
          <w:p>
            <w:pPr>
              <w:widowControl/>
              <w:jc w:val="center"/>
              <w:rPr>
                <w:rFonts w:ascii="宋体" w:hAnsi="宋体" w:cs="宋体"/>
                <w:b/>
                <w:bCs/>
                <w:color w:val="auto"/>
                <w:kern w:val="0"/>
                <w:sz w:val="21"/>
                <w:szCs w:val="21"/>
              </w:rPr>
            </w:pPr>
          </w:p>
        </w:tc>
        <w:tc>
          <w:tcPr>
            <w:tcW w:w="1748"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233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工资</w:t>
            </w:r>
          </w:p>
        </w:tc>
        <w:tc>
          <w:tcPr>
            <w:tcW w:w="3162" w:type="dxa"/>
            <w:vAlign w:val="center"/>
          </w:tcPr>
          <w:p>
            <w:pPr>
              <w:widowControl/>
              <w:jc w:val="center"/>
              <w:rPr>
                <w:rFonts w:ascii="宋体" w:hAnsi="宋体" w:cs="宋体"/>
                <w:color w:val="auto"/>
                <w:kern w:val="0"/>
                <w:sz w:val="21"/>
                <w:szCs w:val="21"/>
              </w:rPr>
            </w:pPr>
          </w:p>
        </w:tc>
        <w:tc>
          <w:tcPr>
            <w:tcW w:w="1420" w:type="dxa"/>
            <w:vAlign w:val="center"/>
          </w:tcPr>
          <w:p>
            <w:pPr>
              <w:widowControl/>
              <w:jc w:val="center"/>
              <w:rPr>
                <w:rFonts w:ascii="宋体" w:hAnsi="宋体" w:cs="宋体"/>
                <w:color w:val="auto"/>
                <w:kern w:val="0"/>
                <w:sz w:val="21"/>
                <w:szCs w:val="21"/>
              </w:rPr>
            </w:pPr>
          </w:p>
        </w:tc>
        <w:tc>
          <w:tcPr>
            <w:tcW w:w="1748"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233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周末加班</w:t>
            </w:r>
          </w:p>
        </w:tc>
        <w:tc>
          <w:tcPr>
            <w:tcW w:w="3162" w:type="dxa"/>
            <w:vAlign w:val="center"/>
          </w:tcPr>
          <w:p>
            <w:pPr>
              <w:widowControl/>
              <w:jc w:val="center"/>
              <w:rPr>
                <w:rFonts w:ascii="宋体" w:hAnsi="宋体" w:cs="宋体"/>
                <w:color w:val="auto"/>
                <w:kern w:val="0"/>
                <w:sz w:val="21"/>
                <w:szCs w:val="21"/>
              </w:rPr>
            </w:pPr>
          </w:p>
        </w:tc>
        <w:tc>
          <w:tcPr>
            <w:tcW w:w="1420" w:type="dxa"/>
            <w:vAlign w:val="center"/>
          </w:tcPr>
          <w:p>
            <w:pPr>
              <w:widowControl/>
              <w:jc w:val="center"/>
              <w:rPr>
                <w:rFonts w:ascii="宋体" w:hAnsi="宋体" w:cs="宋体"/>
                <w:color w:val="auto"/>
                <w:kern w:val="0"/>
                <w:sz w:val="21"/>
                <w:szCs w:val="21"/>
              </w:rPr>
            </w:pPr>
          </w:p>
        </w:tc>
        <w:tc>
          <w:tcPr>
            <w:tcW w:w="1748"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w:t>
            </w:r>
          </w:p>
        </w:tc>
        <w:tc>
          <w:tcPr>
            <w:tcW w:w="233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节假日加班</w:t>
            </w:r>
          </w:p>
        </w:tc>
        <w:tc>
          <w:tcPr>
            <w:tcW w:w="3162" w:type="dxa"/>
            <w:vAlign w:val="center"/>
          </w:tcPr>
          <w:p>
            <w:pPr>
              <w:widowControl/>
              <w:jc w:val="center"/>
              <w:rPr>
                <w:rFonts w:ascii="宋体" w:hAnsi="宋体" w:cs="宋体"/>
                <w:color w:val="auto"/>
                <w:kern w:val="0"/>
                <w:sz w:val="21"/>
                <w:szCs w:val="21"/>
              </w:rPr>
            </w:pPr>
          </w:p>
        </w:tc>
        <w:tc>
          <w:tcPr>
            <w:tcW w:w="1420" w:type="dxa"/>
            <w:vAlign w:val="center"/>
          </w:tcPr>
          <w:p>
            <w:pPr>
              <w:widowControl/>
              <w:jc w:val="center"/>
              <w:rPr>
                <w:rFonts w:ascii="宋体" w:hAnsi="宋体" w:cs="宋体"/>
                <w:color w:val="auto"/>
                <w:kern w:val="0"/>
                <w:sz w:val="21"/>
                <w:szCs w:val="21"/>
              </w:rPr>
            </w:pPr>
          </w:p>
        </w:tc>
        <w:tc>
          <w:tcPr>
            <w:tcW w:w="1748"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4</w:t>
            </w:r>
          </w:p>
        </w:tc>
        <w:tc>
          <w:tcPr>
            <w:tcW w:w="233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高温费</w:t>
            </w:r>
          </w:p>
        </w:tc>
        <w:tc>
          <w:tcPr>
            <w:tcW w:w="3162" w:type="dxa"/>
            <w:vAlign w:val="center"/>
          </w:tcPr>
          <w:p>
            <w:pPr>
              <w:widowControl/>
              <w:jc w:val="center"/>
              <w:rPr>
                <w:rFonts w:ascii="宋体" w:hAnsi="宋体" w:cs="宋体"/>
                <w:color w:val="auto"/>
                <w:kern w:val="0"/>
                <w:sz w:val="21"/>
                <w:szCs w:val="21"/>
              </w:rPr>
            </w:pPr>
          </w:p>
        </w:tc>
        <w:tc>
          <w:tcPr>
            <w:tcW w:w="1420" w:type="dxa"/>
            <w:vAlign w:val="center"/>
          </w:tcPr>
          <w:p>
            <w:pPr>
              <w:widowControl/>
              <w:jc w:val="center"/>
              <w:rPr>
                <w:rFonts w:ascii="宋体" w:hAnsi="宋体" w:cs="宋体"/>
                <w:color w:val="auto"/>
                <w:kern w:val="0"/>
                <w:sz w:val="21"/>
                <w:szCs w:val="21"/>
              </w:rPr>
            </w:pPr>
          </w:p>
        </w:tc>
        <w:tc>
          <w:tcPr>
            <w:tcW w:w="1748"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5</w:t>
            </w:r>
          </w:p>
        </w:tc>
        <w:tc>
          <w:tcPr>
            <w:tcW w:w="233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褔利费</w:t>
            </w:r>
          </w:p>
        </w:tc>
        <w:tc>
          <w:tcPr>
            <w:tcW w:w="3162" w:type="dxa"/>
            <w:vAlign w:val="center"/>
          </w:tcPr>
          <w:p>
            <w:pPr>
              <w:widowControl/>
              <w:jc w:val="center"/>
              <w:rPr>
                <w:rFonts w:ascii="宋体" w:hAnsi="宋体" w:cs="宋体"/>
                <w:color w:val="auto"/>
                <w:kern w:val="0"/>
                <w:sz w:val="21"/>
                <w:szCs w:val="21"/>
              </w:rPr>
            </w:pPr>
          </w:p>
        </w:tc>
        <w:tc>
          <w:tcPr>
            <w:tcW w:w="1420" w:type="dxa"/>
            <w:vAlign w:val="center"/>
          </w:tcPr>
          <w:p>
            <w:pPr>
              <w:widowControl/>
              <w:jc w:val="center"/>
              <w:rPr>
                <w:rFonts w:ascii="宋体" w:hAnsi="宋体" w:cs="宋体"/>
                <w:color w:val="auto"/>
                <w:kern w:val="0"/>
                <w:sz w:val="21"/>
                <w:szCs w:val="21"/>
              </w:rPr>
            </w:pPr>
          </w:p>
        </w:tc>
        <w:tc>
          <w:tcPr>
            <w:tcW w:w="1748"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6</w:t>
            </w:r>
          </w:p>
        </w:tc>
        <w:tc>
          <w:tcPr>
            <w:tcW w:w="233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五险</w:t>
            </w:r>
          </w:p>
        </w:tc>
        <w:tc>
          <w:tcPr>
            <w:tcW w:w="3162" w:type="dxa"/>
            <w:vAlign w:val="center"/>
          </w:tcPr>
          <w:p>
            <w:pPr>
              <w:widowControl/>
              <w:jc w:val="center"/>
              <w:rPr>
                <w:rFonts w:ascii="宋体" w:hAnsi="宋体" w:cs="宋体"/>
                <w:color w:val="auto"/>
                <w:kern w:val="0"/>
                <w:sz w:val="21"/>
                <w:szCs w:val="21"/>
              </w:rPr>
            </w:pPr>
          </w:p>
        </w:tc>
        <w:tc>
          <w:tcPr>
            <w:tcW w:w="1420" w:type="dxa"/>
            <w:vAlign w:val="center"/>
          </w:tcPr>
          <w:p>
            <w:pPr>
              <w:widowControl/>
              <w:jc w:val="center"/>
              <w:rPr>
                <w:rFonts w:ascii="宋体" w:hAnsi="宋体" w:cs="宋体"/>
                <w:color w:val="auto"/>
                <w:kern w:val="0"/>
                <w:sz w:val="21"/>
                <w:szCs w:val="21"/>
              </w:rPr>
            </w:pPr>
          </w:p>
        </w:tc>
        <w:tc>
          <w:tcPr>
            <w:tcW w:w="1748"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7</w:t>
            </w:r>
          </w:p>
        </w:tc>
        <w:tc>
          <w:tcPr>
            <w:tcW w:w="233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意外险</w:t>
            </w:r>
          </w:p>
        </w:tc>
        <w:tc>
          <w:tcPr>
            <w:tcW w:w="3162" w:type="dxa"/>
            <w:vAlign w:val="center"/>
          </w:tcPr>
          <w:p>
            <w:pPr>
              <w:widowControl/>
              <w:jc w:val="center"/>
              <w:rPr>
                <w:rFonts w:ascii="宋体" w:hAnsi="宋体" w:cs="宋体"/>
                <w:color w:val="auto"/>
                <w:kern w:val="0"/>
                <w:sz w:val="21"/>
                <w:szCs w:val="21"/>
              </w:rPr>
            </w:pPr>
          </w:p>
        </w:tc>
        <w:tc>
          <w:tcPr>
            <w:tcW w:w="1420" w:type="dxa"/>
            <w:vAlign w:val="center"/>
          </w:tcPr>
          <w:p>
            <w:pPr>
              <w:widowControl/>
              <w:jc w:val="center"/>
              <w:rPr>
                <w:rFonts w:ascii="宋体" w:hAnsi="宋体" w:cs="宋体"/>
                <w:color w:val="auto"/>
                <w:kern w:val="0"/>
                <w:sz w:val="21"/>
                <w:szCs w:val="21"/>
              </w:rPr>
            </w:pPr>
          </w:p>
        </w:tc>
        <w:tc>
          <w:tcPr>
            <w:tcW w:w="1748"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8</w:t>
            </w:r>
          </w:p>
        </w:tc>
        <w:tc>
          <w:tcPr>
            <w:tcW w:w="2335"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小计（元）</w:t>
            </w:r>
          </w:p>
        </w:tc>
        <w:tc>
          <w:tcPr>
            <w:tcW w:w="3162" w:type="dxa"/>
            <w:vAlign w:val="center"/>
          </w:tcPr>
          <w:p>
            <w:pPr>
              <w:widowControl/>
              <w:jc w:val="center"/>
              <w:rPr>
                <w:rFonts w:ascii="宋体" w:hAnsi="宋体" w:cs="宋体"/>
                <w:b/>
                <w:bCs/>
                <w:color w:val="auto"/>
                <w:kern w:val="0"/>
                <w:sz w:val="21"/>
                <w:szCs w:val="21"/>
              </w:rPr>
            </w:pPr>
          </w:p>
        </w:tc>
        <w:tc>
          <w:tcPr>
            <w:tcW w:w="1420" w:type="dxa"/>
            <w:vAlign w:val="center"/>
          </w:tcPr>
          <w:p>
            <w:pPr>
              <w:widowControl/>
              <w:jc w:val="center"/>
              <w:rPr>
                <w:rFonts w:ascii="宋体" w:hAnsi="宋体" w:cs="宋体"/>
                <w:b/>
                <w:bCs/>
                <w:color w:val="auto"/>
                <w:kern w:val="0"/>
                <w:sz w:val="21"/>
                <w:szCs w:val="21"/>
              </w:rPr>
            </w:pPr>
          </w:p>
        </w:tc>
        <w:tc>
          <w:tcPr>
            <w:tcW w:w="1748"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b/>
                <w:bCs/>
                <w:color w:val="auto"/>
                <w:kern w:val="0"/>
                <w:sz w:val="21"/>
                <w:szCs w:val="21"/>
              </w:rPr>
            </w:pPr>
          </w:p>
        </w:tc>
        <w:tc>
          <w:tcPr>
            <w:tcW w:w="2335"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w:t>
            </w:r>
          </w:p>
        </w:tc>
        <w:tc>
          <w:tcPr>
            <w:tcW w:w="3162" w:type="dxa"/>
            <w:vAlign w:val="center"/>
          </w:tcPr>
          <w:p>
            <w:pPr>
              <w:widowControl/>
              <w:jc w:val="center"/>
              <w:rPr>
                <w:rFonts w:ascii="宋体" w:hAnsi="宋体" w:cs="宋体"/>
                <w:b/>
                <w:bCs/>
                <w:color w:val="auto"/>
                <w:kern w:val="0"/>
                <w:sz w:val="21"/>
                <w:szCs w:val="21"/>
              </w:rPr>
            </w:pPr>
          </w:p>
        </w:tc>
        <w:tc>
          <w:tcPr>
            <w:tcW w:w="1420" w:type="dxa"/>
            <w:vAlign w:val="center"/>
          </w:tcPr>
          <w:p>
            <w:pPr>
              <w:widowControl/>
              <w:jc w:val="center"/>
              <w:rPr>
                <w:rFonts w:ascii="宋体" w:hAnsi="宋体" w:cs="宋体"/>
                <w:b/>
                <w:bCs/>
                <w:color w:val="auto"/>
                <w:kern w:val="0"/>
                <w:sz w:val="21"/>
                <w:szCs w:val="21"/>
              </w:rPr>
            </w:pPr>
          </w:p>
        </w:tc>
        <w:tc>
          <w:tcPr>
            <w:tcW w:w="1748" w:type="dxa"/>
            <w:vAlign w:val="center"/>
          </w:tcPr>
          <w:p>
            <w:pPr>
              <w:widowControl/>
              <w:jc w:val="center"/>
              <w:rPr>
                <w:rFonts w:ascii="宋体" w:hAnsi="宋体" w:cs="宋体"/>
                <w:b/>
                <w:bCs/>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三</w:t>
            </w:r>
          </w:p>
        </w:tc>
        <w:tc>
          <w:tcPr>
            <w:tcW w:w="2335" w:type="dxa"/>
            <w:noWrap/>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固定资产折旧及耗材</w:t>
            </w:r>
          </w:p>
        </w:tc>
        <w:tc>
          <w:tcPr>
            <w:tcW w:w="3162"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　</w:t>
            </w:r>
          </w:p>
        </w:tc>
        <w:tc>
          <w:tcPr>
            <w:tcW w:w="1420"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　</w:t>
            </w:r>
          </w:p>
        </w:tc>
        <w:tc>
          <w:tcPr>
            <w:tcW w:w="1748" w:type="dxa"/>
            <w:noWrap/>
            <w:vAlign w:val="center"/>
          </w:tcPr>
          <w:p>
            <w:pPr>
              <w:widowControl/>
              <w:jc w:val="left"/>
              <w:rPr>
                <w:rFonts w:ascii="宋体" w:hAnsi="宋体" w:cs="宋体"/>
                <w:color w:val="auto"/>
                <w:kern w:val="0"/>
                <w:sz w:val="21"/>
                <w:szCs w:val="21"/>
              </w:rPr>
            </w:pPr>
            <w:r>
              <w:rPr>
                <w:rFonts w:hint="eastAsia" w:ascii="宋体" w:hAnsi="宋体" w:cs="宋体"/>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233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垃圾清运车</w:t>
            </w:r>
          </w:p>
        </w:tc>
        <w:tc>
          <w:tcPr>
            <w:tcW w:w="3162" w:type="dxa"/>
            <w:vAlign w:val="center"/>
          </w:tcPr>
          <w:p>
            <w:pPr>
              <w:widowControl/>
              <w:jc w:val="center"/>
              <w:rPr>
                <w:rFonts w:ascii="宋体" w:hAnsi="宋体" w:cs="宋体"/>
                <w:color w:val="auto"/>
                <w:kern w:val="0"/>
                <w:sz w:val="21"/>
                <w:szCs w:val="21"/>
              </w:rPr>
            </w:pPr>
          </w:p>
        </w:tc>
        <w:tc>
          <w:tcPr>
            <w:tcW w:w="1420" w:type="dxa"/>
            <w:vAlign w:val="center"/>
          </w:tcPr>
          <w:p>
            <w:pPr>
              <w:widowControl/>
              <w:jc w:val="center"/>
              <w:rPr>
                <w:rFonts w:ascii="宋体" w:hAnsi="宋体" w:cs="宋体"/>
                <w:color w:val="auto"/>
                <w:kern w:val="0"/>
                <w:sz w:val="21"/>
                <w:szCs w:val="21"/>
              </w:rPr>
            </w:pPr>
          </w:p>
        </w:tc>
        <w:tc>
          <w:tcPr>
            <w:tcW w:w="1748" w:type="dxa"/>
            <w:noWrap/>
            <w:vAlign w:val="center"/>
          </w:tcPr>
          <w:p>
            <w:pPr>
              <w:widowControl/>
              <w:jc w:val="left"/>
              <w:rPr>
                <w:rFonts w:ascii="宋体" w:hAnsi="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2</w:t>
            </w:r>
          </w:p>
        </w:tc>
        <w:tc>
          <w:tcPr>
            <w:tcW w:w="233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电动保洁车</w:t>
            </w:r>
            <w:r>
              <w:rPr>
                <w:rFonts w:hint="eastAsia" w:ascii="宋体" w:hAnsi="宋体" w:cs="宋体"/>
                <w:color w:val="auto"/>
                <w:kern w:val="0"/>
                <w:sz w:val="21"/>
                <w:szCs w:val="21"/>
              </w:rPr>
              <w:br w:type="textWrapping"/>
            </w:r>
            <w:r>
              <w:rPr>
                <w:rFonts w:hint="eastAsia" w:ascii="宋体" w:hAnsi="宋体" w:cs="宋体"/>
                <w:color w:val="auto"/>
                <w:kern w:val="0"/>
                <w:sz w:val="21"/>
                <w:szCs w:val="21"/>
              </w:rPr>
              <w:t>及修理费、电费等</w:t>
            </w:r>
          </w:p>
        </w:tc>
        <w:tc>
          <w:tcPr>
            <w:tcW w:w="3162" w:type="dxa"/>
            <w:vAlign w:val="center"/>
          </w:tcPr>
          <w:p>
            <w:pPr>
              <w:widowControl/>
              <w:jc w:val="center"/>
              <w:rPr>
                <w:rFonts w:ascii="宋体" w:hAnsi="宋体" w:cs="宋体"/>
                <w:color w:val="auto"/>
                <w:kern w:val="0"/>
                <w:sz w:val="21"/>
                <w:szCs w:val="21"/>
              </w:rPr>
            </w:pPr>
          </w:p>
        </w:tc>
        <w:tc>
          <w:tcPr>
            <w:tcW w:w="1420" w:type="dxa"/>
            <w:vAlign w:val="center"/>
          </w:tcPr>
          <w:p>
            <w:pPr>
              <w:widowControl/>
              <w:jc w:val="center"/>
              <w:rPr>
                <w:rFonts w:ascii="宋体" w:hAnsi="宋体" w:cs="宋体"/>
                <w:color w:val="auto"/>
                <w:kern w:val="0"/>
                <w:sz w:val="21"/>
                <w:szCs w:val="21"/>
              </w:rPr>
            </w:pPr>
          </w:p>
        </w:tc>
        <w:tc>
          <w:tcPr>
            <w:tcW w:w="1748" w:type="dxa"/>
            <w:noWrap/>
            <w:vAlign w:val="center"/>
          </w:tcPr>
          <w:p>
            <w:pPr>
              <w:widowControl/>
              <w:jc w:val="center"/>
              <w:rPr>
                <w:rFonts w:ascii="宋体" w:hAnsi="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3</w:t>
            </w:r>
          </w:p>
        </w:tc>
        <w:tc>
          <w:tcPr>
            <w:tcW w:w="2335" w:type="dxa"/>
            <w:noWrap/>
            <w:vAlign w:val="center"/>
          </w:tcPr>
          <w:p>
            <w:pPr>
              <w:widowControl/>
              <w:jc w:val="center"/>
              <w:rPr>
                <w:rFonts w:ascii="宋体" w:hAnsi="宋体" w:cs="宋体"/>
                <w:color w:val="auto"/>
                <w:kern w:val="0"/>
                <w:sz w:val="21"/>
                <w:szCs w:val="21"/>
              </w:rPr>
            </w:pPr>
            <w:r>
              <w:rPr>
                <w:rFonts w:hint="eastAsia" w:ascii="宋体" w:hAnsi="宋体" w:cs="宋体"/>
                <w:color w:val="auto"/>
                <w:kern w:val="0"/>
                <w:sz w:val="21"/>
                <w:szCs w:val="21"/>
              </w:rPr>
              <w:t>耗材</w:t>
            </w:r>
          </w:p>
        </w:tc>
        <w:tc>
          <w:tcPr>
            <w:tcW w:w="3162" w:type="dxa"/>
            <w:vAlign w:val="center"/>
          </w:tcPr>
          <w:p>
            <w:pPr>
              <w:widowControl/>
              <w:jc w:val="center"/>
              <w:rPr>
                <w:rFonts w:ascii="宋体" w:hAnsi="宋体" w:cs="宋体"/>
                <w:color w:val="auto"/>
                <w:kern w:val="0"/>
                <w:sz w:val="21"/>
                <w:szCs w:val="21"/>
              </w:rPr>
            </w:pPr>
          </w:p>
        </w:tc>
        <w:tc>
          <w:tcPr>
            <w:tcW w:w="1420" w:type="dxa"/>
            <w:vAlign w:val="center"/>
          </w:tcPr>
          <w:p>
            <w:pPr>
              <w:widowControl/>
              <w:jc w:val="center"/>
              <w:rPr>
                <w:rFonts w:ascii="宋体" w:hAnsi="宋体" w:cs="宋体"/>
                <w:color w:val="auto"/>
                <w:kern w:val="0"/>
                <w:sz w:val="21"/>
                <w:szCs w:val="21"/>
              </w:rPr>
            </w:pPr>
          </w:p>
        </w:tc>
        <w:tc>
          <w:tcPr>
            <w:tcW w:w="1748" w:type="dxa"/>
            <w:noWrap/>
            <w:vAlign w:val="center"/>
          </w:tcPr>
          <w:p>
            <w:pPr>
              <w:widowControl/>
              <w:jc w:val="center"/>
              <w:rPr>
                <w:rFonts w:ascii="宋体" w:hAnsi="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color w:val="auto"/>
                <w:kern w:val="0"/>
                <w:sz w:val="21"/>
                <w:szCs w:val="21"/>
              </w:rPr>
            </w:pPr>
          </w:p>
        </w:tc>
        <w:tc>
          <w:tcPr>
            <w:tcW w:w="2335" w:type="dxa"/>
            <w:noWrap/>
            <w:vAlign w:val="center"/>
          </w:tcPr>
          <w:p>
            <w:pPr>
              <w:widowControl/>
              <w:jc w:val="center"/>
              <w:rPr>
                <w:rFonts w:ascii="宋体" w:hAnsi="宋体" w:cs="宋体"/>
                <w:color w:val="auto"/>
                <w:kern w:val="0"/>
                <w:sz w:val="21"/>
                <w:szCs w:val="21"/>
              </w:rPr>
            </w:pPr>
            <w:r>
              <w:rPr>
                <w:rFonts w:hint="eastAsia" w:ascii="宋体" w:hAnsi="宋体" w:cs="宋体"/>
                <w:b/>
                <w:bCs/>
                <w:color w:val="auto"/>
                <w:kern w:val="0"/>
                <w:sz w:val="21"/>
                <w:szCs w:val="21"/>
              </w:rPr>
              <w:t>……</w:t>
            </w:r>
          </w:p>
        </w:tc>
        <w:tc>
          <w:tcPr>
            <w:tcW w:w="3162" w:type="dxa"/>
            <w:vAlign w:val="center"/>
          </w:tcPr>
          <w:p>
            <w:pPr>
              <w:widowControl/>
              <w:jc w:val="center"/>
              <w:rPr>
                <w:rFonts w:ascii="宋体" w:hAnsi="宋体" w:cs="宋体"/>
                <w:color w:val="auto"/>
                <w:kern w:val="0"/>
                <w:sz w:val="21"/>
                <w:szCs w:val="21"/>
              </w:rPr>
            </w:pPr>
          </w:p>
        </w:tc>
        <w:tc>
          <w:tcPr>
            <w:tcW w:w="1420" w:type="dxa"/>
            <w:vAlign w:val="center"/>
          </w:tcPr>
          <w:p>
            <w:pPr>
              <w:widowControl/>
              <w:jc w:val="center"/>
              <w:rPr>
                <w:rFonts w:ascii="宋体" w:hAnsi="宋体" w:cs="宋体"/>
                <w:color w:val="auto"/>
                <w:kern w:val="0"/>
                <w:sz w:val="21"/>
                <w:szCs w:val="21"/>
              </w:rPr>
            </w:pPr>
          </w:p>
        </w:tc>
        <w:tc>
          <w:tcPr>
            <w:tcW w:w="1748" w:type="dxa"/>
            <w:noWrap/>
            <w:vAlign w:val="center"/>
          </w:tcPr>
          <w:p>
            <w:pPr>
              <w:widowControl/>
              <w:jc w:val="center"/>
              <w:rPr>
                <w:rFonts w:ascii="宋体" w:hAnsi="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noWrap/>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4</w:t>
            </w:r>
          </w:p>
        </w:tc>
        <w:tc>
          <w:tcPr>
            <w:tcW w:w="2335"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小计（元）</w:t>
            </w:r>
          </w:p>
        </w:tc>
        <w:tc>
          <w:tcPr>
            <w:tcW w:w="3162" w:type="dxa"/>
            <w:vAlign w:val="center"/>
          </w:tcPr>
          <w:p>
            <w:pPr>
              <w:widowControl/>
              <w:jc w:val="center"/>
              <w:rPr>
                <w:rFonts w:ascii="宋体" w:hAnsi="宋体" w:cs="宋体"/>
                <w:b/>
                <w:bCs/>
                <w:color w:val="auto"/>
                <w:kern w:val="0"/>
                <w:sz w:val="21"/>
                <w:szCs w:val="21"/>
              </w:rPr>
            </w:pPr>
          </w:p>
        </w:tc>
        <w:tc>
          <w:tcPr>
            <w:tcW w:w="1420" w:type="dxa"/>
            <w:vAlign w:val="center"/>
          </w:tcPr>
          <w:p>
            <w:pPr>
              <w:widowControl/>
              <w:jc w:val="center"/>
              <w:rPr>
                <w:rFonts w:ascii="宋体" w:hAnsi="宋体" w:cs="宋体"/>
                <w:b/>
                <w:bCs/>
                <w:color w:val="auto"/>
                <w:kern w:val="0"/>
                <w:sz w:val="21"/>
                <w:szCs w:val="21"/>
              </w:rPr>
            </w:pPr>
          </w:p>
        </w:tc>
        <w:tc>
          <w:tcPr>
            <w:tcW w:w="1748" w:type="dxa"/>
            <w:noWrap/>
            <w:vAlign w:val="center"/>
          </w:tcPr>
          <w:p>
            <w:pPr>
              <w:widowControl/>
              <w:jc w:val="left"/>
              <w:rPr>
                <w:rFonts w:ascii="宋体" w:hAnsi="宋体" w:cs="宋体"/>
                <w:b/>
                <w:bCs/>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noWrap/>
            <w:vAlign w:val="center"/>
          </w:tcPr>
          <w:p>
            <w:pPr>
              <w:widowControl/>
              <w:jc w:val="center"/>
              <w:rPr>
                <w:rFonts w:ascii="宋体" w:hAnsi="宋体" w:cs="宋体"/>
                <w:b/>
                <w:bCs/>
                <w:color w:val="auto"/>
                <w:kern w:val="0"/>
                <w:sz w:val="21"/>
                <w:szCs w:val="21"/>
              </w:rPr>
            </w:pPr>
          </w:p>
        </w:tc>
        <w:tc>
          <w:tcPr>
            <w:tcW w:w="2335"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w:t>
            </w:r>
          </w:p>
        </w:tc>
        <w:tc>
          <w:tcPr>
            <w:tcW w:w="3162" w:type="dxa"/>
            <w:vAlign w:val="center"/>
          </w:tcPr>
          <w:p>
            <w:pPr>
              <w:widowControl/>
              <w:jc w:val="center"/>
              <w:rPr>
                <w:rFonts w:ascii="宋体" w:hAnsi="宋体" w:cs="宋体"/>
                <w:b/>
                <w:bCs/>
                <w:color w:val="auto"/>
                <w:kern w:val="0"/>
                <w:sz w:val="21"/>
                <w:szCs w:val="21"/>
              </w:rPr>
            </w:pPr>
          </w:p>
        </w:tc>
        <w:tc>
          <w:tcPr>
            <w:tcW w:w="1420" w:type="dxa"/>
            <w:vAlign w:val="center"/>
          </w:tcPr>
          <w:p>
            <w:pPr>
              <w:widowControl/>
              <w:jc w:val="center"/>
              <w:rPr>
                <w:rFonts w:ascii="宋体" w:hAnsi="宋体" w:cs="宋体"/>
                <w:b/>
                <w:bCs/>
                <w:color w:val="auto"/>
                <w:kern w:val="0"/>
                <w:sz w:val="21"/>
                <w:szCs w:val="21"/>
              </w:rPr>
            </w:pPr>
          </w:p>
        </w:tc>
        <w:tc>
          <w:tcPr>
            <w:tcW w:w="1748" w:type="dxa"/>
            <w:noWrap/>
            <w:vAlign w:val="center"/>
          </w:tcPr>
          <w:p>
            <w:pPr>
              <w:widowControl/>
              <w:jc w:val="left"/>
              <w:rPr>
                <w:rFonts w:ascii="宋体" w:hAnsi="宋体" w:cs="宋体"/>
                <w:b/>
                <w:bCs/>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noWrap/>
            <w:vAlign w:val="center"/>
          </w:tcPr>
          <w:p>
            <w:pPr>
              <w:widowControl/>
              <w:jc w:val="center"/>
              <w:rPr>
                <w:rFonts w:ascii="宋体" w:hAnsi="宋体" w:cs="宋体"/>
                <w:b/>
                <w:bCs/>
                <w:color w:val="auto"/>
                <w:kern w:val="0"/>
                <w:sz w:val="21"/>
                <w:szCs w:val="21"/>
              </w:rPr>
            </w:pPr>
          </w:p>
        </w:tc>
        <w:tc>
          <w:tcPr>
            <w:tcW w:w="2335"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其它</w:t>
            </w:r>
          </w:p>
        </w:tc>
        <w:tc>
          <w:tcPr>
            <w:tcW w:w="3162"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w:t>
            </w:r>
          </w:p>
        </w:tc>
        <w:tc>
          <w:tcPr>
            <w:tcW w:w="1420"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w:t>
            </w:r>
          </w:p>
        </w:tc>
        <w:tc>
          <w:tcPr>
            <w:tcW w:w="1748" w:type="dxa"/>
            <w:noWrap/>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四</w:t>
            </w:r>
          </w:p>
        </w:tc>
        <w:tc>
          <w:tcPr>
            <w:tcW w:w="2335"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管理费</w:t>
            </w:r>
          </w:p>
        </w:tc>
        <w:tc>
          <w:tcPr>
            <w:tcW w:w="3162" w:type="dxa"/>
            <w:vAlign w:val="center"/>
          </w:tcPr>
          <w:p>
            <w:pPr>
              <w:widowControl/>
              <w:jc w:val="center"/>
              <w:rPr>
                <w:rFonts w:ascii="宋体" w:hAnsi="宋体" w:cs="宋体"/>
                <w:b/>
                <w:bCs/>
                <w:color w:val="auto"/>
                <w:kern w:val="0"/>
                <w:sz w:val="21"/>
                <w:szCs w:val="21"/>
              </w:rPr>
            </w:pPr>
          </w:p>
        </w:tc>
        <w:tc>
          <w:tcPr>
            <w:tcW w:w="1420" w:type="dxa"/>
            <w:vAlign w:val="center"/>
          </w:tcPr>
          <w:p>
            <w:pPr>
              <w:widowControl/>
              <w:jc w:val="center"/>
              <w:rPr>
                <w:rFonts w:ascii="宋体" w:hAnsi="宋体" w:cs="宋体"/>
                <w:b/>
                <w:bCs/>
                <w:color w:val="auto"/>
                <w:kern w:val="0"/>
                <w:sz w:val="21"/>
                <w:szCs w:val="21"/>
              </w:rPr>
            </w:pPr>
          </w:p>
        </w:tc>
        <w:tc>
          <w:tcPr>
            <w:tcW w:w="1748" w:type="dxa"/>
            <w:vAlign w:val="center"/>
          </w:tcPr>
          <w:p>
            <w:pPr>
              <w:widowControl/>
              <w:jc w:val="center"/>
              <w:rPr>
                <w:rFonts w:ascii="宋体" w:hAnsi="宋体" w:cs="宋体"/>
                <w:b/>
                <w:bCs/>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五</w:t>
            </w:r>
          </w:p>
        </w:tc>
        <w:tc>
          <w:tcPr>
            <w:tcW w:w="2335"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企业利润</w:t>
            </w:r>
          </w:p>
        </w:tc>
        <w:tc>
          <w:tcPr>
            <w:tcW w:w="3162" w:type="dxa"/>
            <w:vAlign w:val="center"/>
          </w:tcPr>
          <w:p>
            <w:pPr>
              <w:widowControl/>
              <w:jc w:val="center"/>
              <w:rPr>
                <w:rFonts w:ascii="宋体" w:hAnsi="宋体" w:cs="宋体"/>
                <w:b/>
                <w:bCs/>
                <w:color w:val="auto"/>
                <w:kern w:val="0"/>
                <w:sz w:val="21"/>
                <w:szCs w:val="21"/>
              </w:rPr>
            </w:pPr>
          </w:p>
        </w:tc>
        <w:tc>
          <w:tcPr>
            <w:tcW w:w="1420" w:type="dxa"/>
            <w:vAlign w:val="center"/>
          </w:tcPr>
          <w:p>
            <w:pPr>
              <w:widowControl/>
              <w:jc w:val="center"/>
              <w:rPr>
                <w:rFonts w:ascii="宋体" w:hAnsi="宋体" w:cs="宋体"/>
                <w:b/>
                <w:bCs/>
                <w:color w:val="auto"/>
                <w:kern w:val="0"/>
                <w:sz w:val="21"/>
                <w:szCs w:val="21"/>
              </w:rPr>
            </w:pPr>
          </w:p>
        </w:tc>
        <w:tc>
          <w:tcPr>
            <w:tcW w:w="1748" w:type="dxa"/>
            <w:noWrap/>
            <w:vAlign w:val="center"/>
          </w:tcPr>
          <w:p>
            <w:pPr>
              <w:widowControl/>
              <w:jc w:val="center"/>
              <w:rPr>
                <w:rFonts w:ascii="宋体" w:hAnsi="宋体" w:cs="宋体"/>
                <w:b/>
                <w:bCs/>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六</w:t>
            </w:r>
          </w:p>
        </w:tc>
        <w:tc>
          <w:tcPr>
            <w:tcW w:w="2335" w:type="dxa"/>
            <w:noWrap/>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税金</w:t>
            </w:r>
          </w:p>
        </w:tc>
        <w:tc>
          <w:tcPr>
            <w:tcW w:w="3162" w:type="dxa"/>
            <w:vAlign w:val="center"/>
          </w:tcPr>
          <w:p>
            <w:pPr>
              <w:widowControl/>
              <w:jc w:val="center"/>
              <w:rPr>
                <w:rFonts w:ascii="宋体" w:hAnsi="宋体" w:cs="宋体"/>
                <w:b/>
                <w:bCs/>
                <w:color w:val="auto"/>
                <w:kern w:val="0"/>
                <w:sz w:val="21"/>
                <w:szCs w:val="21"/>
              </w:rPr>
            </w:pPr>
          </w:p>
        </w:tc>
        <w:tc>
          <w:tcPr>
            <w:tcW w:w="1420" w:type="dxa"/>
            <w:noWrap/>
            <w:vAlign w:val="center"/>
          </w:tcPr>
          <w:p>
            <w:pPr>
              <w:widowControl/>
              <w:jc w:val="center"/>
              <w:rPr>
                <w:rFonts w:ascii="宋体" w:hAnsi="宋体" w:cs="宋体"/>
                <w:b/>
                <w:bCs/>
                <w:color w:val="auto"/>
                <w:kern w:val="0"/>
                <w:sz w:val="21"/>
                <w:szCs w:val="21"/>
              </w:rPr>
            </w:pPr>
          </w:p>
        </w:tc>
        <w:tc>
          <w:tcPr>
            <w:tcW w:w="1748" w:type="dxa"/>
            <w:noWrap/>
            <w:vAlign w:val="center"/>
          </w:tcPr>
          <w:p>
            <w:pPr>
              <w:widowControl/>
              <w:jc w:val="center"/>
              <w:rPr>
                <w:rFonts w:ascii="宋体" w:hAnsi="宋体" w:cs="宋体"/>
                <w:b/>
                <w:bCs/>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5" w:type="dxa"/>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七</w:t>
            </w:r>
          </w:p>
        </w:tc>
        <w:tc>
          <w:tcPr>
            <w:tcW w:w="2335" w:type="dxa"/>
            <w:noWrap/>
            <w:vAlign w:val="center"/>
          </w:tcPr>
          <w:p>
            <w:pPr>
              <w:widowControl/>
              <w:jc w:val="center"/>
              <w:rPr>
                <w:rFonts w:ascii="宋体" w:hAnsi="宋体" w:cs="宋体"/>
                <w:b/>
                <w:bCs/>
                <w:color w:val="auto"/>
                <w:kern w:val="0"/>
                <w:sz w:val="21"/>
                <w:szCs w:val="21"/>
              </w:rPr>
            </w:pPr>
            <w:r>
              <w:rPr>
                <w:rFonts w:hint="eastAsia" w:ascii="宋体" w:hAnsi="宋体" w:cs="宋体"/>
                <w:b/>
                <w:bCs/>
                <w:color w:val="auto"/>
                <w:kern w:val="0"/>
                <w:sz w:val="21"/>
                <w:szCs w:val="21"/>
              </w:rPr>
              <w:t>合计</w:t>
            </w:r>
          </w:p>
        </w:tc>
        <w:tc>
          <w:tcPr>
            <w:tcW w:w="3162" w:type="dxa"/>
            <w:noWrap/>
            <w:vAlign w:val="center"/>
          </w:tcPr>
          <w:p>
            <w:pPr>
              <w:widowControl/>
              <w:jc w:val="center"/>
              <w:rPr>
                <w:rFonts w:ascii="宋体" w:hAnsi="宋体" w:cs="宋体"/>
                <w:b/>
                <w:bCs/>
                <w:color w:val="auto"/>
                <w:kern w:val="0"/>
                <w:sz w:val="21"/>
                <w:szCs w:val="21"/>
              </w:rPr>
            </w:pPr>
          </w:p>
        </w:tc>
        <w:tc>
          <w:tcPr>
            <w:tcW w:w="1420" w:type="dxa"/>
            <w:noWrap/>
            <w:vAlign w:val="center"/>
          </w:tcPr>
          <w:p>
            <w:pPr>
              <w:widowControl/>
              <w:jc w:val="center"/>
              <w:rPr>
                <w:rFonts w:ascii="宋体" w:hAnsi="宋体" w:cs="宋体"/>
                <w:b/>
                <w:bCs/>
                <w:color w:val="auto"/>
                <w:kern w:val="0"/>
                <w:sz w:val="21"/>
                <w:szCs w:val="21"/>
              </w:rPr>
            </w:pPr>
          </w:p>
        </w:tc>
        <w:tc>
          <w:tcPr>
            <w:tcW w:w="1748" w:type="dxa"/>
            <w:noWrap/>
            <w:vAlign w:val="center"/>
          </w:tcPr>
          <w:p>
            <w:pPr>
              <w:widowControl/>
              <w:jc w:val="left"/>
              <w:rPr>
                <w:rFonts w:ascii="宋体" w:hAnsi="宋体" w:cs="宋体"/>
                <w:b/>
                <w:bCs/>
                <w:color w:val="auto"/>
                <w:kern w:val="0"/>
                <w:sz w:val="21"/>
                <w:szCs w:val="21"/>
              </w:rPr>
            </w:pPr>
          </w:p>
        </w:tc>
      </w:tr>
    </w:tbl>
    <w:p>
      <w:pPr>
        <w:spacing w:line="400" w:lineRule="exact"/>
        <w:ind w:firstLine="315" w:firstLineChars="150"/>
        <w:rPr>
          <w:rFonts w:ascii="宋体" w:hAnsi="宋体"/>
          <w:color w:val="auto"/>
          <w:sz w:val="21"/>
          <w:szCs w:val="21"/>
        </w:rPr>
      </w:pPr>
      <w:r>
        <w:rPr>
          <w:rFonts w:hint="eastAsia" w:ascii="宋体" w:hAnsi="宋体"/>
          <w:color w:val="auto"/>
          <w:sz w:val="21"/>
          <w:szCs w:val="21"/>
        </w:rPr>
        <w:t>备注：</w:t>
      </w:r>
    </w:p>
    <w:p>
      <w:pPr>
        <w:spacing w:line="400" w:lineRule="exact"/>
        <w:ind w:firstLine="420" w:firstLineChars="200"/>
        <w:rPr>
          <w:rFonts w:ascii="宋体" w:hAnsi="宋体"/>
          <w:color w:val="auto"/>
          <w:sz w:val="21"/>
          <w:szCs w:val="21"/>
        </w:rPr>
      </w:pPr>
      <w:r>
        <w:rPr>
          <w:rFonts w:hint="eastAsia" w:ascii="宋体" w:hAnsi="宋体"/>
          <w:color w:val="auto"/>
          <w:sz w:val="21"/>
          <w:szCs w:val="21"/>
        </w:rPr>
        <w:t>1、作业服务费按一年计算，各项费用的报价均以年为时间单位。</w:t>
      </w:r>
    </w:p>
    <w:p>
      <w:pPr>
        <w:spacing w:line="400" w:lineRule="exact"/>
        <w:ind w:firstLine="420" w:firstLineChars="200"/>
        <w:rPr>
          <w:rFonts w:ascii="宋体" w:hAnsi="宋体"/>
          <w:color w:val="auto"/>
          <w:sz w:val="21"/>
          <w:szCs w:val="21"/>
        </w:rPr>
      </w:pPr>
      <w:r>
        <w:rPr>
          <w:rFonts w:hint="eastAsia" w:ascii="宋体" w:hAnsi="宋体"/>
          <w:color w:val="auto"/>
          <w:sz w:val="21"/>
          <w:szCs w:val="21"/>
        </w:rPr>
        <w:t>2、报价金额大、小写不一致时，以大写金额为准；单项报价金额计算合计与投标总报价不一致时，以单项合计金额为准。</w:t>
      </w:r>
    </w:p>
    <w:p>
      <w:pPr>
        <w:spacing w:line="400" w:lineRule="exact"/>
        <w:ind w:firstLine="420" w:firstLineChars="200"/>
        <w:rPr>
          <w:rFonts w:ascii="宋体" w:hAnsi="宋体"/>
          <w:color w:val="auto"/>
          <w:sz w:val="21"/>
          <w:szCs w:val="21"/>
        </w:rPr>
      </w:pPr>
      <w:r>
        <w:rPr>
          <w:rFonts w:hint="eastAsia" w:ascii="宋体" w:hAnsi="宋体"/>
          <w:color w:val="auto"/>
          <w:sz w:val="21"/>
          <w:szCs w:val="21"/>
        </w:rPr>
        <w:t>3、报价金额全部采用人民币表示，投标报价精确到以元为单位的整数。</w:t>
      </w:r>
    </w:p>
    <w:p>
      <w:pPr>
        <w:spacing w:line="400" w:lineRule="exact"/>
        <w:ind w:firstLine="420" w:firstLineChars="200"/>
        <w:rPr>
          <w:rFonts w:ascii="宋体" w:hAnsi="宋体"/>
          <w:color w:val="auto"/>
          <w:sz w:val="21"/>
          <w:szCs w:val="21"/>
        </w:rPr>
      </w:pPr>
      <w:r>
        <w:rPr>
          <w:rFonts w:hint="eastAsia" w:ascii="宋体" w:hAnsi="宋体"/>
          <w:color w:val="auto"/>
          <w:sz w:val="21"/>
          <w:szCs w:val="21"/>
        </w:rPr>
        <w:t>4、其它费用包括：招标文件中说明的各项费用和风险；投标费用；额外人身保险；等等（但不限于这些费用）。</w:t>
      </w:r>
    </w:p>
    <w:p>
      <w:pPr>
        <w:spacing w:line="400" w:lineRule="exact"/>
        <w:ind w:firstLine="420" w:firstLineChars="200"/>
        <w:rPr>
          <w:rFonts w:ascii="宋体" w:hAnsi="宋体"/>
          <w:color w:val="auto"/>
          <w:sz w:val="21"/>
          <w:szCs w:val="21"/>
        </w:rPr>
      </w:pPr>
      <w:r>
        <w:rPr>
          <w:rFonts w:hint="eastAsia" w:ascii="宋体" w:hAnsi="宋体"/>
          <w:color w:val="auto"/>
          <w:sz w:val="21"/>
          <w:szCs w:val="21"/>
        </w:rPr>
        <w:t>5、报价采用总价包干方式，投标报价应包括该项目的现场保洁、清理、设备、辅助材料、人工、机械、运输、仓储、安装、调试、备品备件、保险、劳保、利润、各种税费、培训、专利技术、不可预见费用等一切费用。</w:t>
      </w:r>
    </w:p>
    <w:p>
      <w:pPr>
        <w:spacing w:line="400" w:lineRule="exact"/>
        <w:ind w:firstLine="420" w:firstLineChars="200"/>
        <w:rPr>
          <w:rFonts w:ascii="宋体" w:hAnsi="宋体" w:cs="宋体"/>
          <w:color w:val="auto"/>
          <w:kern w:val="0"/>
          <w:sz w:val="21"/>
          <w:szCs w:val="21"/>
        </w:rPr>
      </w:pPr>
      <w:r>
        <w:rPr>
          <w:rFonts w:hint="eastAsia" w:ascii="宋体" w:hAnsi="宋体"/>
          <w:color w:val="auto"/>
          <w:sz w:val="21"/>
          <w:szCs w:val="21"/>
        </w:rPr>
        <w:t>6、</w:t>
      </w:r>
      <w:r>
        <w:rPr>
          <w:rFonts w:hint="eastAsia" w:ascii="宋体" w:hAnsi="宋体" w:cs="宋体"/>
          <w:color w:val="auto"/>
          <w:kern w:val="0"/>
          <w:sz w:val="21"/>
          <w:szCs w:val="21"/>
        </w:rPr>
        <w:t>以上核算要符合国家民法典、金坛区税务规定、金坛区社会保险规定及国家其他有关规定。</w:t>
      </w:r>
    </w:p>
    <w:p>
      <w:pPr>
        <w:spacing w:line="400" w:lineRule="exact"/>
        <w:ind w:firstLine="420" w:firstLineChars="200"/>
        <w:rPr>
          <w:rFonts w:ascii="宋体" w:hAnsi="宋体" w:cs="宋体"/>
          <w:color w:val="auto"/>
          <w:kern w:val="0"/>
          <w:sz w:val="21"/>
          <w:szCs w:val="21"/>
        </w:rPr>
      </w:pPr>
      <w:r>
        <w:rPr>
          <w:rFonts w:hint="eastAsia" w:ascii="宋体" w:hAnsi="宋体" w:cs="宋体"/>
          <w:color w:val="auto"/>
          <w:kern w:val="0"/>
          <w:sz w:val="21"/>
          <w:szCs w:val="21"/>
        </w:rPr>
        <w:t>7、此表可自行扩展。</w:t>
      </w:r>
    </w:p>
    <w:p>
      <w:pPr>
        <w:spacing w:line="400" w:lineRule="exact"/>
        <w:ind w:firstLine="420" w:firstLineChars="200"/>
        <w:jc w:val="center"/>
        <w:rPr>
          <w:rFonts w:ascii="宋体" w:hAnsi="宋体"/>
          <w:color w:val="auto"/>
          <w:sz w:val="21"/>
          <w:szCs w:val="21"/>
        </w:rPr>
      </w:pPr>
      <w:r>
        <w:rPr>
          <w:rFonts w:hint="eastAsia" w:ascii="宋体" w:hAnsi="宋体"/>
          <w:color w:val="auto"/>
          <w:sz w:val="21"/>
          <w:szCs w:val="21"/>
        </w:rPr>
        <w:t xml:space="preserve">               投标人（盖章）：</w:t>
      </w:r>
    </w:p>
    <w:p>
      <w:pPr>
        <w:spacing w:line="400" w:lineRule="exact"/>
        <w:ind w:firstLine="420" w:firstLineChars="200"/>
        <w:jc w:val="center"/>
        <w:rPr>
          <w:rFonts w:ascii="宋体" w:hAnsi="宋体"/>
          <w:color w:val="auto"/>
          <w:sz w:val="21"/>
          <w:szCs w:val="21"/>
        </w:rPr>
      </w:pPr>
      <w:r>
        <w:rPr>
          <w:rFonts w:hint="eastAsia" w:ascii="宋体" w:hAnsi="宋体"/>
          <w:color w:val="auto"/>
          <w:sz w:val="21"/>
          <w:szCs w:val="21"/>
        </w:rPr>
        <w:t xml:space="preserve">                             法定代表人或委托代理人（签字）：</w:t>
      </w:r>
    </w:p>
    <w:p>
      <w:pPr>
        <w:spacing w:line="400" w:lineRule="exact"/>
        <w:ind w:right="456" w:firstLine="420" w:firstLineChars="200"/>
        <w:jc w:val="center"/>
        <w:rPr>
          <w:rFonts w:ascii="宋体" w:hAnsi="宋体"/>
          <w:b/>
          <w:color w:val="auto"/>
          <w:sz w:val="21"/>
          <w:szCs w:val="21"/>
        </w:rPr>
      </w:pPr>
      <w:r>
        <w:rPr>
          <w:rFonts w:hint="eastAsia" w:ascii="宋体" w:hAnsi="宋体"/>
          <w:color w:val="auto"/>
          <w:sz w:val="21"/>
          <w:szCs w:val="21"/>
        </w:rPr>
        <w:t xml:space="preserve">                         日期：    年    月   日</w:t>
      </w:r>
    </w:p>
    <w:p>
      <w:pPr>
        <w:spacing w:line="400" w:lineRule="exact"/>
        <w:rPr>
          <w:rFonts w:ascii="宋体" w:hAnsi="宋体"/>
          <w:b/>
          <w:color w:val="auto"/>
          <w:sz w:val="21"/>
          <w:szCs w:val="21"/>
        </w:rPr>
      </w:pPr>
    </w:p>
    <w:p>
      <w:pPr>
        <w:rPr>
          <w:color w:val="auto"/>
        </w:rPr>
      </w:pPr>
    </w:p>
    <w:p>
      <w:pPr>
        <w:pStyle w:val="23"/>
        <w:ind w:left="560" w:firstLine="422"/>
        <w:rPr>
          <w:rFonts w:ascii="宋体" w:hAnsi="宋体" w:cs="宋体"/>
          <w:b/>
          <w:bCs/>
          <w:color w:val="auto"/>
          <w:sz w:val="21"/>
          <w:szCs w:val="21"/>
        </w:rPr>
      </w:pPr>
    </w:p>
    <w:p>
      <w:pPr>
        <w:pStyle w:val="23"/>
        <w:ind w:left="560" w:firstLine="422"/>
        <w:rPr>
          <w:rFonts w:ascii="宋体" w:hAnsi="宋体" w:cs="宋体"/>
          <w:b/>
          <w:bCs/>
          <w:color w:val="auto"/>
          <w:sz w:val="21"/>
          <w:szCs w:val="21"/>
        </w:rPr>
      </w:pPr>
    </w:p>
    <w:p>
      <w:pPr>
        <w:rPr>
          <w:rFonts w:ascii="宋体" w:hAnsi="宋体" w:cs="宋体"/>
          <w:b/>
          <w:bCs/>
          <w:color w:val="auto"/>
          <w:sz w:val="21"/>
          <w:szCs w:val="21"/>
        </w:rPr>
      </w:pPr>
      <w:r>
        <w:rPr>
          <w:rFonts w:hint="eastAsia" w:ascii="宋体" w:hAnsi="宋体" w:cs="宋体"/>
          <w:b/>
          <w:bCs/>
          <w:color w:val="auto"/>
          <w:sz w:val="21"/>
          <w:szCs w:val="21"/>
        </w:rPr>
        <w:br w:type="page"/>
      </w:r>
    </w:p>
    <w:p>
      <w:pPr>
        <w:pStyle w:val="23"/>
        <w:ind w:left="0" w:leftChars="0" w:firstLine="0" w:firstLineChars="0"/>
        <w:rPr>
          <w:rFonts w:ascii="宋体" w:hAnsi="宋体" w:cs="宋体"/>
          <w:b/>
          <w:bCs/>
          <w:color w:val="auto"/>
          <w:sz w:val="21"/>
          <w:szCs w:val="21"/>
        </w:rPr>
      </w:pPr>
      <w:r>
        <w:rPr>
          <w:rFonts w:hint="eastAsia" w:ascii="宋体" w:hAnsi="宋体" w:cs="宋体"/>
          <w:b/>
          <w:bCs/>
          <w:color w:val="auto"/>
          <w:sz w:val="21"/>
          <w:szCs w:val="21"/>
        </w:rPr>
        <w:t xml:space="preserve">附件六：               </w:t>
      </w:r>
    </w:p>
    <w:p>
      <w:pPr>
        <w:spacing w:line="440" w:lineRule="exact"/>
        <w:jc w:val="center"/>
        <w:rPr>
          <w:rFonts w:ascii="宋体" w:hAnsi="宋体" w:cs="宋体"/>
          <w:b/>
          <w:bCs/>
          <w:color w:val="auto"/>
          <w:kern w:val="0"/>
          <w:sz w:val="21"/>
          <w:szCs w:val="21"/>
        </w:rPr>
      </w:pPr>
      <w:r>
        <w:rPr>
          <w:rFonts w:hint="eastAsia" w:ascii="宋体" w:hAnsi="宋体" w:cs="宋体"/>
          <w:b/>
          <w:bCs/>
          <w:color w:val="auto"/>
          <w:kern w:val="0"/>
          <w:sz w:val="21"/>
          <w:szCs w:val="21"/>
        </w:rPr>
        <w:t>承  诺  函</w:t>
      </w:r>
    </w:p>
    <w:p>
      <w:pPr>
        <w:tabs>
          <w:tab w:val="left" w:pos="3762"/>
        </w:tabs>
        <w:spacing w:line="440" w:lineRule="exact"/>
        <w:rPr>
          <w:rFonts w:ascii="宋体" w:hAnsi="宋体" w:cs="宋体"/>
          <w:color w:val="auto"/>
          <w:sz w:val="21"/>
          <w:szCs w:val="21"/>
        </w:rPr>
      </w:pPr>
    </w:p>
    <w:p>
      <w:pPr>
        <w:spacing w:line="440" w:lineRule="exact"/>
        <w:rPr>
          <w:rFonts w:ascii="宋体" w:hAnsi="宋体" w:cs="宋体"/>
          <w:color w:val="auto"/>
          <w:sz w:val="21"/>
          <w:szCs w:val="21"/>
        </w:rPr>
      </w:pPr>
      <w:r>
        <w:rPr>
          <w:rFonts w:hint="eastAsia" w:ascii="宋体" w:hAnsi="宋体" w:cs="宋体"/>
          <w:color w:val="auto"/>
          <w:sz w:val="21"/>
          <w:szCs w:val="21"/>
          <w:u w:val="single"/>
        </w:rPr>
        <w:t xml:space="preserve">                   （采购人名称）</w:t>
      </w:r>
    </w:p>
    <w:p>
      <w:pPr>
        <w:spacing w:line="440" w:lineRule="exact"/>
        <w:ind w:firstLine="630" w:firstLineChars="300"/>
        <w:rPr>
          <w:rFonts w:ascii="宋体" w:hAnsi="宋体" w:cs="宋体"/>
          <w:color w:val="auto"/>
          <w:sz w:val="21"/>
          <w:szCs w:val="21"/>
        </w:rPr>
      </w:pPr>
      <w:r>
        <w:rPr>
          <w:rFonts w:hint="eastAsia" w:ascii="宋体" w:hAnsi="宋体" w:cs="宋体"/>
          <w:color w:val="auto"/>
          <w:sz w:val="21"/>
          <w:szCs w:val="21"/>
        </w:rPr>
        <w:t>本单位及本单位法定代表人，均清楚知晓我单位</w:t>
      </w:r>
      <w:r>
        <w:rPr>
          <w:rFonts w:hint="eastAsia" w:ascii="宋体" w:hAnsi="宋体" w:cs="宋体"/>
          <w:color w:val="auto"/>
          <w:sz w:val="21"/>
          <w:szCs w:val="21"/>
          <w:u w:val="single"/>
        </w:rPr>
        <w:t xml:space="preserve">                    </w:t>
      </w:r>
      <w:r>
        <w:rPr>
          <w:rFonts w:hint="eastAsia" w:ascii="宋体" w:hAnsi="宋体" w:cs="宋体"/>
          <w:color w:val="auto"/>
          <w:sz w:val="21"/>
          <w:szCs w:val="21"/>
        </w:rPr>
        <w:t xml:space="preserve"> （项目名称）采购活动，对以下事项作出承诺：</w:t>
      </w:r>
      <w:r>
        <w:rPr>
          <w:rFonts w:hint="eastAsia" w:ascii="宋体" w:hAnsi="宋体" w:cs="宋体"/>
          <w:color w:val="auto"/>
          <w:sz w:val="21"/>
          <w:szCs w:val="21"/>
        </w:rPr>
        <w:tab/>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 xml:space="preserve">1. 针对江苏信达建设工程咨询有限公司 </w:t>
      </w:r>
      <w:r>
        <w:rPr>
          <w:rFonts w:hint="eastAsia" w:ascii="宋体" w:hAnsi="宋体" w:cs="宋体"/>
          <w:color w:val="auto"/>
          <w:sz w:val="21"/>
          <w:szCs w:val="21"/>
          <w:u w:val="single"/>
        </w:rPr>
        <w:t xml:space="preserve">                    </w:t>
      </w:r>
      <w:r>
        <w:rPr>
          <w:rFonts w:hint="eastAsia" w:ascii="宋体" w:hAnsi="宋体" w:cs="宋体"/>
          <w:color w:val="auto"/>
          <w:sz w:val="21"/>
          <w:szCs w:val="21"/>
        </w:rPr>
        <w:t>（项目编号）磋商文件中所填写所有关于资格文件，附件材料说明及证明陈述均是真实,准确的，若有虚假和违背，我单位愿意承担由此而产生的一切后果。</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2.我单位已详细审查了全部磋商文件，磋商后，我们放弃对磋商文件质疑的权利。</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3.我单位及我单位法定代表人保证遵循公开、公平、公正、诚实守信的原则，依法依规参与本项目采购投标活动。</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4.我单位及我单位法定代表人以及授权代表人在本项目采购投标活动中，均不存在、也未参与任何围标串标活动，也不存在以他人名义投标的行为。</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5.我单位如被查实在本项目采购活动中存在围标串标的或以他人名义投标的，本单位及法定代表人共同承担法律责任，接受相应行政、刑事及失信惩戒等处罚。</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6.本承诺书空白处均由我单位法定代表人亲笔书写，若存在弄虚作假情况的，本单位及法定代表人共同承担法律责任，接受相应行政、刑事及失信惩戒等处罚。</w:t>
      </w:r>
    </w:p>
    <w:p>
      <w:pPr>
        <w:pStyle w:val="5"/>
        <w:spacing w:before="0" w:after="0" w:line="440" w:lineRule="exact"/>
        <w:rPr>
          <w:rFonts w:ascii="宋体" w:hAnsi="宋体" w:cs="宋体"/>
          <w:color w:val="auto"/>
          <w:sz w:val="21"/>
          <w:szCs w:val="21"/>
        </w:rPr>
      </w:pPr>
    </w:p>
    <w:p>
      <w:pPr>
        <w:spacing w:line="440" w:lineRule="exact"/>
        <w:rPr>
          <w:rFonts w:ascii="宋体" w:hAnsi="宋体" w:cs="宋体"/>
          <w:color w:val="auto"/>
          <w:sz w:val="21"/>
          <w:szCs w:val="21"/>
        </w:rPr>
      </w:pPr>
      <w:r>
        <w:rPr>
          <w:rFonts w:hint="eastAsia" w:ascii="宋体" w:hAnsi="宋体" w:cs="宋体"/>
          <w:color w:val="auto"/>
          <w:sz w:val="21"/>
          <w:szCs w:val="21"/>
        </w:rPr>
        <w:t>响应人（盖章）：</w:t>
      </w:r>
    </w:p>
    <w:p>
      <w:pPr>
        <w:spacing w:line="440" w:lineRule="exact"/>
        <w:rPr>
          <w:rFonts w:ascii="宋体" w:hAnsi="宋体" w:cs="宋体"/>
          <w:color w:val="auto"/>
          <w:sz w:val="21"/>
          <w:szCs w:val="21"/>
        </w:rPr>
      </w:pPr>
      <w:r>
        <w:rPr>
          <w:rFonts w:hint="eastAsia" w:ascii="宋体" w:hAnsi="宋体" w:cs="宋体"/>
          <w:color w:val="auto"/>
          <w:sz w:val="21"/>
          <w:szCs w:val="21"/>
        </w:rPr>
        <w:t>法定代表人（签字）：</w:t>
      </w:r>
    </w:p>
    <w:p>
      <w:pPr>
        <w:spacing w:line="440" w:lineRule="exact"/>
        <w:rPr>
          <w:rFonts w:ascii="宋体" w:hAnsi="宋体" w:cs="宋体"/>
          <w:color w:val="auto"/>
          <w:sz w:val="21"/>
          <w:szCs w:val="21"/>
        </w:rPr>
      </w:pPr>
      <w:r>
        <w:rPr>
          <w:rFonts w:hint="eastAsia" w:ascii="宋体" w:hAnsi="宋体" w:cs="宋体"/>
          <w:color w:val="auto"/>
          <w:sz w:val="21"/>
          <w:szCs w:val="21"/>
        </w:rPr>
        <w:t>日期：    年    月    日</w:t>
      </w:r>
    </w:p>
    <w:p>
      <w:pPr>
        <w:pStyle w:val="23"/>
        <w:ind w:left="0" w:leftChars="0" w:firstLine="0" w:firstLineChars="0"/>
        <w:rPr>
          <w:rFonts w:ascii="宋体" w:hAnsi="宋体" w:cs="宋体"/>
          <w:b/>
          <w:bCs/>
          <w:color w:val="auto"/>
          <w:sz w:val="21"/>
          <w:szCs w:val="21"/>
        </w:rPr>
      </w:pPr>
      <w:r>
        <w:rPr>
          <w:rFonts w:hint="eastAsia" w:ascii="宋体" w:hAnsi="宋体" w:cs="宋体"/>
          <w:b/>
          <w:color w:val="auto"/>
          <w:sz w:val="21"/>
          <w:szCs w:val="21"/>
        </w:rPr>
        <w:br w:type="page"/>
      </w:r>
      <w:r>
        <w:rPr>
          <w:rFonts w:hint="eastAsia" w:ascii="宋体" w:hAnsi="宋体" w:cs="宋体"/>
          <w:b/>
          <w:bCs/>
          <w:color w:val="auto"/>
          <w:sz w:val="21"/>
          <w:szCs w:val="21"/>
        </w:rPr>
        <w:t xml:space="preserve">附件七：    </w:t>
      </w:r>
    </w:p>
    <w:p>
      <w:pPr>
        <w:autoSpaceDE w:val="0"/>
        <w:spacing w:line="400" w:lineRule="exact"/>
        <w:jc w:val="center"/>
        <w:rPr>
          <w:rFonts w:ascii="宋体" w:hAnsi="宋体" w:cs="宋体"/>
          <w:b/>
          <w:color w:val="auto"/>
          <w:kern w:val="0"/>
          <w:sz w:val="21"/>
          <w:szCs w:val="21"/>
        </w:rPr>
      </w:pPr>
      <w:r>
        <w:rPr>
          <w:rFonts w:hint="eastAsia" w:ascii="宋体" w:hAnsi="宋体" w:cs="宋体"/>
          <w:b/>
          <w:color w:val="auto"/>
          <w:kern w:val="0"/>
          <w:sz w:val="21"/>
          <w:szCs w:val="21"/>
        </w:rPr>
        <w:t>供应商信用承诺书</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为维护公开、公平、公正的采购市场秩序，树立诚实守信的供应商形象，本单位在参与采购活动中,自愿作出以下承诺：</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一、严格遵守国家法律、法规和规章，全面履行应尽的责任和义务，全面做到履约守信。</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二、本单位提供给注册登记部门、行业管理部门、司法部门、行业组织以及在采购活动中提交的所有资料均合法、真实、有效，无任何伪造、修改、虚假成份，并对所提供资料的真实性负责。</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三、严格依法开展生产经营活动，主动接受行业监管，自愿接受依法开展的日常检查；违法失信经营后将自愿接受约束和惩戒，并依法承担相应责任。</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 xml:space="preserve">四、承诺本单位自觉接受行政管理部门、行业组织、社会公众、新闻舆论的监督。 </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 xml:space="preserve">五、承诺本单位自我约束、自我管理，重合同、守信用，不制假售假、商标侵权、虚假宣传、违约毁约、恶意逃债、偷税漏税、价格欺诈、垄断和不正当竞争，维护经营者、消费者的合法权益。 </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 xml:space="preserve">六、承诺本单位在信用中国网站中无违法违规、较重或严重失信记录。 </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七、承诺本单位若违背承诺约定，经查实，愿意接受行业主管部门和信用管理部门相应的规定处罚，承担违约责任，并依法承担相应的法律责任。</w:t>
      </w:r>
    </w:p>
    <w:p>
      <w:pPr>
        <w:pStyle w:val="5"/>
        <w:spacing w:line="400" w:lineRule="exact"/>
        <w:rPr>
          <w:rFonts w:ascii="宋体" w:hAnsi="宋体" w:cs="宋体"/>
          <w:color w:val="auto"/>
          <w:sz w:val="21"/>
          <w:szCs w:val="21"/>
        </w:rPr>
      </w:pPr>
    </w:p>
    <w:p>
      <w:pPr>
        <w:rPr>
          <w:color w:val="auto"/>
          <w:sz w:val="21"/>
          <w:szCs w:val="21"/>
        </w:rPr>
      </w:pPr>
    </w:p>
    <w:p>
      <w:pPr>
        <w:spacing w:line="360" w:lineRule="exact"/>
        <w:rPr>
          <w:rFonts w:ascii="宋体" w:hAnsi="宋体" w:cs="宋体"/>
          <w:color w:val="auto"/>
          <w:sz w:val="21"/>
          <w:szCs w:val="21"/>
        </w:rPr>
      </w:pPr>
    </w:p>
    <w:p>
      <w:pPr>
        <w:spacing w:line="440" w:lineRule="exact"/>
        <w:rPr>
          <w:rFonts w:ascii="宋体" w:hAnsi="宋体" w:cs="宋体"/>
          <w:color w:val="auto"/>
          <w:sz w:val="21"/>
          <w:szCs w:val="21"/>
        </w:rPr>
      </w:pPr>
      <w:r>
        <w:rPr>
          <w:rFonts w:hint="eastAsia" w:ascii="宋体" w:hAnsi="宋体" w:cs="宋体"/>
          <w:color w:val="auto"/>
          <w:sz w:val="21"/>
          <w:szCs w:val="21"/>
        </w:rPr>
        <w:t>响应人名称（加盖公章）：</w:t>
      </w:r>
    </w:p>
    <w:p>
      <w:pPr>
        <w:spacing w:line="440" w:lineRule="exact"/>
        <w:rPr>
          <w:rFonts w:ascii="宋体" w:hAnsi="宋体" w:cs="宋体"/>
          <w:color w:val="auto"/>
          <w:sz w:val="21"/>
          <w:szCs w:val="21"/>
        </w:rPr>
      </w:pPr>
      <w:r>
        <w:rPr>
          <w:rFonts w:hint="eastAsia" w:ascii="宋体" w:hAnsi="宋体" w:cs="宋体"/>
          <w:color w:val="auto"/>
          <w:sz w:val="21"/>
          <w:szCs w:val="21"/>
        </w:rPr>
        <w:t>法定代表人（签字或盖章）：</w:t>
      </w:r>
    </w:p>
    <w:p>
      <w:pPr>
        <w:spacing w:line="440" w:lineRule="exact"/>
        <w:rPr>
          <w:rFonts w:ascii="宋体" w:hAnsi="宋体" w:cs="宋体"/>
          <w:color w:val="auto"/>
          <w:sz w:val="21"/>
          <w:szCs w:val="21"/>
        </w:rPr>
      </w:pPr>
      <w:r>
        <w:rPr>
          <w:rFonts w:hint="eastAsia" w:ascii="宋体" w:hAnsi="宋体" w:cs="宋体"/>
          <w:color w:val="auto"/>
          <w:sz w:val="21"/>
          <w:szCs w:val="21"/>
        </w:rPr>
        <w:t xml:space="preserve">日      期： </w:t>
      </w:r>
    </w:p>
    <w:p>
      <w:pPr>
        <w:pStyle w:val="22"/>
        <w:spacing w:line="400" w:lineRule="exact"/>
        <w:ind w:firstLine="0"/>
        <w:jc w:val="left"/>
        <w:rPr>
          <w:rFonts w:ascii="宋体" w:hAnsi="宋体" w:cs="宋体"/>
          <w:b w:val="0"/>
          <w:color w:val="auto"/>
          <w:sz w:val="21"/>
          <w:szCs w:val="21"/>
        </w:rPr>
      </w:pPr>
      <w:r>
        <w:rPr>
          <w:rFonts w:hint="eastAsia" w:ascii="宋体" w:hAnsi="宋体" w:cs="宋体"/>
          <w:b w:val="0"/>
          <w:color w:val="auto"/>
          <w:sz w:val="21"/>
          <w:szCs w:val="21"/>
        </w:rPr>
        <w:br w:type="page"/>
      </w:r>
      <w:r>
        <w:rPr>
          <w:rFonts w:hint="eastAsia" w:ascii="宋体" w:hAnsi="宋体" w:cs="宋体"/>
          <w:color w:val="auto"/>
          <w:sz w:val="21"/>
          <w:szCs w:val="21"/>
        </w:rPr>
        <w:t xml:space="preserve">附件八：   </w:t>
      </w:r>
    </w:p>
    <w:p>
      <w:pPr>
        <w:rPr>
          <w:color w:val="auto"/>
          <w:sz w:val="21"/>
          <w:szCs w:val="21"/>
        </w:rPr>
      </w:pPr>
    </w:p>
    <w:p>
      <w:pPr>
        <w:spacing w:line="400" w:lineRule="exact"/>
        <w:jc w:val="center"/>
        <w:rPr>
          <w:rFonts w:ascii="宋体" w:hAnsi="宋体" w:cs="宋体"/>
          <w:b/>
          <w:bCs/>
          <w:color w:val="auto"/>
          <w:sz w:val="21"/>
          <w:szCs w:val="21"/>
        </w:rPr>
      </w:pPr>
      <w:r>
        <w:rPr>
          <w:rFonts w:hint="eastAsia" w:ascii="宋体" w:hAnsi="宋体" w:cs="宋体"/>
          <w:b/>
          <w:bCs/>
          <w:color w:val="auto"/>
          <w:sz w:val="21"/>
          <w:szCs w:val="21"/>
        </w:rPr>
        <w:t>响应人资格审查承诺书</w:t>
      </w:r>
    </w:p>
    <w:p>
      <w:pPr>
        <w:snapToGrid w:val="0"/>
        <w:spacing w:line="400" w:lineRule="exact"/>
        <w:rPr>
          <w:rFonts w:ascii="宋体" w:hAnsi="宋体" w:cs="宋体"/>
          <w:b/>
          <w:bCs/>
          <w:color w:val="auto"/>
          <w:sz w:val="21"/>
          <w:szCs w:val="21"/>
        </w:rPr>
      </w:pPr>
      <w:r>
        <w:rPr>
          <w:rFonts w:hint="eastAsia" w:ascii="宋体" w:hAnsi="宋体" w:cs="宋体"/>
          <w:b/>
          <w:bCs/>
          <w:color w:val="auto"/>
          <w:sz w:val="21"/>
          <w:szCs w:val="21"/>
          <w:u w:val="single"/>
        </w:rPr>
        <w:t xml:space="preserve">                         </w:t>
      </w:r>
      <w:r>
        <w:rPr>
          <w:rFonts w:hint="eastAsia" w:ascii="宋体" w:hAnsi="宋体" w:cs="宋体"/>
          <w:b/>
          <w:bCs/>
          <w:color w:val="auto"/>
          <w:sz w:val="21"/>
          <w:szCs w:val="21"/>
        </w:rPr>
        <w:t>（采购人）：</w:t>
      </w: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贵单位组织的</w:t>
      </w:r>
      <w:r>
        <w:rPr>
          <w:rFonts w:hint="eastAsia" w:ascii="宋体" w:hAnsi="宋体" w:cs="宋体"/>
          <w:color w:val="auto"/>
          <w:sz w:val="21"/>
          <w:szCs w:val="21"/>
          <w:u w:val="single"/>
        </w:rPr>
        <w:t xml:space="preserve">                   </w:t>
      </w:r>
      <w:r>
        <w:rPr>
          <w:rFonts w:hint="eastAsia" w:ascii="宋体" w:hAnsi="宋体" w:cs="宋体"/>
          <w:color w:val="auto"/>
          <w:sz w:val="21"/>
          <w:szCs w:val="21"/>
        </w:rPr>
        <w:t>采购活动，我单位愿意参加，并承诺的下列文件、证明和陈述均是准确的、真实的。若与真实情况不符，我单位愿意承担由此而产生的一切后果。</w:t>
      </w:r>
    </w:p>
    <w:tbl>
      <w:tblPr>
        <w:tblStyle w:val="24"/>
        <w:tblW w:w="8930" w:type="dxa"/>
        <w:jc w:val="center"/>
        <w:tblLayout w:type="fixed"/>
        <w:tblCellMar>
          <w:top w:w="0" w:type="dxa"/>
          <w:left w:w="108" w:type="dxa"/>
          <w:bottom w:w="0" w:type="dxa"/>
          <w:right w:w="108" w:type="dxa"/>
        </w:tblCellMar>
      </w:tblPr>
      <w:tblGrid>
        <w:gridCol w:w="935"/>
        <w:gridCol w:w="6465"/>
        <w:gridCol w:w="1530"/>
      </w:tblGrid>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tabs>
                <w:tab w:val="right" w:pos="2438"/>
              </w:tabs>
              <w:snapToGrid w:val="0"/>
              <w:spacing w:line="400" w:lineRule="exact"/>
              <w:jc w:val="center"/>
              <w:rPr>
                <w:rFonts w:ascii="宋体" w:hAnsi="宋体" w:cs="宋体"/>
                <w:color w:val="auto"/>
                <w:sz w:val="21"/>
                <w:szCs w:val="21"/>
              </w:rPr>
            </w:pPr>
            <w:r>
              <w:rPr>
                <w:rFonts w:hint="eastAsia" w:ascii="宋体" w:hAnsi="宋体" w:cs="宋体"/>
                <w:color w:val="auto"/>
                <w:sz w:val="21"/>
                <w:szCs w:val="21"/>
              </w:rPr>
              <w:t>序号</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承诺内容</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响应人承诺</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1</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rPr>
            </w:pPr>
            <w:r>
              <w:rPr>
                <w:rFonts w:hint="eastAsia" w:ascii="宋体" w:hAnsi="宋体" w:cs="宋体"/>
                <w:color w:val="auto"/>
                <w:sz w:val="21"/>
                <w:szCs w:val="21"/>
              </w:rPr>
              <w:t>我单位具有独立承担民事责任的能力。</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2</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rPr>
            </w:pPr>
            <w:r>
              <w:rPr>
                <w:rFonts w:hint="eastAsia" w:ascii="宋体" w:hAnsi="宋体" w:cs="宋体"/>
                <w:color w:val="auto"/>
                <w:sz w:val="21"/>
                <w:szCs w:val="21"/>
              </w:rPr>
              <w:t>我单位具有良好的商业信誉和健全的财务会计制度。</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3</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rPr>
            </w:pPr>
            <w:r>
              <w:rPr>
                <w:rFonts w:hint="eastAsia" w:ascii="宋体" w:hAnsi="宋体" w:cs="宋体"/>
                <w:color w:val="auto"/>
                <w:sz w:val="21"/>
                <w:szCs w:val="21"/>
              </w:rPr>
              <w:t>我单位具有履行合同所必需的设备和专业技术能力。</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4</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rPr>
            </w:pPr>
            <w:r>
              <w:rPr>
                <w:rFonts w:hint="eastAsia" w:ascii="宋体" w:hAnsi="宋体" w:cs="宋体"/>
                <w:color w:val="auto"/>
                <w:sz w:val="21"/>
                <w:szCs w:val="21"/>
              </w:rPr>
              <w:t>我单位有依法缴纳税收和社会保障资金的良好记录。</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5</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rPr>
            </w:pPr>
            <w:r>
              <w:rPr>
                <w:rFonts w:hint="eastAsia" w:ascii="宋体" w:hAnsi="宋体" w:cs="宋体"/>
                <w:color w:val="auto"/>
                <w:sz w:val="21"/>
                <w:szCs w:val="21"/>
              </w:rPr>
              <w:t>我单位参加本次采购活动前三年内，在经营活动中没有重大违法记录。（重大违法记录，是指响应人因违法经营受到刑事处罚或者责令停产停业、吊销许可证或者执照、较大数额罚款等行政处罚。）</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6</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rPr>
            </w:pPr>
            <w:r>
              <w:rPr>
                <w:rFonts w:hint="eastAsia" w:asciiTheme="majorEastAsia" w:hAnsiTheme="majorEastAsia" w:eastAsiaTheme="majorEastAsia"/>
                <w:bCs/>
                <w:color w:val="auto"/>
                <w:sz w:val="21"/>
                <w:szCs w:val="21"/>
              </w:rPr>
              <w:t>我单位不存在单位负责人为同一人或者存在直接控股、管理关系的不同供应商（包含法定代表人（负责人）为同一个人的两个及两个以上法人，母公司、全资子公司及其控股公司）的情况；</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7</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rPr>
            </w:pPr>
            <w:r>
              <w:rPr>
                <w:rFonts w:hint="eastAsia" w:ascii="宋体" w:hAnsi="宋体" w:cs="宋体"/>
                <w:color w:val="auto"/>
                <w:sz w:val="21"/>
                <w:szCs w:val="21"/>
              </w:rPr>
              <w:t>我单位遵守法律、行政法规规定的其他条件。</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是</w:t>
            </w:r>
          </w:p>
        </w:tc>
      </w:tr>
    </w:tbl>
    <w:p>
      <w:pPr>
        <w:snapToGrid w:val="0"/>
        <w:spacing w:line="400" w:lineRule="exact"/>
        <w:rPr>
          <w:rFonts w:ascii="宋体" w:hAnsi="宋体" w:cs="宋体"/>
          <w:b/>
          <w:bCs/>
          <w:color w:val="auto"/>
          <w:sz w:val="21"/>
          <w:szCs w:val="21"/>
        </w:rPr>
      </w:pPr>
      <w:r>
        <w:rPr>
          <w:rFonts w:hint="eastAsia" w:ascii="宋体" w:hAnsi="宋体" w:cs="宋体"/>
          <w:b/>
          <w:bCs/>
          <w:color w:val="auto"/>
          <w:sz w:val="21"/>
          <w:szCs w:val="21"/>
        </w:rPr>
        <w:t>说明：1.无此表或对此表作实质性修改，响应无效。</w:t>
      </w:r>
    </w:p>
    <w:p>
      <w:pPr>
        <w:snapToGrid w:val="0"/>
        <w:spacing w:line="400" w:lineRule="exact"/>
        <w:ind w:firstLine="632" w:firstLineChars="300"/>
        <w:rPr>
          <w:rFonts w:ascii="宋体" w:hAnsi="宋体" w:cs="宋体"/>
          <w:b/>
          <w:bCs/>
          <w:color w:val="auto"/>
          <w:sz w:val="21"/>
          <w:szCs w:val="21"/>
        </w:rPr>
      </w:pPr>
      <w:r>
        <w:rPr>
          <w:rFonts w:hint="eastAsia" w:ascii="宋体" w:hAnsi="宋体" w:cs="宋体"/>
          <w:b/>
          <w:bCs/>
          <w:color w:val="auto"/>
          <w:sz w:val="21"/>
          <w:szCs w:val="21"/>
        </w:rPr>
        <w:t>2.响应人须对此表中内容作出承诺，否则响应无效。</w:t>
      </w:r>
    </w:p>
    <w:p>
      <w:pPr>
        <w:snapToGrid w:val="0"/>
        <w:spacing w:line="400" w:lineRule="exact"/>
        <w:rPr>
          <w:rFonts w:ascii="宋体" w:hAnsi="宋体" w:cs="宋体"/>
          <w:b/>
          <w:bCs/>
          <w:color w:val="auto"/>
          <w:sz w:val="21"/>
          <w:szCs w:val="21"/>
        </w:rPr>
      </w:pPr>
      <w:r>
        <w:rPr>
          <w:rFonts w:hint="eastAsia" w:ascii="宋体" w:hAnsi="宋体" w:cs="宋体"/>
          <w:b/>
          <w:bCs/>
          <w:color w:val="auto"/>
          <w:sz w:val="21"/>
          <w:szCs w:val="21"/>
        </w:rPr>
        <w:t xml:space="preserve">      3.采购人或采购代理机构可以根据此表查询响应人承诺事项，响应人的承诺和查询结果不一致的，以查询结果为准。</w:t>
      </w:r>
    </w:p>
    <w:p>
      <w:pPr>
        <w:spacing w:line="400" w:lineRule="exact"/>
        <w:rPr>
          <w:rFonts w:ascii="宋体" w:hAnsi="宋体" w:cs="宋体"/>
          <w:color w:val="auto"/>
          <w:sz w:val="21"/>
          <w:szCs w:val="21"/>
        </w:rPr>
      </w:pPr>
    </w:p>
    <w:p>
      <w:pPr>
        <w:snapToGrid w:val="0"/>
        <w:spacing w:line="400" w:lineRule="exact"/>
        <w:rPr>
          <w:rFonts w:ascii="宋体" w:hAnsi="宋体" w:cs="宋体"/>
          <w:color w:val="auto"/>
          <w:sz w:val="21"/>
          <w:szCs w:val="21"/>
        </w:rPr>
      </w:pPr>
      <w:r>
        <w:rPr>
          <w:rFonts w:hint="eastAsia" w:ascii="宋体" w:hAnsi="宋体" w:cs="宋体"/>
          <w:color w:val="auto"/>
          <w:sz w:val="21"/>
          <w:szCs w:val="21"/>
        </w:rPr>
        <w:t xml:space="preserve">响应人名称（盖章）：                                  </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 xml:space="preserve">日期：  </w:t>
      </w:r>
    </w:p>
    <w:p>
      <w:pPr>
        <w:rPr>
          <w:rFonts w:ascii="宋体" w:hAnsi="宋体" w:cs="宋体"/>
          <w:b/>
          <w:color w:val="auto"/>
          <w:sz w:val="21"/>
          <w:szCs w:val="21"/>
        </w:rPr>
      </w:pPr>
      <w:r>
        <w:rPr>
          <w:rFonts w:hint="eastAsia" w:ascii="宋体" w:hAnsi="宋体" w:cs="宋体"/>
          <w:b/>
          <w:color w:val="auto"/>
          <w:sz w:val="21"/>
          <w:szCs w:val="21"/>
        </w:rPr>
        <w:br w:type="page"/>
      </w:r>
    </w:p>
    <w:p>
      <w:pPr>
        <w:spacing w:line="360" w:lineRule="auto"/>
        <w:rPr>
          <w:rFonts w:ascii="宋体" w:hAnsi="宋体" w:cs="宋体"/>
          <w:b/>
          <w:bCs/>
          <w:color w:val="auto"/>
          <w:sz w:val="21"/>
          <w:szCs w:val="21"/>
        </w:rPr>
      </w:pPr>
      <w:r>
        <w:rPr>
          <w:rFonts w:hint="eastAsia" w:ascii="宋体" w:hAnsi="宋体" w:cs="宋体"/>
          <w:b/>
          <w:color w:val="auto"/>
          <w:sz w:val="21"/>
          <w:szCs w:val="21"/>
        </w:rPr>
        <w:t xml:space="preserve">附件九:    </w:t>
      </w:r>
      <w:r>
        <w:rPr>
          <w:rFonts w:hint="eastAsia" w:ascii="宋体" w:hAnsi="宋体" w:cs="宋体"/>
          <w:b/>
          <w:bCs/>
          <w:color w:val="auto"/>
          <w:sz w:val="21"/>
          <w:szCs w:val="21"/>
        </w:rPr>
        <w:t xml:space="preserve">                      </w:t>
      </w:r>
    </w:p>
    <w:p>
      <w:pPr>
        <w:spacing w:line="360" w:lineRule="auto"/>
        <w:jc w:val="center"/>
        <w:rPr>
          <w:rFonts w:ascii="宋体" w:hAnsi="宋体" w:cs="宋体"/>
          <w:b/>
          <w:color w:val="auto"/>
          <w:sz w:val="21"/>
          <w:szCs w:val="21"/>
        </w:rPr>
      </w:pPr>
      <w:r>
        <w:rPr>
          <w:rFonts w:hint="eastAsia" w:ascii="宋体" w:hAnsi="宋体" w:cs="宋体"/>
          <w:b/>
          <w:color w:val="auto"/>
          <w:sz w:val="21"/>
          <w:szCs w:val="21"/>
        </w:rPr>
        <w:t>相关业绩案例一览表</w:t>
      </w:r>
    </w:p>
    <w:p>
      <w:pPr>
        <w:snapToGrid w:val="0"/>
        <w:spacing w:line="360" w:lineRule="auto"/>
        <w:jc w:val="center"/>
        <w:rPr>
          <w:rFonts w:ascii="宋体" w:hAnsi="宋体" w:cs="宋体"/>
          <w:b/>
          <w:color w:val="auto"/>
          <w:sz w:val="21"/>
          <w:szCs w:val="21"/>
        </w:rPr>
      </w:pPr>
    </w:p>
    <w:tbl>
      <w:tblPr>
        <w:tblStyle w:val="24"/>
        <w:tblW w:w="0" w:type="auto"/>
        <w:jc w:val="center"/>
        <w:tblLayout w:type="fixed"/>
        <w:tblCellMar>
          <w:top w:w="0" w:type="dxa"/>
          <w:left w:w="108" w:type="dxa"/>
          <w:bottom w:w="0" w:type="dxa"/>
          <w:right w:w="108" w:type="dxa"/>
        </w:tblCellMar>
      </w:tblPr>
      <w:tblGrid>
        <w:gridCol w:w="1279"/>
        <w:gridCol w:w="1727"/>
        <w:gridCol w:w="1476"/>
        <w:gridCol w:w="1198"/>
        <w:gridCol w:w="1730"/>
        <w:gridCol w:w="1597"/>
      </w:tblGrid>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r>
              <w:rPr>
                <w:rFonts w:hint="eastAsia" w:ascii="宋体" w:hAnsi="宋体" w:cs="宋体"/>
                <w:color w:val="auto"/>
                <w:sz w:val="21"/>
                <w:szCs w:val="21"/>
              </w:rPr>
              <w:t>年度</w:t>
            </w: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r>
              <w:rPr>
                <w:rFonts w:hint="eastAsia" w:ascii="宋体" w:hAnsi="宋体" w:cs="宋体"/>
                <w:color w:val="auto"/>
                <w:sz w:val="21"/>
                <w:szCs w:val="21"/>
              </w:rPr>
              <w:t>项目建设单位</w:t>
            </w: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r>
              <w:rPr>
                <w:rFonts w:hint="eastAsia" w:ascii="宋体" w:hAnsi="宋体" w:cs="宋体"/>
                <w:color w:val="auto"/>
                <w:sz w:val="21"/>
                <w:szCs w:val="21"/>
              </w:rPr>
              <w:t>项目名称</w:t>
            </w: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r>
              <w:rPr>
                <w:rFonts w:hint="eastAsia" w:ascii="宋体" w:hAnsi="宋体" w:cs="宋体"/>
                <w:color w:val="auto"/>
                <w:sz w:val="21"/>
                <w:szCs w:val="21"/>
              </w:rPr>
              <w:t>合同金额</w:t>
            </w: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r>
              <w:rPr>
                <w:rFonts w:hint="eastAsia" w:ascii="宋体" w:hAnsi="宋体" w:cs="宋体"/>
                <w:color w:val="auto"/>
                <w:sz w:val="21"/>
                <w:szCs w:val="21"/>
              </w:rPr>
              <w:t>单位地址</w:t>
            </w: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r>
              <w:rPr>
                <w:rFonts w:hint="eastAsia" w:ascii="宋体" w:hAnsi="宋体" w:cs="宋体"/>
                <w:color w:val="auto"/>
                <w:sz w:val="21"/>
                <w:szCs w:val="21"/>
              </w:rPr>
              <w:t>联系电话</w:t>
            </w: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ind w:hanging="523"/>
              <w:jc w:val="center"/>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ind w:hanging="523"/>
              <w:jc w:val="center"/>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bl>
    <w:p>
      <w:pPr>
        <w:tabs>
          <w:tab w:val="left" w:pos="9765"/>
        </w:tabs>
        <w:autoSpaceDE w:val="0"/>
        <w:autoSpaceDN w:val="0"/>
        <w:adjustRightInd w:val="0"/>
        <w:snapToGrid w:val="0"/>
        <w:spacing w:line="360" w:lineRule="auto"/>
        <w:ind w:firstLine="315"/>
        <w:rPr>
          <w:rFonts w:ascii="宋体" w:hAnsi="宋体" w:cs="宋体"/>
          <w:color w:val="auto"/>
          <w:sz w:val="21"/>
          <w:szCs w:val="21"/>
        </w:rPr>
      </w:pPr>
      <w:r>
        <w:rPr>
          <w:rFonts w:hint="eastAsia" w:ascii="宋体" w:hAnsi="宋体" w:cs="宋体"/>
          <w:color w:val="auto"/>
          <w:sz w:val="21"/>
          <w:szCs w:val="21"/>
        </w:rPr>
        <w:t>注：根据评分办法要求提供材料。</w:t>
      </w:r>
    </w:p>
    <w:p>
      <w:pPr>
        <w:snapToGrid w:val="0"/>
        <w:spacing w:line="360" w:lineRule="auto"/>
        <w:rPr>
          <w:rFonts w:ascii="宋体" w:hAnsi="宋体" w:cs="宋体"/>
          <w:color w:val="auto"/>
          <w:sz w:val="21"/>
          <w:szCs w:val="21"/>
        </w:rPr>
      </w:pPr>
    </w:p>
    <w:p>
      <w:pPr>
        <w:snapToGrid w:val="0"/>
        <w:spacing w:line="360" w:lineRule="auto"/>
        <w:ind w:firstLine="420" w:firstLineChars="200"/>
        <w:rPr>
          <w:rFonts w:ascii="宋体" w:hAnsi="宋体" w:cs="宋体"/>
          <w:color w:val="auto"/>
          <w:kern w:val="0"/>
          <w:sz w:val="21"/>
          <w:szCs w:val="21"/>
        </w:rPr>
      </w:pPr>
    </w:p>
    <w:p>
      <w:pPr>
        <w:snapToGrid w:val="0"/>
        <w:spacing w:line="360" w:lineRule="auto"/>
        <w:ind w:firstLine="420" w:firstLineChars="200"/>
        <w:rPr>
          <w:rFonts w:ascii="宋体" w:hAnsi="宋体" w:cs="宋体"/>
          <w:color w:val="auto"/>
          <w:kern w:val="0"/>
          <w:sz w:val="21"/>
          <w:szCs w:val="21"/>
        </w:rPr>
      </w:pPr>
      <w:r>
        <w:rPr>
          <w:rFonts w:hint="eastAsia" w:ascii="宋体" w:hAnsi="宋体" w:cs="宋体"/>
          <w:color w:val="auto"/>
          <w:kern w:val="0"/>
          <w:sz w:val="21"/>
          <w:szCs w:val="21"/>
        </w:rPr>
        <w:t>响应人名称（公章）：</w:t>
      </w:r>
    </w:p>
    <w:p>
      <w:pPr>
        <w:snapToGrid w:val="0"/>
        <w:spacing w:line="360" w:lineRule="auto"/>
        <w:rPr>
          <w:rFonts w:ascii="宋体" w:hAnsi="宋体" w:cs="宋体"/>
          <w:color w:val="auto"/>
          <w:kern w:val="0"/>
          <w:sz w:val="21"/>
          <w:szCs w:val="21"/>
        </w:rPr>
      </w:pPr>
      <w:r>
        <w:rPr>
          <w:rFonts w:hint="eastAsia" w:ascii="宋体" w:hAnsi="宋体" w:cs="宋体"/>
          <w:color w:val="auto"/>
          <w:kern w:val="0"/>
          <w:sz w:val="21"/>
          <w:szCs w:val="21"/>
        </w:rPr>
        <w:t xml:space="preserve">    法定代表人或代理人（签字或盖章）：_______________________</w:t>
      </w:r>
    </w:p>
    <w:p>
      <w:pPr>
        <w:snapToGrid w:val="0"/>
        <w:spacing w:line="360" w:lineRule="auto"/>
        <w:rPr>
          <w:rFonts w:ascii="宋体" w:hAnsi="宋体" w:cs="宋体"/>
          <w:color w:val="auto"/>
          <w:kern w:val="0"/>
          <w:sz w:val="21"/>
          <w:szCs w:val="21"/>
        </w:rPr>
      </w:pPr>
      <w:r>
        <w:rPr>
          <w:rFonts w:hint="eastAsia" w:ascii="宋体" w:hAnsi="宋体" w:cs="宋体"/>
          <w:color w:val="auto"/>
          <w:kern w:val="0"/>
          <w:sz w:val="21"/>
          <w:szCs w:val="21"/>
        </w:rPr>
        <w:t xml:space="preserve">    日期：______年    月    日</w:t>
      </w:r>
    </w:p>
    <w:p>
      <w:pPr>
        <w:snapToGrid w:val="0"/>
        <w:spacing w:line="360" w:lineRule="auto"/>
        <w:rPr>
          <w:rFonts w:ascii="宋体" w:hAnsi="宋体" w:cs="宋体"/>
          <w:color w:val="auto"/>
          <w:sz w:val="21"/>
          <w:szCs w:val="21"/>
        </w:rPr>
      </w:pPr>
    </w:p>
    <w:p>
      <w:pPr>
        <w:snapToGrid w:val="0"/>
        <w:spacing w:line="360" w:lineRule="auto"/>
        <w:rPr>
          <w:rFonts w:ascii="宋体" w:hAnsi="宋体" w:cs="宋体"/>
          <w:color w:val="auto"/>
          <w:sz w:val="21"/>
          <w:szCs w:val="21"/>
        </w:rPr>
      </w:pPr>
    </w:p>
    <w:p>
      <w:pPr>
        <w:snapToGrid w:val="0"/>
        <w:spacing w:line="360" w:lineRule="auto"/>
        <w:rPr>
          <w:rFonts w:ascii="宋体" w:hAnsi="宋体" w:cs="宋体"/>
          <w:color w:val="auto"/>
          <w:sz w:val="21"/>
          <w:szCs w:val="21"/>
        </w:rPr>
      </w:pPr>
    </w:p>
    <w:p>
      <w:pPr>
        <w:pStyle w:val="23"/>
        <w:ind w:left="560" w:firstLine="422"/>
        <w:rPr>
          <w:rFonts w:ascii="宋体" w:hAnsi="宋体" w:cs="宋体"/>
          <w:b/>
          <w:color w:val="auto"/>
          <w:kern w:val="0"/>
          <w:sz w:val="21"/>
          <w:szCs w:val="21"/>
        </w:rPr>
      </w:pPr>
      <w:r>
        <w:rPr>
          <w:rFonts w:hint="eastAsia" w:ascii="宋体" w:hAnsi="宋体" w:cs="宋体"/>
          <w:b/>
          <w:bCs/>
          <w:color w:val="auto"/>
          <w:sz w:val="21"/>
          <w:szCs w:val="21"/>
        </w:rPr>
        <w:br w:type="page"/>
      </w:r>
    </w:p>
    <w:p>
      <w:pPr>
        <w:spacing w:line="440" w:lineRule="exact"/>
        <w:rPr>
          <w:rFonts w:ascii="宋体" w:hAnsi="宋体" w:cs="宋体"/>
          <w:b/>
          <w:color w:val="auto"/>
          <w:sz w:val="21"/>
          <w:szCs w:val="21"/>
        </w:rPr>
      </w:pPr>
      <w:r>
        <w:rPr>
          <w:rFonts w:hint="eastAsia" w:ascii="宋体" w:hAnsi="宋体" w:cs="宋体"/>
          <w:b/>
          <w:color w:val="auto"/>
          <w:sz w:val="21"/>
          <w:szCs w:val="21"/>
        </w:rPr>
        <w:t>附件十：</w:t>
      </w:r>
    </w:p>
    <w:p>
      <w:pPr>
        <w:spacing w:line="440" w:lineRule="exact"/>
        <w:jc w:val="center"/>
        <w:rPr>
          <w:rFonts w:ascii="宋体" w:hAnsi="宋体" w:cs="宋体"/>
          <w:b/>
          <w:bCs/>
          <w:color w:val="auto"/>
          <w:sz w:val="21"/>
          <w:szCs w:val="21"/>
        </w:rPr>
      </w:pPr>
      <w:r>
        <w:rPr>
          <w:rFonts w:hint="eastAsia" w:ascii="宋体" w:hAnsi="宋体" w:cs="宋体"/>
          <w:b/>
          <w:bCs/>
          <w:color w:val="auto"/>
          <w:sz w:val="21"/>
          <w:szCs w:val="21"/>
        </w:rPr>
        <w:t>成交供应商项目服务人员一览表</w:t>
      </w:r>
    </w:p>
    <w:p>
      <w:pPr>
        <w:spacing w:line="360" w:lineRule="auto"/>
        <w:jc w:val="center"/>
        <w:rPr>
          <w:rFonts w:ascii="宋体" w:hAnsi="宋体" w:cs="宋体"/>
          <w:color w:val="auto"/>
          <w:sz w:val="21"/>
          <w:szCs w:val="21"/>
        </w:rPr>
      </w:pPr>
    </w:p>
    <w:tbl>
      <w:tblPr>
        <w:tblStyle w:val="25"/>
        <w:tblW w:w="8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1514"/>
        <w:gridCol w:w="2229"/>
        <w:gridCol w:w="1230"/>
        <w:gridCol w:w="1558"/>
        <w:gridCol w:w="1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6" w:type="dxa"/>
            <w:vAlign w:val="center"/>
          </w:tcPr>
          <w:p>
            <w:pPr>
              <w:spacing w:line="360" w:lineRule="exact"/>
              <w:jc w:val="center"/>
              <w:rPr>
                <w:rFonts w:ascii="宋体" w:hAnsi="宋体" w:cs="宋体"/>
                <w:color w:val="auto"/>
                <w:sz w:val="21"/>
                <w:szCs w:val="21"/>
              </w:rPr>
            </w:pPr>
            <w:r>
              <w:rPr>
                <w:rFonts w:hint="eastAsia" w:ascii="宋体" w:hAnsi="宋体" w:cs="宋体"/>
                <w:color w:val="auto"/>
                <w:sz w:val="21"/>
                <w:szCs w:val="21"/>
              </w:rPr>
              <w:t>序号</w:t>
            </w:r>
          </w:p>
        </w:tc>
        <w:tc>
          <w:tcPr>
            <w:tcW w:w="1514" w:type="dxa"/>
            <w:vAlign w:val="center"/>
          </w:tcPr>
          <w:p>
            <w:pPr>
              <w:spacing w:line="360" w:lineRule="exact"/>
              <w:jc w:val="center"/>
              <w:rPr>
                <w:rFonts w:ascii="宋体" w:hAnsi="宋体" w:cs="宋体"/>
                <w:color w:val="auto"/>
                <w:sz w:val="21"/>
                <w:szCs w:val="21"/>
              </w:rPr>
            </w:pPr>
            <w:r>
              <w:rPr>
                <w:rFonts w:hint="eastAsia" w:ascii="宋体" w:hAnsi="宋体" w:cs="宋体"/>
                <w:color w:val="auto"/>
                <w:sz w:val="21"/>
                <w:szCs w:val="21"/>
              </w:rPr>
              <w:t>姓名</w:t>
            </w:r>
          </w:p>
        </w:tc>
        <w:tc>
          <w:tcPr>
            <w:tcW w:w="2229" w:type="dxa"/>
            <w:vAlign w:val="center"/>
          </w:tcPr>
          <w:p>
            <w:pPr>
              <w:spacing w:line="360" w:lineRule="exact"/>
              <w:jc w:val="center"/>
              <w:rPr>
                <w:rFonts w:ascii="宋体" w:hAnsi="宋体" w:cs="宋体"/>
                <w:color w:val="auto"/>
                <w:sz w:val="21"/>
                <w:szCs w:val="21"/>
              </w:rPr>
            </w:pPr>
            <w:r>
              <w:rPr>
                <w:rFonts w:hint="eastAsia" w:ascii="宋体" w:hAnsi="宋体" w:cs="宋体"/>
                <w:color w:val="auto"/>
                <w:sz w:val="21"/>
                <w:szCs w:val="21"/>
              </w:rPr>
              <w:t>本项目拟任职务</w:t>
            </w:r>
          </w:p>
        </w:tc>
        <w:tc>
          <w:tcPr>
            <w:tcW w:w="1230" w:type="dxa"/>
            <w:vAlign w:val="center"/>
          </w:tcPr>
          <w:p>
            <w:pPr>
              <w:spacing w:line="360" w:lineRule="exact"/>
              <w:jc w:val="center"/>
              <w:rPr>
                <w:rFonts w:ascii="宋体" w:hAnsi="宋体" w:cs="宋体"/>
                <w:color w:val="auto"/>
                <w:sz w:val="21"/>
                <w:szCs w:val="21"/>
              </w:rPr>
            </w:pPr>
            <w:r>
              <w:rPr>
                <w:rFonts w:hint="eastAsia" w:ascii="宋体" w:hAnsi="宋体" w:cs="宋体"/>
                <w:color w:val="auto"/>
                <w:sz w:val="21"/>
                <w:szCs w:val="21"/>
              </w:rPr>
              <w:t>身份证号</w:t>
            </w:r>
          </w:p>
        </w:tc>
        <w:tc>
          <w:tcPr>
            <w:tcW w:w="1558" w:type="dxa"/>
            <w:vAlign w:val="center"/>
          </w:tcPr>
          <w:p>
            <w:pPr>
              <w:spacing w:line="360" w:lineRule="exact"/>
              <w:jc w:val="center"/>
              <w:rPr>
                <w:rFonts w:ascii="宋体" w:hAnsi="宋体" w:cs="宋体"/>
                <w:color w:val="auto"/>
                <w:sz w:val="21"/>
                <w:szCs w:val="21"/>
              </w:rPr>
            </w:pPr>
            <w:r>
              <w:rPr>
                <w:rFonts w:hint="eastAsia" w:ascii="宋体" w:hAnsi="宋体" w:cs="宋体"/>
                <w:color w:val="auto"/>
                <w:sz w:val="21"/>
                <w:szCs w:val="21"/>
              </w:rPr>
              <w:t>联系电话</w:t>
            </w:r>
          </w:p>
        </w:tc>
        <w:tc>
          <w:tcPr>
            <w:tcW w:w="1472" w:type="dxa"/>
            <w:vAlign w:val="center"/>
          </w:tcPr>
          <w:p>
            <w:pPr>
              <w:spacing w:line="360" w:lineRule="exact"/>
              <w:jc w:val="center"/>
              <w:rPr>
                <w:rFonts w:ascii="宋体" w:hAnsi="宋体" w:cs="宋体"/>
                <w:color w:val="auto"/>
                <w:sz w:val="21"/>
                <w:szCs w:val="21"/>
              </w:rPr>
            </w:pPr>
            <w:r>
              <w:rPr>
                <w:rFonts w:hint="eastAsia" w:ascii="宋体" w:hAnsi="宋体" w:cs="宋体"/>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6" w:type="dxa"/>
            <w:vAlign w:val="center"/>
          </w:tcPr>
          <w:p>
            <w:pPr>
              <w:spacing w:line="360" w:lineRule="exact"/>
              <w:jc w:val="center"/>
              <w:rPr>
                <w:rFonts w:ascii="宋体" w:hAnsi="宋体" w:cs="宋体"/>
                <w:color w:val="auto"/>
                <w:sz w:val="21"/>
                <w:szCs w:val="21"/>
              </w:rPr>
            </w:pPr>
            <w:r>
              <w:rPr>
                <w:rFonts w:hint="eastAsia" w:ascii="宋体" w:hAnsi="宋体" w:cs="宋体"/>
                <w:color w:val="auto"/>
                <w:sz w:val="21"/>
                <w:szCs w:val="21"/>
              </w:rPr>
              <w:t>1</w:t>
            </w:r>
          </w:p>
        </w:tc>
        <w:tc>
          <w:tcPr>
            <w:tcW w:w="1514" w:type="dxa"/>
            <w:vAlign w:val="center"/>
          </w:tcPr>
          <w:p>
            <w:pPr>
              <w:spacing w:line="360" w:lineRule="exact"/>
              <w:jc w:val="center"/>
              <w:rPr>
                <w:rFonts w:ascii="宋体" w:hAnsi="宋体" w:cs="宋体"/>
                <w:color w:val="auto"/>
                <w:sz w:val="21"/>
                <w:szCs w:val="21"/>
              </w:rPr>
            </w:pPr>
          </w:p>
        </w:tc>
        <w:tc>
          <w:tcPr>
            <w:tcW w:w="2229" w:type="dxa"/>
            <w:vAlign w:val="center"/>
          </w:tcPr>
          <w:p>
            <w:pPr>
              <w:spacing w:line="360" w:lineRule="exact"/>
              <w:jc w:val="center"/>
              <w:rPr>
                <w:rFonts w:ascii="宋体" w:hAnsi="宋体" w:cs="宋体"/>
                <w:color w:val="auto"/>
                <w:sz w:val="21"/>
                <w:szCs w:val="21"/>
              </w:rPr>
            </w:pPr>
            <w:r>
              <w:rPr>
                <w:rFonts w:hint="eastAsia" w:ascii="宋体" w:hAnsi="宋体" w:cs="宋体"/>
                <w:color w:val="auto"/>
                <w:sz w:val="21"/>
                <w:szCs w:val="21"/>
              </w:rPr>
              <w:t>项目联系人</w:t>
            </w:r>
          </w:p>
        </w:tc>
        <w:tc>
          <w:tcPr>
            <w:tcW w:w="1230" w:type="dxa"/>
            <w:vAlign w:val="center"/>
          </w:tcPr>
          <w:p>
            <w:pPr>
              <w:spacing w:line="360" w:lineRule="exact"/>
              <w:jc w:val="center"/>
              <w:rPr>
                <w:rFonts w:ascii="宋体" w:hAnsi="宋体" w:cs="宋体"/>
                <w:color w:val="auto"/>
                <w:sz w:val="21"/>
                <w:szCs w:val="21"/>
              </w:rPr>
            </w:pPr>
          </w:p>
        </w:tc>
        <w:tc>
          <w:tcPr>
            <w:tcW w:w="1558" w:type="dxa"/>
            <w:vAlign w:val="center"/>
          </w:tcPr>
          <w:p>
            <w:pPr>
              <w:spacing w:line="360" w:lineRule="exact"/>
              <w:jc w:val="center"/>
              <w:rPr>
                <w:rFonts w:ascii="宋体" w:hAnsi="宋体" w:cs="宋体"/>
                <w:color w:val="auto"/>
                <w:sz w:val="21"/>
                <w:szCs w:val="21"/>
              </w:rPr>
            </w:pPr>
            <w:r>
              <w:rPr>
                <w:rFonts w:hint="eastAsia" w:ascii="宋体" w:hAnsi="宋体" w:cs="宋体"/>
                <w:color w:val="auto"/>
                <w:sz w:val="21"/>
                <w:szCs w:val="21"/>
              </w:rPr>
              <w:t>填写手机</w:t>
            </w:r>
          </w:p>
          <w:p>
            <w:pPr>
              <w:spacing w:line="360" w:lineRule="exact"/>
              <w:jc w:val="center"/>
              <w:rPr>
                <w:rFonts w:ascii="宋体" w:hAnsi="宋体" w:cs="宋体"/>
                <w:color w:val="auto"/>
                <w:sz w:val="21"/>
                <w:szCs w:val="21"/>
              </w:rPr>
            </w:pPr>
            <w:r>
              <w:rPr>
                <w:rFonts w:hint="eastAsia" w:ascii="宋体" w:hAnsi="宋体" w:cs="宋体"/>
                <w:color w:val="auto"/>
                <w:sz w:val="21"/>
                <w:szCs w:val="21"/>
              </w:rPr>
              <w:t>号码</w:t>
            </w:r>
          </w:p>
        </w:tc>
        <w:tc>
          <w:tcPr>
            <w:tcW w:w="1472" w:type="dxa"/>
            <w:vAlign w:val="center"/>
          </w:tcPr>
          <w:p>
            <w:pPr>
              <w:spacing w:line="360" w:lineRule="exact"/>
              <w:jc w:val="center"/>
              <w:rPr>
                <w:rFonts w:ascii="宋体" w:hAnsi="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6" w:type="dxa"/>
          </w:tcPr>
          <w:p>
            <w:pPr>
              <w:spacing w:line="360" w:lineRule="exact"/>
              <w:jc w:val="center"/>
              <w:rPr>
                <w:rFonts w:ascii="宋体" w:hAnsi="宋体" w:cs="宋体"/>
                <w:color w:val="auto"/>
                <w:sz w:val="21"/>
                <w:szCs w:val="21"/>
              </w:rPr>
            </w:pPr>
            <w:r>
              <w:rPr>
                <w:rFonts w:hint="eastAsia" w:ascii="宋体" w:hAnsi="宋体" w:cs="宋体"/>
                <w:color w:val="auto"/>
                <w:sz w:val="21"/>
                <w:szCs w:val="21"/>
              </w:rPr>
              <w:t>2</w:t>
            </w:r>
          </w:p>
        </w:tc>
        <w:tc>
          <w:tcPr>
            <w:tcW w:w="1514" w:type="dxa"/>
          </w:tcPr>
          <w:p>
            <w:pPr>
              <w:spacing w:line="360" w:lineRule="exact"/>
              <w:rPr>
                <w:rFonts w:ascii="宋体" w:hAnsi="宋体" w:cs="宋体"/>
                <w:color w:val="auto"/>
                <w:sz w:val="21"/>
                <w:szCs w:val="21"/>
              </w:rPr>
            </w:pPr>
          </w:p>
        </w:tc>
        <w:tc>
          <w:tcPr>
            <w:tcW w:w="2229" w:type="dxa"/>
          </w:tcPr>
          <w:p>
            <w:pPr>
              <w:spacing w:line="360" w:lineRule="exact"/>
              <w:jc w:val="center"/>
              <w:rPr>
                <w:rFonts w:ascii="宋体" w:hAnsi="宋体" w:cs="宋体"/>
                <w:color w:val="auto"/>
                <w:sz w:val="21"/>
                <w:szCs w:val="21"/>
              </w:rPr>
            </w:pPr>
          </w:p>
        </w:tc>
        <w:tc>
          <w:tcPr>
            <w:tcW w:w="1230" w:type="dxa"/>
          </w:tcPr>
          <w:p>
            <w:pPr>
              <w:spacing w:line="360" w:lineRule="exact"/>
              <w:jc w:val="center"/>
              <w:rPr>
                <w:rFonts w:ascii="宋体" w:hAnsi="宋体" w:cs="宋体"/>
                <w:color w:val="auto"/>
                <w:sz w:val="21"/>
                <w:szCs w:val="21"/>
              </w:rPr>
            </w:pPr>
          </w:p>
        </w:tc>
        <w:tc>
          <w:tcPr>
            <w:tcW w:w="1558" w:type="dxa"/>
          </w:tcPr>
          <w:p>
            <w:pPr>
              <w:spacing w:line="360" w:lineRule="exact"/>
              <w:jc w:val="center"/>
              <w:rPr>
                <w:rFonts w:ascii="宋体" w:hAnsi="宋体" w:cs="宋体"/>
                <w:color w:val="auto"/>
                <w:sz w:val="21"/>
                <w:szCs w:val="21"/>
              </w:rPr>
            </w:pPr>
          </w:p>
        </w:tc>
        <w:tc>
          <w:tcPr>
            <w:tcW w:w="1472" w:type="dxa"/>
            <w:vMerge w:val="restart"/>
            <w:vAlign w:val="center"/>
          </w:tcPr>
          <w:p>
            <w:pPr>
              <w:spacing w:line="360" w:lineRule="exact"/>
              <w:jc w:val="center"/>
              <w:rPr>
                <w:rFonts w:ascii="宋体" w:hAnsi="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6" w:type="dxa"/>
          </w:tcPr>
          <w:p>
            <w:pPr>
              <w:spacing w:line="360" w:lineRule="exact"/>
              <w:jc w:val="center"/>
              <w:rPr>
                <w:rFonts w:ascii="宋体" w:hAnsi="宋体" w:cs="宋体"/>
                <w:color w:val="auto"/>
                <w:sz w:val="21"/>
                <w:szCs w:val="21"/>
              </w:rPr>
            </w:pPr>
            <w:r>
              <w:rPr>
                <w:rFonts w:hint="eastAsia" w:ascii="宋体" w:hAnsi="宋体" w:cs="宋体"/>
                <w:color w:val="auto"/>
                <w:sz w:val="21"/>
                <w:szCs w:val="21"/>
              </w:rPr>
              <w:t>3</w:t>
            </w:r>
          </w:p>
        </w:tc>
        <w:tc>
          <w:tcPr>
            <w:tcW w:w="1514" w:type="dxa"/>
          </w:tcPr>
          <w:p>
            <w:pPr>
              <w:spacing w:line="360" w:lineRule="exact"/>
              <w:rPr>
                <w:rFonts w:ascii="宋体" w:hAnsi="宋体" w:cs="宋体"/>
                <w:color w:val="auto"/>
                <w:sz w:val="21"/>
                <w:szCs w:val="21"/>
              </w:rPr>
            </w:pPr>
          </w:p>
        </w:tc>
        <w:tc>
          <w:tcPr>
            <w:tcW w:w="2229" w:type="dxa"/>
          </w:tcPr>
          <w:p>
            <w:pPr>
              <w:spacing w:line="360" w:lineRule="exact"/>
              <w:jc w:val="center"/>
              <w:rPr>
                <w:rFonts w:ascii="宋体" w:hAnsi="宋体" w:cs="宋体"/>
                <w:color w:val="auto"/>
                <w:sz w:val="21"/>
                <w:szCs w:val="21"/>
              </w:rPr>
            </w:pPr>
          </w:p>
        </w:tc>
        <w:tc>
          <w:tcPr>
            <w:tcW w:w="1230" w:type="dxa"/>
          </w:tcPr>
          <w:p>
            <w:pPr>
              <w:spacing w:line="360" w:lineRule="exact"/>
              <w:jc w:val="center"/>
              <w:rPr>
                <w:rFonts w:ascii="宋体" w:hAnsi="宋体" w:cs="宋体"/>
                <w:color w:val="auto"/>
                <w:sz w:val="21"/>
                <w:szCs w:val="21"/>
              </w:rPr>
            </w:pPr>
          </w:p>
        </w:tc>
        <w:tc>
          <w:tcPr>
            <w:tcW w:w="1558" w:type="dxa"/>
          </w:tcPr>
          <w:p>
            <w:pPr>
              <w:spacing w:line="360" w:lineRule="exact"/>
              <w:jc w:val="center"/>
              <w:rPr>
                <w:rFonts w:ascii="宋体" w:hAnsi="宋体" w:cs="宋体"/>
                <w:color w:val="auto"/>
                <w:sz w:val="21"/>
                <w:szCs w:val="21"/>
              </w:rPr>
            </w:pPr>
          </w:p>
        </w:tc>
        <w:tc>
          <w:tcPr>
            <w:tcW w:w="1472" w:type="dxa"/>
            <w:vMerge w:val="continue"/>
            <w:vAlign w:val="center"/>
          </w:tcPr>
          <w:p>
            <w:pPr>
              <w:spacing w:line="360" w:lineRule="exact"/>
              <w:jc w:val="center"/>
              <w:rPr>
                <w:rFonts w:ascii="宋体" w:hAnsi="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6" w:type="dxa"/>
          </w:tcPr>
          <w:p>
            <w:pPr>
              <w:spacing w:line="360" w:lineRule="exact"/>
              <w:jc w:val="center"/>
              <w:rPr>
                <w:rFonts w:ascii="宋体" w:hAnsi="宋体" w:cs="宋体"/>
                <w:color w:val="auto"/>
                <w:sz w:val="21"/>
                <w:szCs w:val="21"/>
              </w:rPr>
            </w:pPr>
            <w:r>
              <w:rPr>
                <w:rFonts w:hint="eastAsia" w:ascii="宋体" w:hAnsi="宋体" w:cs="宋体"/>
                <w:color w:val="auto"/>
                <w:sz w:val="21"/>
                <w:szCs w:val="21"/>
              </w:rPr>
              <w:t>.....</w:t>
            </w:r>
          </w:p>
        </w:tc>
        <w:tc>
          <w:tcPr>
            <w:tcW w:w="1514" w:type="dxa"/>
          </w:tcPr>
          <w:p>
            <w:pPr>
              <w:spacing w:line="360" w:lineRule="exact"/>
              <w:rPr>
                <w:rFonts w:ascii="宋体" w:hAnsi="宋体" w:cs="宋体"/>
                <w:color w:val="auto"/>
                <w:sz w:val="21"/>
                <w:szCs w:val="21"/>
              </w:rPr>
            </w:pPr>
          </w:p>
        </w:tc>
        <w:tc>
          <w:tcPr>
            <w:tcW w:w="2229" w:type="dxa"/>
          </w:tcPr>
          <w:p>
            <w:pPr>
              <w:spacing w:line="360" w:lineRule="exact"/>
              <w:jc w:val="center"/>
              <w:rPr>
                <w:rFonts w:ascii="宋体" w:hAnsi="宋体" w:cs="宋体"/>
                <w:color w:val="auto"/>
                <w:sz w:val="21"/>
                <w:szCs w:val="21"/>
              </w:rPr>
            </w:pPr>
          </w:p>
        </w:tc>
        <w:tc>
          <w:tcPr>
            <w:tcW w:w="1230" w:type="dxa"/>
          </w:tcPr>
          <w:p>
            <w:pPr>
              <w:spacing w:line="360" w:lineRule="exact"/>
              <w:jc w:val="center"/>
              <w:rPr>
                <w:rFonts w:ascii="宋体" w:hAnsi="宋体" w:cs="宋体"/>
                <w:color w:val="auto"/>
                <w:sz w:val="21"/>
                <w:szCs w:val="21"/>
              </w:rPr>
            </w:pPr>
          </w:p>
        </w:tc>
        <w:tc>
          <w:tcPr>
            <w:tcW w:w="1558" w:type="dxa"/>
          </w:tcPr>
          <w:p>
            <w:pPr>
              <w:spacing w:line="360" w:lineRule="exact"/>
              <w:jc w:val="center"/>
              <w:rPr>
                <w:rFonts w:ascii="宋体" w:hAnsi="宋体" w:cs="宋体"/>
                <w:color w:val="auto"/>
                <w:sz w:val="21"/>
                <w:szCs w:val="21"/>
              </w:rPr>
            </w:pPr>
          </w:p>
        </w:tc>
        <w:tc>
          <w:tcPr>
            <w:tcW w:w="1472" w:type="dxa"/>
            <w:vMerge w:val="continue"/>
            <w:vAlign w:val="center"/>
          </w:tcPr>
          <w:p>
            <w:pPr>
              <w:spacing w:line="360" w:lineRule="exact"/>
              <w:jc w:val="center"/>
              <w:rPr>
                <w:rFonts w:ascii="宋体" w:hAnsi="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6" w:type="dxa"/>
          </w:tcPr>
          <w:p>
            <w:pPr>
              <w:spacing w:line="360" w:lineRule="exact"/>
              <w:rPr>
                <w:rFonts w:ascii="宋体" w:hAnsi="宋体" w:cs="宋体"/>
                <w:color w:val="auto"/>
                <w:sz w:val="21"/>
                <w:szCs w:val="21"/>
              </w:rPr>
            </w:pPr>
          </w:p>
        </w:tc>
        <w:tc>
          <w:tcPr>
            <w:tcW w:w="1514" w:type="dxa"/>
          </w:tcPr>
          <w:p>
            <w:pPr>
              <w:spacing w:line="360" w:lineRule="exact"/>
              <w:rPr>
                <w:rFonts w:ascii="宋体" w:hAnsi="宋体" w:cs="宋体"/>
                <w:color w:val="auto"/>
                <w:sz w:val="21"/>
                <w:szCs w:val="21"/>
              </w:rPr>
            </w:pPr>
          </w:p>
        </w:tc>
        <w:tc>
          <w:tcPr>
            <w:tcW w:w="2229" w:type="dxa"/>
          </w:tcPr>
          <w:p>
            <w:pPr>
              <w:spacing w:line="360" w:lineRule="exact"/>
              <w:jc w:val="center"/>
              <w:rPr>
                <w:rFonts w:ascii="宋体" w:hAnsi="宋体" w:cs="宋体"/>
                <w:color w:val="auto"/>
                <w:sz w:val="21"/>
                <w:szCs w:val="21"/>
              </w:rPr>
            </w:pPr>
          </w:p>
        </w:tc>
        <w:tc>
          <w:tcPr>
            <w:tcW w:w="1230" w:type="dxa"/>
          </w:tcPr>
          <w:p>
            <w:pPr>
              <w:spacing w:line="360" w:lineRule="exact"/>
              <w:jc w:val="center"/>
              <w:rPr>
                <w:rFonts w:ascii="宋体" w:hAnsi="宋体" w:cs="宋体"/>
                <w:color w:val="auto"/>
                <w:sz w:val="21"/>
                <w:szCs w:val="21"/>
              </w:rPr>
            </w:pPr>
          </w:p>
        </w:tc>
        <w:tc>
          <w:tcPr>
            <w:tcW w:w="1558" w:type="dxa"/>
          </w:tcPr>
          <w:p>
            <w:pPr>
              <w:spacing w:line="360" w:lineRule="exact"/>
              <w:jc w:val="center"/>
              <w:rPr>
                <w:rFonts w:ascii="宋体" w:hAnsi="宋体" w:cs="宋体"/>
                <w:color w:val="auto"/>
                <w:sz w:val="21"/>
                <w:szCs w:val="21"/>
              </w:rPr>
            </w:pPr>
          </w:p>
        </w:tc>
        <w:tc>
          <w:tcPr>
            <w:tcW w:w="1472" w:type="dxa"/>
            <w:vMerge w:val="restart"/>
            <w:vAlign w:val="center"/>
          </w:tcPr>
          <w:p>
            <w:pPr>
              <w:spacing w:line="360" w:lineRule="exact"/>
              <w:jc w:val="center"/>
              <w:rPr>
                <w:rFonts w:ascii="宋体" w:hAnsi="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6" w:type="dxa"/>
          </w:tcPr>
          <w:p>
            <w:pPr>
              <w:spacing w:line="360" w:lineRule="exact"/>
              <w:rPr>
                <w:rFonts w:ascii="宋体" w:hAnsi="宋体" w:cs="宋体"/>
                <w:color w:val="auto"/>
                <w:sz w:val="21"/>
                <w:szCs w:val="21"/>
              </w:rPr>
            </w:pPr>
          </w:p>
        </w:tc>
        <w:tc>
          <w:tcPr>
            <w:tcW w:w="1514" w:type="dxa"/>
          </w:tcPr>
          <w:p>
            <w:pPr>
              <w:spacing w:line="360" w:lineRule="exact"/>
              <w:rPr>
                <w:rFonts w:ascii="宋体" w:hAnsi="宋体" w:cs="宋体"/>
                <w:color w:val="auto"/>
                <w:sz w:val="21"/>
                <w:szCs w:val="21"/>
              </w:rPr>
            </w:pPr>
          </w:p>
        </w:tc>
        <w:tc>
          <w:tcPr>
            <w:tcW w:w="2229" w:type="dxa"/>
          </w:tcPr>
          <w:p>
            <w:pPr>
              <w:spacing w:line="360" w:lineRule="exact"/>
              <w:rPr>
                <w:rFonts w:ascii="宋体" w:hAnsi="宋体" w:cs="宋体"/>
                <w:color w:val="auto"/>
                <w:sz w:val="21"/>
                <w:szCs w:val="21"/>
              </w:rPr>
            </w:pPr>
          </w:p>
        </w:tc>
        <w:tc>
          <w:tcPr>
            <w:tcW w:w="1230" w:type="dxa"/>
          </w:tcPr>
          <w:p>
            <w:pPr>
              <w:spacing w:line="360" w:lineRule="exact"/>
              <w:rPr>
                <w:rFonts w:ascii="宋体" w:hAnsi="宋体" w:cs="宋体"/>
                <w:color w:val="auto"/>
                <w:sz w:val="21"/>
                <w:szCs w:val="21"/>
              </w:rPr>
            </w:pPr>
          </w:p>
        </w:tc>
        <w:tc>
          <w:tcPr>
            <w:tcW w:w="1558" w:type="dxa"/>
          </w:tcPr>
          <w:p>
            <w:pPr>
              <w:spacing w:line="360" w:lineRule="exact"/>
              <w:rPr>
                <w:rFonts w:ascii="宋体" w:hAnsi="宋体" w:cs="宋体"/>
                <w:color w:val="auto"/>
                <w:sz w:val="21"/>
                <w:szCs w:val="21"/>
              </w:rPr>
            </w:pPr>
          </w:p>
        </w:tc>
        <w:tc>
          <w:tcPr>
            <w:tcW w:w="1472" w:type="dxa"/>
            <w:vMerge w:val="continue"/>
          </w:tcPr>
          <w:p>
            <w:pPr>
              <w:spacing w:line="360" w:lineRule="exact"/>
              <w:rPr>
                <w:rFonts w:ascii="宋体" w:hAnsi="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6" w:type="dxa"/>
          </w:tcPr>
          <w:p>
            <w:pPr>
              <w:spacing w:line="360" w:lineRule="exact"/>
              <w:rPr>
                <w:rFonts w:ascii="宋体" w:hAnsi="宋体" w:cs="宋体"/>
                <w:color w:val="auto"/>
                <w:sz w:val="21"/>
                <w:szCs w:val="21"/>
              </w:rPr>
            </w:pPr>
          </w:p>
        </w:tc>
        <w:tc>
          <w:tcPr>
            <w:tcW w:w="1514" w:type="dxa"/>
          </w:tcPr>
          <w:p>
            <w:pPr>
              <w:spacing w:line="360" w:lineRule="exact"/>
              <w:rPr>
                <w:rFonts w:ascii="宋体" w:hAnsi="宋体" w:cs="宋体"/>
                <w:color w:val="auto"/>
                <w:sz w:val="21"/>
                <w:szCs w:val="21"/>
              </w:rPr>
            </w:pPr>
          </w:p>
        </w:tc>
        <w:tc>
          <w:tcPr>
            <w:tcW w:w="2229" w:type="dxa"/>
          </w:tcPr>
          <w:p>
            <w:pPr>
              <w:spacing w:line="360" w:lineRule="exact"/>
              <w:rPr>
                <w:rFonts w:ascii="宋体" w:hAnsi="宋体" w:cs="宋体"/>
                <w:color w:val="auto"/>
                <w:sz w:val="21"/>
                <w:szCs w:val="21"/>
              </w:rPr>
            </w:pPr>
          </w:p>
        </w:tc>
        <w:tc>
          <w:tcPr>
            <w:tcW w:w="1230" w:type="dxa"/>
          </w:tcPr>
          <w:p>
            <w:pPr>
              <w:spacing w:line="360" w:lineRule="exact"/>
              <w:rPr>
                <w:rFonts w:ascii="宋体" w:hAnsi="宋体" w:cs="宋体"/>
                <w:color w:val="auto"/>
                <w:sz w:val="21"/>
                <w:szCs w:val="21"/>
              </w:rPr>
            </w:pPr>
          </w:p>
        </w:tc>
        <w:tc>
          <w:tcPr>
            <w:tcW w:w="1558" w:type="dxa"/>
          </w:tcPr>
          <w:p>
            <w:pPr>
              <w:spacing w:line="360" w:lineRule="exact"/>
              <w:rPr>
                <w:rFonts w:ascii="宋体" w:hAnsi="宋体" w:cs="宋体"/>
                <w:color w:val="auto"/>
                <w:sz w:val="21"/>
                <w:szCs w:val="21"/>
              </w:rPr>
            </w:pPr>
          </w:p>
        </w:tc>
        <w:tc>
          <w:tcPr>
            <w:tcW w:w="1472" w:type="dxa"/>
            <w:vMerge w:val="continue"/>
          </w:tcPr>
          <w:p>
            <w:pPr>
              <w:spacing w:line="360" w:lineRule="exact"/>
              <w:rPr>
                <w:rFonts w:ascii="宋体" w:hAnsi="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6" w:type="dxa"/>
          </w:tcPr>
          <w:p>
            <w:pPr>
              <w:spacing w:line="360" w:lineRule="exact"/>
              <w:rPr>
                <w:rFonts w:ascii="宋体" w:hAnsi="宋体" w:cs="宋体"/>
                <w:color w:val="auto"/>
                <w:sz w:val="21"/>
                <w:szCs w:val="21"/>
              </w:rPr>
            </w:pPr>
          </w:p>
        </w:tc>
        <w:tc>
          <w:tcPr>
            <w:tcW w:w="1514" w:type="dxa"/>
          </w:tcPr>
          <w:p>
            <w:pPr>
              <w:spacing w:line="360" w:lineRule="exact"/>
              <w:rPr>
                <w:rFonts w:ascii="宋体" w:hAnsi="宋体" w:cs="宋体"/>
                <w:color w:val="auto"/>
                <w:sz w:val="21"/>
                <w:szCs w:val="21"/>
              </w:rPr>
            </w:pPr>
          </w:p>
        </w:tc>
        <w:tc>
          <w:tcPr>
            <w:tcW w:w="2229" w:type="dxa"/>
          </w:tcPr>
          <w:p>
            <w:pPr>
              <w:spacing w:line="360" w:lineRule="exact"/>
              <w:rPr>
                <w:rFonts w:ascii="宋体" w:hAnsi="宋体" w:cs="宋体"/>
                <w:color w:val="auto"/>
                <w:sz w:val="21"/>
                <w:szCs w:val="21"/>
              </w:rPr>
            </w:pPr>
          </w:p>
        </w:tc>
        <w:tc>
          <w:tcPr>
            <w:tcW w:w="1230" w:type="dxa"/>
          </w:tcPr>
          <w:p>
            <w:pPr>
              <w:spacing w:line="360" w:lineRule="exact"/>
              <w:rPr>
                <w:rFonts w:ascii="宋体" w:hAnsi="宋体" w:cs="宋体"/>
                <w:color w:val="auto"/>
                <w:sz w:val="21"/>
                <w:szCs w:val="21"/>
              </w:rPr>
            </w:pPr>
          </w:p>
        </w:tc>
        <w:tc>
          <w:tcPr>
            <w:tcW w:w="1558" w:type="dxa"/>
          </w:tcPr>
          <w:p>
            <w:pPr>
              <w:spacing w:line="360" w:lineRule="exact"/>
              <w:rPr>
                <w:rFonts w:ascii="宋体" w:hAnsi="宋体" w:cs="宋体"/>
                <w:color w:val="auto"/>
                <w:sz w:val="21"/>
                <w:szCs w:val="21"/>
              </w:rPr>
            </w:pPr>
          </w:p>
        </w:tc>
        <w:tc>
          <w:tcPr>
            <w:tcW w:w="1472" w:type="dxa"/>
            <w:vMerge w:val="continue"/>
          </w:tcPr>
          <w:p>
            <w:pPr>
              <w:spacing w:line="360" w:lineRule="exact"/>
              <w:rPr>
                <w:rFonts w:ascii="宋体" w:hAnsi="宋体" w:cs="宋体"/>
                <w:color w:val="auto"/>
                <w:sz w:val="21"/>
                <w:szCs w:val="21"/>
              </w:rPr>
            </w:pPr>
          </w:p>
        </w:tc>
      </w:tr>
    </w:tbl>
    <w:p>
      <w:pPr>
        <w:spacing w:line="360" w:lineRule="auto"/>
        <w:rPr>
          <w:rFonts w:ascii="宋体" w:hAnsi="宋体" w:cs="宋体"/>
          <w:color w:val="auto"/>
          <w:sz w:val="21"/>
          <w:szCs w:val="21"/>
        </w:rPr>
      </w:pPr>
      <w:r>
        <w:rPr>
          <w:rFonts w:hint="eastAsia" w:ascii="宋体" w:hAnsi="宋体" w:cs="宋体"/>
          <w:b/>
          <w:color w:val="auto"/>
          <w:sz w:val="21"/>
          <w:szCs w:val="21"/>
        </w:rPr>
        <w:t>注：如成交供应商中标，服务人员必须按本表承诺人员操作，不得随意更换。</w:t>
      </w:r>
    </w:p>
    <w:p>
      <w:pPr>
        <w:autoSpaceDE w:val="0"/>
        <w:autoSpaceDN w:val="0"/>
        <w:adjustRightInd w:val="0"/>
        <w:spacing w:line="360" w:lineRule="auto"/>
        <w:rPr>
          <w:rFonts w:ascii="宋体" w:hAnsi="宋体" w:cs="宋体"/>
          <w:color w:val="auto"/>
          <w:sz w:val="21"/>
          <w:szCs w:val="21"/>
          <w:lang w:val="zh-CN"/>
        </w:rPr>
      </w:pPr>
    </w:p>
    <w:p>
      <w:pPr>
        <w:autoSpaceDE w:val="0"/>
        <w:autoSpaceDN w:val="0"/>
        <w:adjustRightInd w:val="0"/>
        <w:spacing w:line="360" w:lineRule="auto"/>
        <w:rPr>
          <w:rFonts w:ascii="宋体" w:hAnsi="宋体" w:cs="宋体"/>
          <w:color w:val="auto"/>
          <w:sz w:val="21"/>
          <w:szCs w:val="21"/>
          <w:lang w:val="zh-CN"/>
        </w:rPr>
      </w:pPr>
    </w:p>
    <w:p>
      <w:pPr>
        <w:autoSpaceDE w:val="0"/>
        <w:autoSpaceDN w:val="0"/>
        <w:adjustRightInd w:val="0"/>
        <w:spacing w:line="360" w:lineRule="auto"/>
        <w:rPr>
          <w:rFonts w:ascii="宋体" w:hAnsi="宋体" w:cs="宋体"/>
          <w:color w:val="auto"/>
          <w:sz w:val="21"/>
          <w:szCs w:val="21"/>
          <w:lang w:val="zh-CN"/>
        </w:rPr>
      </w:pPr>
      <w:r>
        <w:rPr>
          <w:rFonts w:hint="eastAsia" w:ascii="宋体" w:hAnsi="宋体" w:cs="宋体"/>
          <w:color w:val="auto"/>
          <w:sz w:val="21"/>
          <w:szCs w:val="21"/>
          <w:lang w:val="zh-CN"/>
        </w:rPr>
        <w:t xml:space="preserve">响应人（盖章）：    </w:t>
      </w:r>
    </w:p>
    <w:p>
      <w:pPr>
        <w:autoSpaceDE w:val="0"/>
        <w:autoSpaceDN w:val="0"/>
        <w:adjustRightInd w:val="0"/>
        <w:spacing w:line="360" w:lineRule="auto"/>
        <w:rPr>
          <w:rFonts w:ascii="宋体" w:hAnsi="宋体" w:cs="宋体"/>
          <w:color w:val="auto"/>
          <w:sz w:val="21"/>
          <w:szCs w:val="21"/>
          <w:u w:val="single"/>
          <w:lang w:val="zh-CN"/>
        </w:rPr>
      </w:pPr>
      <w:r>
        <w:rPr>
          <w:rFonts w:hint="eastAsia" w:ascii="宋体" w:hAnsi="宋体" w:cs="宋体"/>
          <w:color w:val="auto"/>
          <w:sz w:val="21"/>
          <w:szCs w:val="21"/>
          <w:lang w:val="zh-CN"/>
        </w:rPr>
        <w:t>法定代表人（签字或盖章）：</w:t>
      </w:r>
    </w:p>
    <w:p>
      <w:pPr>
        <w:spacing w:line="360" w:lineRule="auto"/>
        <w:rPr>
          <w:rFonts w:ascii="宋体" w:hAnsi="宋体" w:cs="宋体"/>
          <w:color w:val="auto"/>
          <w:sz w:val="21"/>
          <w:szCs w:val="21"/>
        </w:rPr>
      </w:pPr>
      <w:r>
        <w:rPr>
          <w:rFonts w:hint="eastAsia" w:ascii="宋体" w:hAnsi="宋体" w:cs="宋体"/>
          <w:color w:val="auto"/>
          <w:sz w:val="21"/>
          <w:szCs w:val="21"/>
        </w:rPr>
        <w:t>日期：</w:t>
      </w:r>
    </w:p>
    <w:p>
      <w:pPr>
        <w:rPr>
          <w:rFonts w:ascii="宋体" w:hAnsi="宋体" w:cs="宋体"/>
          <w:color w:val="auto"/>
          <w:sz w:val="21"/>
          <w:szCs w:val="21"/>
        </w:rPr>
      </w:pPr>
      <w:r>
        <w:rPr>
          <w:rFonts w:hint="eastAsia" w:ascii="宋体" w:hAnsi="宋体" w:cs="宋体"/>
          <w:color w:val="auto"/>
          <w:sz w:val="21"/>
          <w:szCs w:val="21"/>
        </w:rPr>
        <w:br w:type="page"/>
      </w:r>
    </w:p>
    <w:p>
      <w:pPr>
        <w:spacing w:line="560" w:lineRule="exact"/>
        <w:rPr>
          <w:rFonts w:ascii="宋体" w:hAnsi="宋体" w:cs="宋体"/>
          <w:b/>
          <w:color w:val="auto"/>
          <w:sz w:val="21"/>
          <w:szCs w:val="21"/>
        </w:rPr>
      </w:pPr>
      <w:r>
        <w:rPr>
          <w:rFonts w:hint="eastAsia" w:ascii="宋体" w:hAnsi="宋体" w:cs="宋体"/>
          <w:b/>
          <w:color w:val="auto"/>
          <w:sz w:val="21"/>
          <w:szCs w:val="21"/>
        </w:rPr>
        <w:t xml:space="preserve">附件十一: </w:t>
      </w:r>
    </w:p>
    <w:p>
      <w:pPr>
        <w:spacing w:line="440" w:lineRule="exact"/>
        <w:jc w:val="center"/>
        <w:rPr>
          <w:rFonts w:ascii="宋体" w:hAnsi="宋体"/>
          <w:b/>
          <w:color w:val="auto"/>
          <w:sz w:val="21"/>
          <w:szCs w:val="21"/>
        </w:rPr>
      </w:pPr>
      <w:r>
        <w:rPr>
          <w:rFonts w:ascii="宋体" w:hAnsi="宋体"/>
          <w:b/>
          <w:color w:val="auto"/>
          <w:sz w:val="21"/>
          <w:szCs w:val="21"/>
        </w:rPr>
        <w:t>机械设备配备情况表</w:t>
      </w:r>
    </w:p>
    <w:p>
      <w:pPr>
        <w:spacing w:line="440" w:lineRule="exact"/>
        <w:rPr>
          <w:rFonts w:ascii="宋体" w:hAnsi="宋体"/>
          <w:color w:val="auto"/>
          <w:sz w:val="21"/>
          <w:szCs w:val="21"/>
        </w:rPr>
      </w:pPr>
      <w:r>
        <w:rPr>
          <w:rFonts w:ascii="宋体" w:hAnsi="宋体"/>
          <w:color w:val="auto"/>
          <w:sz w:val="21"/>
          <w:szCs w:val="21"/>
        </w:rPr>
        <w:t>投标人：    （加盖公章</w:t>
      </w:r>
      <w:r>
        <w:rPr>
          <w:rFonts w:hint="eastAsia" w:ascii="宋体" w:hAnsi="宋体"/>
          <w:color w:val="auto"/>
          <w:sz w:val="21"/>
          <w:szCs w:val="21"/>
        </w:rPr>
        <w:t xml:space="preserve">） </w:t>
      </w:r>
      <w:r>
        <w:rPr>
          <w:rFonts w:ascii="宋体" w:hAnsi="宋体"/>
          <w:color w:val="auto"/>
          <w:sz w:val="21"/>
          <w:szCs w:val="21"/>
        </w:rPr>
        <w:t xml:space="preserve">                      </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83"/>
        <w:gridCol w:w="1009"/>
        <w:gridCol w:w="888"/>
        <w:gridCol w:w="1064"/>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Align w:val="center"/>
          </w:tcPr>
          <w:p>
            <w:pPr>
              <w:spacing w:line="440" w:lineRule="exact"/>
              <w:jc w:val="center"/>
              <w:rPr>
                <w:rFonts w:ascii="宋体" w:hAnsi="宋体"/>
                <w:color w:val="auto"/>
                <w:sz w:val="21"/>
                <w:szCs w:val="21"/>
              </w:rPr>
            </w:pPr>
            <w:r>
              <w:rPr>
                <w:rFonts w:ascii="宋体" w:hAnsi="宋体"/>
                <w:color w:val="auto"/>
                <w:sz w:val="21"/>
                <w:szCs w:val="21"/>
              </w:rPr>
              <w:t>序号</w:t>
            </w:r>
          </w:p>
        </w:tc>
        <w:tc>
          <w:tcPr>
            <w:tcW w:w="2583" w:type="dxa"/>
            <w:vAlign w:val="center"/>
          </w:tcPr>
          <w:p>
            <w:pPr>
              <w:spacing w:line="440" w:lineRule="exact"/>
              <w:jc w:val="center"/>
              <w:rPr>
                <w:rFonts w:ascii="宋体" w:hAnsi="宋体"/>
                <w:color w:val="auto"/>
                <w:sz w:val="21"/>
                <w:szCs w:val="21"/>
              </w:rPr>
            </w:pPr>
            <w:r>
              <w:rPr>
                <w:rFonts w:ascii="宋体" w:hAnsi="宋体"/>
                <w:color w:val="auto"/>
                <w:sz w:val="21"/>
                <w:szCs w:val="21"/>
              </w:rPr>
              <w:t>拟配备设备名称</w:t>
            </w:r>
          </w:p>
        </w:tc>
        <w:tc>
          <w:tcPr>
            <w:tcW w:w="1009" w:type="dxa"/>
            <w:vAlign w:val="center"/>
          </w:tcPr>
          <w:p>
            <w:pPr>
              <w:spacing w:line="440" w:lineRule="exact"/>
              <w:jc w:val="center"/>
              <w:rPr>
                <w:rFonts w:ascii="宋体" w:hAnsi="宋体"/>
                <w:color w:val="auto"/>
                <w:sz w:val="21"/>
                <w:szCs w:val="21"/>
              </w:rPr>
            </w:pPr>
            <w:r>
              <w:rPr>
                <w:rFonts w:ascii="宋体" w:hAnsi="宋体"/>
                <w:color w:val="auto"/>
                <w:sz w:val="21"/>
                <w:szCs w:val="21"/>
              </w:rPr>
              <w:t>描述</w:t>
            </w:r>
          </w:p>
        </w:tc>
        <w:tc>
          <w:tcPr>
            <w:tcW w:w="888" w:type="dxa"/>
            <w:vAlign w:val="center"/>
          </w:tcPr>
          <w:p>
            <w:pPr>
              <w:spacing w:line="440" w:lineRule="exact"/>
              <w:jc w:val="center"/>
              <w:rPr>
                <w:rFonts w:ascii="宋体" w:hAnsi="宋体"/>
                <w:color w:val="auto"/>
                <w:sz w:val="21"/>
                <w:szCs w:val="21"/>
              </w:rPr>
            </w:pPr>
            <w:r>
              <w:rPr>
                <w:rFonts w:ascii="宋体" w:hAnsi="宋体"/>
                <w:color w:val="auto"/>
                <w:sz w:val="21"/>
                <w:szCs w:val="21"/>
              </w:rPr>
              <w:t>数量</w:t>
            </w:r>
          </w:p>
        </w:tc>
        <w:tc>
          <w:tcPr>
            <w:tcW w:w="1064" w:type="dxa"/>
            <w:vAlign w:val="center"/>
          </w:tcPr>
          <w:p>
            <w:pPr>
              <w:spacing w:line="440" w:lineRule="exact"/>
              <w:jc w:val="center"/>
              <w:rPr>
                <w:rFonts w:ascii="宋体" w:hAnsi="宋体"/>
                <w:color w:val="auto"/>
                <w:sz w:val="21"/>
                <w:szCs w:val="21"/>
              </w:rPr>
            </w:pPr>
            <w:r>
              <w:rPr>
                <w:rFonts w:ascii="宋体" w:hAnsi="宋体"/>
                <w:color w:val="auto"/>
                <w:sz w:val="21"/>
                <w:szCs w:val="21"/>
              </w:rPr>
              <w:t>单价</w:t>
            </w:r>
          </w:p>
        </w:tc>
        <w:tc>
          <w:tcPr>
            <w:tcW w:w="1877" w:type="dxa"/>
            <w:vAlign w:val="center"/>
          </w:tcPr>
          <w:p>
            <w:pPr>
              <w:spacing w:line="440" w:lineRule="exact"/>
              <w:jc w:val="center"/>
              <w:rPr>
                <w:rFonts w:ascii="宋体" w:hAnsi="宋体"/>
                <w:color w:val="auto"/>
                <w:sz w:val="21"/>
                <w:szCs w:val="21"/>
              </w:rPr>
            </w:pPr>
            <w:r>
              <w:rPr>
                <w:rFonts w:ascii="宋体" w:hAnsi="宋体"/>
                <w:color w:val="auto"/>
                <w:sz w:val="21"/>
                <w:szCs w:val="21"/>
              </w:rPr>
              <w:t>产权（自有或租赁）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1" w:type="dxa"/>
            <w:vMerge w:val="restart"/>
            <w:vAlign w:val="center"/>
          </w:tcPr>
          <w:p>
            <w:pPr>
              <w:spacing w:line="440" w:lineRule="exact"/>
              <w:jc w:val="center"/>
              <w:rPr>
                <w:rFonts w:ascii="宋体" w:hAnsi="宋体"/>
                <w:color w:val="auto"/>
                <w:sz w:val="21"/>
                <w:szCs w:val="21"/>
              </w:rPr>
            </w:pPr>
          </w:p>
        </w:tc>
        <w:tc>
          <w:tcPr>
            <w:tcW w:w="2583" w:type="dxa"/>
            <w:vAlign w:val="center"/>
          </w:tcPr>
          <w:p>
            <w:pPr>
              <w:spacing w:line="440" w:lineRule="exact"/>
              <w:jc w:val="center"/>
              <w:rPr>
                <w:rFonts w:ascii="宋体" w:hAnsi="宋体"/>
                <w:color w:val="auto"/>
                <w:sz w:val="21"/>
                <w:szCs w:val="21"/>
              </w:rPr>
            </w:pPr>
          </w:p>
        </w:tc>
        <w:tc>
          <w:tcPr>
            <w:tcW w:w="1009" w:type="dxa"/>
            <w:vAlign w:val="center"/>
          </w:tcPr>
          <w:p>
            <w:pPr>
              <w:spacing w:line="440" w:lineRule="exact"/>
              <w:jc w:val="center"/>
              <w:rPr>
                <w:rFonts w:ascii="宋体" w:hAnsi="宋体"/>
                <w:color w:val="auto"/>
                <w:sz w:val="21"/>
                <w:szCs w:val="21"/>
              </w:rPr>
            </w:pPr>
          </w:p>
        </w:tc>
        <w:tc>
          <w:tcPr>
            <w:tcW w:w="888" w:type="dxa"/>
            <w:vAlign w:val="center"/>
          </w:tcPr>
          <w:p>
            <w:pPr>
              <w:spacing w:line="440" w:lineRule="exact"/>
              <w:jc w:val="center"/>
              <w:rPr>
                <w:rFonts w:ascii="宋体" w:hAnsi="宋体"/>
                <w:color w:val="auto"/>
                <w:sz w:val="21"/>
                <w:szCs w:val="21"/>
              </w:rPr>
            </w:pPr>
          </w:p>
        </w:tc>
        <w:tc>
          <w:tcPr>
            <w:tcW w:w="1064" w:type="dxa"/>
            <w:vAlign w:val="center"/>
          </w:tcPr>
          <w:p>
            <w:pPr>
              <w:spacing w:line="440" w:lineRule="exact"/>
              <w:jc w:val="center"/>
              <w:rPr>
                <w:rFonts w:ascii="宋体" w:hAnsi="宋体"/>
                <w:color w:val="auto"/>
                <w:sz w:val="21"/>
                <w:szCs w:val="21"/>
              </w:rPr>
            </w:pPr>
          </w:p>
        </w:tc>
        <w:tc>
          <w:tcPr>
            <w:tcW w:w="1877" w:type="dxa"/>
            <w:vAlign w:val="center"/>
          </w:tcPr>
          <w:p>
            <w:pPr>
              <w:spacing w:line="440" w:lineRule="exact"/>
              <w:jc w:val="center"/>
              <w:rPr>
                <w:rFonts w:ascii="宋体" w:hAnsi="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851" w:type="dxa"/>
            <w:vMerge w:val="continue"/>
            <w:vAlign w:val="center"/>
          </w:tcPr>
          <w:p>
            <w:pPr>
              <w:spacing w:line="440" w:lineRule="exact"/>
              <w:jc w:val="center"/>
              <w:rPr>
                <w:rFonts w:ascii="宋体" w:hAnsi="宋体"/>
                <w:color w:val="auto"/>
                <w:sz w:val="21"/>
                <w:szCs w:val="21"/>
              </w:rPr>
            </w:pPr>
          </w:p>
        </w:tc>
        <w:tc>
          <w:tcPr>
            <w:tcW w:w="2583" w:type="dxa"/>
            <w:vAlign w:val="center"/>
          </w:tcPr>
          <w:p>
            <w:pPr>
              <w:spacing w:line="440" w:lineRule="exact"/>
              <w:jc w:val="center"/>
              <w:rPr>
                <w:rFonts w:ascii="宋体" w:hAnsi="宋体"/>
                <w:color w:val="auto"/>
                <w:sz w:val="21"/>
                <w:szCs w:val="21"/>
              </w:rPr>
            </w:pPr>
          </w:p>
        </w:tc>
        <w:tc>
          <w:tcPr>
            <w:tcW w:w="1009" w:type="dxa"/>
            <w:vAlign w:val="center"/>
          </w:tcPr>
          <w:p>
            <w:pPr>
              <w:spacing w:line="440" w:lineRule="exact"/>
              <w:jc w:val="center"/>
              <w:rPr>
                <w:rFonts w:ascii="宋体" w:hAnsi="宋体"/>
                <w:color w:val="auto"/>
                <w:sz w:val="21"/>
                <w:szCs w:val="21"/>
              </w:rPr>
            </w:pPr>
          </w:p>
        </w:tc>
        <w:tc>
          <w:tcPr>
            <w:tcW w:w="888" w:type="dxa"/>
            <w:vAlign w:val="center"/>
          </w:tcPr>
          <w:p>
            <w:pPr>
              <w:spacing w:line="440" w:lineRule="exact"/>
              <w:jc w:val="center"/>
              <w:rPr>
                <w:rFonts w:ascii="宋体" w:hAnsi="宋体"/>
                <w:color w:val="auto"/>
                <w:sz w:val="21"/>
                <w:szCs w:val="21"/>
              </w:rPr>
            </w:pPr>
          </w:p>
        </w:tc>
        <w:tc>
          <w:tcPr>
            <w:tcW w:w="1064" w:type="dxa"/>
            <w:vAlign w:val="center"/>
          </w:tcPr>
          <w:p>
            <w:pPr>
              <w:spacing w:line="440" w:lineRule="exact"/>
              <w:jc w:val="center"/>
              <w:rPr>
                <w:rFonts w:ascii="宋体" w:hAnsi="宋体"/>
                <w:color w:val="auto"/>
                <w:sz w:val="21"/>
                <w:szCs w:val="21"/>
              </w:rPr>
            </w:pPr>
          </w:p>
        </w:tc>
        <w:tc>
          <w:tcPr>
            <w:tcW w:w="1877" w:type="dxa"/>
            <w:vAlign w:val="center"/>
          </w:tcPr>
          <w:p>
            <w:pPr>
              <w:spacing w:line="440" w:lineRule="exact"/>
              <w:jc w:val="center"/>
              <w:rPr>
                <w:rFonts w:ascii="宋体" w:hAnsi="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851" w:type="dxa"/>
            <w:vMerge w:val="continue"/>
            <w:vAlign w:val="center"/>
          </w:tcPr>
          <w:p>
            <w:pPr>
              <w:spacing w:line="440" w:lineRule="exact"/>
              <w:jc w:val="center"/>
              <w:rPr>
                <w:rFonts w:ascii="宋体" w:hAnsi="宋体"/>
                <w:color w:val="auto"/>
                <w:sz w:val="21"/>
                <w:szCs w:val="21"/>
              </w:rPr>
            </w:pPr>
          </w:p>
        </w:tc>
        <w:tc>
          <w:tcPr>
            <w:tcW w:w="2583" w:type="dxa"/>
            <w:vAlign w:val="center"/>
          </w:tcPr>
          <w:p>
            <w:pPr>
              <w:spacing w:line="440" w:lineRule="exact"/>
              <w:jc w:val="center"/>
              <w:rPr>
                <w:rFonts w:ascii="宋体" w:hAnsi="宋体"/>
                <w:color w:val="auto"/>
                <w:sz w:val="21"/>
                <w:szCs w:val="21"/>
              </w:rPr>
            </w:pPr>
          </w:p>
        </w:tc>
        <w:tc>
          <w:tcPr>
            <w:tcW w:w="1009" w:type="dxa"/>
            <w:vAlign w:val="center"/>
          </w:tcPr>
          <w:p>
            <w:pPr>
              <w:spacing w:line="440" w:lineRule="exact"/>
              <w:jc w:val="center"/>
              <w:rPr>
                <w:rFonts w:ascii="宋体" w:hAnsi="宋体"/>
                <w:color w:val="auto"/>
                <w:sz w:val="21"/>
                <w:szCs w:val="21"/>
              </w:rPr>
            </w:pPr>
          </w:p>
        </w:tc>
        <w:tc>
          <w:tcPr>
            <w:tcW w:w="888" w:type="dxa"/>
            <w:vAlign w:val="center"/>
          </w:tcPr>
          <w:p>
            <w:pPr>
              <w:spacing w:line="440" w:lineRule="exact"/>
              <w:jc w:val="center"/>
              <w:rPr>
                <w:rFonts w:ascii="宋体" w:hAnsi="宋体"/>
                <w:color w:val="auto"/>
                <w:sz w:val="21"/>
                <w:szCs w:val="21"/>
              </w:rPr>
            </w:pPr>
          </w:p>
        </w:tc>
        <w:tc>
          <w:tcPr>
            <w:tcW w:w="1064" w:type="dxa"/>
            <w:vAlign w:val="center"/>
          </w:tcPr>
          <w:p>
            <w:pPr>
              <w:spacing w:line="440" w:lineRule="exact"/>
              <w:jc w:val="center"/>
              <w:rPr>
                <w:rFonts w:ascii="宋体" w:hAnsi="宋体"/>
                <w:color w:val="auto"/>
                <w:sz w:val="21"/>
                <w:szCs w:val="21"/>
              </w:rPr>
            </w:pPr>
          </w:p>
        </w:tc>
        <w:tc>
          <w:tcPr>
            <w:tcW w:w="1877" w:type="dxa"/>
            <w:vAlign w:val="center"/>
          </w:tcPr>
          <w:p>
            <w:pPr>
              <w:spacing w:line="440" w:lineRule="exact"/>
              <w:jc w:val="center"/>
              <w:rPr>
                <w:rFonts w:ascii="宋体" w:hAnsi="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 w:hRule="atLeast"/>
          <w:jc w:val="center"/>
        </w:trPr>
        <w:tc>
          <w:tcPr>
            <w:tcW w:w="851" w:type="dxa"/>
            <w:vMerge w:val="continue"/>
            <w:vAlign w:val="center"/>
          </w:tcPr>
          <w:p>
            <w:pPr>
              <w:spacing w:line="440" w:lineRule="exact"/>
              <w:jc w:val="center"/>
              <w:rPr>
                <w:rFonts w:ascii="宋体" w:hAnsi="宋体"/>
                <w:color w:val="auto"/>
                <w:sz w:val="21"/>
                <w:szCs w:val="21"/>
              </w:rPr>
            </w:pPr>
          </w:p>
        </w:tc>
        <w:tc>
          <w:tcPr>
            <w:tcW w:w="2583" w:type="dxa"/>
            <w:vAlign w:val="center"/>
          </w:tcPr>
          <w:p>
            <w:pPr>
              <w:spacing w:line="440" w:lineRule="exact"/>
              <w:jc w:val="center"/>
              <w:rPr>
                <w:rFonts w:ascii="宋体" w:hAnsi="宋体"/>
                <w:color w:val="auto"/>
                <w:sz w:val="21"/>
                <w:szCs w:val="21"/>
              </w:rPr>
            </w:pPr>
          </w:p>
        </w:tc>
        <w:tc>
          <w:tcPr>
            <w:tcW w:w="1009" w:type="dxa"/>
            <w:vAlign w:val="center"/>
          </w:tcPr>
          <w:p>
            <w:pPr>
              <w:spacing w:line="440" w:lineRule="exact"/>
              <w:jc w:val="center"/>
              <w:rPr>
                <w:rFonts w:ascii="宋体" w:hAnsi="宋体"/>
                <w:color w:val="auto"/>
                <w:sz w:val="21"/>
                <w:szCs w:val="21"/>
              </w:rPr>
            </w:pPr>
          </w:p>
        </w:tc>
        <w:tc>
          <w:tcPr>
            <w:tcW w:w="888" w:type="dxa"/>
            <w:vAlign w:val="center"/>
          </w:tcPr>
          <w:p>
            <w:pPr>
              <w:spacing w:line="440" w:lineRule="exact"/>
              <w:jc w:val="center"/>
              <w:rPr>
                <w:rFonts w:ascii="宋体" w:hAnsi="宋体"/>
                <w:color w:val="auto"/>
                <w:sz w:val="21"/>
                <w:szCs w:val="21"/>
              </w:rPr>
            </w:pPr>
          </w:p>
        </w:tc>
        <w:tc>
          <w:tcPr>
            <w:tcW w:w="1064" w:type="dxa"/>
            <w:vAlign w:val="center"/>
          </w:tcPr>
          <w:p>
            <w:pPr>
              <w:spacing w:line="440" w:lineRule="exact"/>
              <w:jc w:val="center"/>
              <w:rPr>
                <w:rFonts w:ascii="宋体" w:hAnsi="宋体"/>
                <w:color w:val="auto"/>
                <w:sz w:val="21"/>
                <w:szCs w:val="21"/>
              </w:rPr>
            </w:pPr>
          </w:p>
        </w:tc>
        <w:tc>
          <w:tcPr>
            <w:tcW w:w="1877" w:type="dxa"/>
            <w:vAlign w:val="center"/>
          </w:tcPr>
          <w:p>
            <w:pPr>
              <w:spacing w:line="440" w:lineRule="exact"/>
              <w:jc w:val="center"/>
              <w:rPr>
                <w:rFonts w:ascii="宋体" w:hAnsi="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jc w:val="center"/>
        </w:trPr>
        <w:tc>
          <w:tcPr>
            <w:tcW w:w="851" w:type="dxa"/>
            <w:vMerge w:val="continue"/>
            <w:vAlign w:val="center"/>
          </w:tcPr>
          <w:p>
            <w:pPr>
              <w:spacing w:line="440" w:lineRule="exact"/>
              <w:jc w:val="center"/>
              <w:rPr>
                <w:rFonts w:ascii="宋体" w:hAnsi="宋体"/>
                <w:color w:val="auto"/>
                <w:sz w:val="21"/>
                <w:szCs w:val="21"/>
              </w:rPr>
            </w:pPr>
          </w:p>
        </w:tc>
        <w:tc>
          <w:tcPr>
            <w:tcW w:w="2583" w:type="dxa"/>
            <w:vAlign w:val="center"/>
          </w:tcPr>
          <w:p>
            <w:pPr>
              <w:spacing w:line="440" w:lineRule="exact"/>
              <w:jc w:val="center"/>
              <w:rPr>
                <w:rFonts w:ascii="宋体" w:hAnsi="宋体"/>
                <w:color w:val="auto"/>
                <w:sz w:val="21"/>
                <w:szCs w:val="21"/>
              </w:rPr>
            </w:pPr>
          </w:p>
        </w:tc>
        <w:tc>
          <w:tcPr>
            <w:tcW w:w="1009" w:type="dxa"/>
            <w:vAlign w:val="center"/>
          </w:tcPr>
          <w:p>
            <w:pPr>
              <w:spacing w:line="440" w:lineRule="exact"/>
              <w:jc w:val="center"/>
              <w:rPr>
                <w:rFonts w:ascii="宋体" w:hAnsi="宋体"/>
                <w:color w:val="auto"/>
                <w:sz w:val="21"/>
                <w:szCs w:val="21"/>
              </w:rPr>
            </w:pPr>
          </w:p>
        </w:tc>
        <w:tc>
          <w:tcPr>
            <w:tcW w:w="888" w:type="dxa"/>
            <w:vAlign w:val="center"/>
          </w:tcPr>
          <w:p>
            <w:pPr>
              <w:spacing w:line="440" w:lineRule="exact"/>
              <w:jc w:val="center"/>
              <w:rPr>
                <w:rFonts w:ascii="宋体" w:hAnsi="宋体"/>
                <w:color w:val="auto"/>
                <w:sz w:val="21"/>
                <w:szCs w:val="21"/>
              </w:rPr>
            </w:pPr>
          </w:p>
        </w:tc>
        <w:tc>
          <w:tcPr>
            <w:tcW w:w="1064" w:type="dxa"/>
            <w:vAlign w:val="center"/>
          </w:tcPr>
          <w:p>
            <w:pPr>
              <w:spacing w:line="440" w:lineRule="exact"/>
              <w:jc w:val="center"/>
              <w:rPr>
                <w:rFonts w:ascii="宋体" w:hAnsi="宋体"/>
                <w:color w:val="auto"/>
                <w:sz w:val="21"/>
                <w:szCs w:val="21"/>
              </w:rPr>
            </w:pPr>
          </w:p>
        </w:tc>
        <w:tc>
          <w:tcPr>
            <w:tcW w:w="1877" w:type="dxa"/>
            <w:vAlign w:val="center"/>
          </w:tcPr>
          <w:p>
            <w:pPr>
              <w:spacing w:line="440" w:lineRule="exact"/>
              <w:jc w:val="center"/>
              <w:rPr>
                <w:rFonts w:ascii="宋体" w:hAnsi="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851" w:type="dxa"/>
            <w:vMerge w:val="continue"/>
            <w:vAlign w:val="center"/>
          </w:tcPr>
          <w:p>
            <w:pPr>
              <w:spacing w:line="440" w:lineRule="exact"/>
              <w:jc w:val="center"/>
              <w:rPr>
                <w:rFonts w:ascii="宋体" w:hAnsi="宋体"/>
                <w:color w:val="auto"/>
                <w:sz w:val="21"/>
                <w:szCs w:val="21"/>
              </w:rPr>
            </w:pPr>
          </w:p>
        </w:tc>
        <w:tc>
          <w:tcPr>
            <w:tcW w:w="2583" w:type="dxa"/>
            <w:vAlign w:val="center"/>
          </w:tcPr>
          <w:p>
            <w:pPr>
              <w:spacing w:line="440" w:lineRule="exact"/>
              <w:jc w:val="center"/>
              <w:rPr>
                <w:rFonts w:ascii="宋体" w:hAnsi="宋体"/>
                <w:color w:val="auto"/>
                <w:sz w:val="21"/>
                <w:szCs w:val="21"/>
              </w:rPr>
            </w:pPr>
          </w:p>
        </w:tc>
        <w:tc>
          <w:tcPr>
            <w:tcW w:w="1009" w:type="dxa"/>
            <w:vAlign w:val="center"/>
          </w:tcPr>
          <w:p>
            <w:pPr>
              <w:spacing w:line="440" w:lineRule="exact"/>
              <w:jc w:val="center"/>
              <w:rPr>
                <w:rFonts w:ascii="宋体" w:hAnsi="宋体"/>
                <w:color w:val="auto"/>
                <w:sz w:val="21"/>
                <w:szCs w:val="21"/>
              </w:rPr>
            </w:pPr>
          </w:p>
        </w:tc>
        <w:tc>
          <w:tcPr>
            <w:tcW w:w="888" w:type="dxa"/>
            <w:vAlign w:val="center"/>
          </w:tcPr>
          <w:p>
            <w:pPr>
              <w:spacing w:line="440" w:lineRule="exact"/>
              <w:jc w:val="center"/>
              <w:rPr>
                <w:rFonts w:ascii="宋体" w:hAnsi="宋体"/>
                <w:color w:val="auto"/>
                <w:sz w:val="21"/>
                <w:szCs w:val="21"/>
              </w:rPr>
            </w:pPr>
          </w:p>
        </w:tc>
        <w:tc>
          <w:tcPr>
            <w:tcW w:w="1064" w:type="dxa"/>
            <w:vAlign w:val="center"/>
          </w:tcPr>
          <w:p>
            <w:pPr>
              <w:spacing w:line="440" w:lineRule="exact"/>
              <w:jc w:val="center"/>
              <w:rPr>
                <w:rFonts w:ascii="宋体" w:hAnsi="宋体"/>
                <w:color w:val="auto"/>
                <w:sz w:val="21"/>
                <w:szCs w:val="21"/>
              </w:rPr>
            </w:pPr>
          </w:p>
        </w:tc>
        <w:tc>
          <w:tcPr>
            <w:tcW w:w="1877" w:type="dxa"/>
            <w:vAlign w:val="center"/>
          </w:tcPr>
          <w:p>
            <w:pPr>
              <w:spacing w:line="440" w:lineRule="exact"/>
              <w:jc w:val="center"/>
              <w:rPr>
                <w:rFonts w:ascii="宋体" w:hAnsi="宋体"/>
                <w:color w:val="auto"/>
                <w:sz w:val="21"/>
                <w:szCs w:val="21"/>
              </w:rPr>
            </w:pPr>
          </w:p>
        </w:tc>
      </w:tr>
    </w:tbl>
    <w:p>
      <w:pPr>
        <w:spacing w:line="440" w:lineRule="exact"/>
        <w:rPr>
          <w:rFonts w:ascii="宋体" w:hAnsi="宋体"/>
          <w:color w:val="auto"/>
          <w:sz w:val="21"/>
          <w:szCs w:val="21"/>
        </w:rPr>
      </w:pPr>
      <w:r>
        <w:rPr>
          <w:rFonts w:ascii="宋体" w:hAnsi="宋体"/>
          <w:color w:val="auto"/>
          <w:sz w:val="21"/>
          <w:szCs w:val="21"/>
        </w:rPr>
        <w:t>注：以上已列出设备均为设备配备最低标准，请投标人根据项目实际情况制定合理的设备配备方案。</w:t>
      </w:r>
    </w:p>
    <w:p>
      <w:pPr>
        <w:spacing w:line="440" w:lineRule="exact"/>
        <w:ind w:firstLine="315" w:firstLineChars="150"/>
        <w:rPr>
          <w:rFonts w:ascii="宋体" w:hAnsi="宋体"/>
          <w:color w:val="auto"/>
          <w:sz w:val="21"/>
          <w:szCs w:val="21"/>
        </w:rPr>
      </w:pPr>
      <w:r>
        <w:rPr>
          <w:rFonts w:ascii="宋体" w:hAnsi="宋体"/>
          <w:color w:val="auto"/>
          <w:sz w:val="21"/>
          <w:szCs w:val="21"/>
        </w:rPr>
        <w:t>待项目实施时，中标人必须根据项目实际情况和招标人要求及时增减设备投入。</w:t>
      </w:r>
    </w:p>
    <w:p>
      <w:pPr>
        <w:snapToGrid w:val="0"/>
        <w:spacing w:line="360" w:lineRule="auto"/>
        <w:ind w:firstLine="420" w:firstLineChars="200"/>
        <w:rPr>
          <w:rFonts w:ascii="宋体" w:hAnsi="宋体" w:cs="宋体"/>
          <w:color w:val="auto"/>
          <w:kern w:val="0"/>
          <w:sz w:val="21"/>
          <w:szCs w:val="21"/>
        </w:rPr>
      </w:pPr>
    </w:p>
    <w:p>
      <w:pPr>
        <w:snapToGrid w:val="0"/>
        <w:spacing w:line="360" w:lineRule="auto"/>
        <w:ind w:firstLine="420" w:firstLineChars="200"/>
        <w:rPr>
          <w:rFonts w:ascii="宋体" w:hAnsi="宋体" w:cs="宋体"/>
          <w:color w:val="auto"/>
          <w:kern w:val="0"/>
          <w:sz w:val="21"/>
          <w:szCs w:val="21"/>
        </w:rPr>
      </w:pPr>
      <w:r>
        <w:rPr>
          <w:rFonts w:hint="eastAsia" w:ascii="宋体" w:hAnsi="宋体" w:cs="宋体"/>
          <w:color w:val="auto"/>
          <w:kern w:val="0"/>
          <w:sz w:val="21"/>
          <w:szCs w:val="21"/>
        </w:rPr>
        <w:t>响应人名称（公章）：</w:t>
      </w:r>
    </w:p>
    <w:p>
      <w:pPr>
        <w:snapToGrid w:val="0"/>
        <w:spacing w:line="360" w:lineRule="auto"/>
        <w:rPr>
          <w:rFonts w:ascii="宋体" w:hAnsi="宋体" w:cs="宋体"/>
          <w:color w:val="auto"/>
          <w:kern w:val="0"/>
          <w:sz w:val="21"/>
          <w:szCs w:val="21"/>
        </w:rPr>
      </w:pPr>
      <w:r>
        <w:rPr>
          <w:rFonts w:hint="eastAsia" w:ascii="宋体" w:hAnsi="宋体" w:cs="宋体"/>
          <w:color w:val="auto"/>
          <w:kern w:val="0"/>
          <w:sz w:val="21"/>
          <w:szCs w:val="21"/>
        </w:rPr>
        <w:t xml:space="preserve">    法定代表人或代理人（签字或盖章）：_______________________</w:t>
      </w:r>
    </w:p>
    <w:p>
      <w:pPr>
        <w:snapToGrid w:val="0"/>
        <w:spacing w:line="360" w:lineRule="auto"/>
        <w:rPr>
          <w:rFonts w:ascii="宋体" w:hAnsi="宋体" w:cs="宋体"/>
          <w:color w:val="auto"/>
          <w:kern w:val="0"/>
          <w:sz w:val="21"/>
          <w:szCs w:val="21"/>
        </w:rPr>
      </w:pPr>
      <w:r>
        <w:rPr>
          <w:rFonts w:hint="eastAsia" w:ascii="宋体" w:hAnsi="宋体" w:cs="宋体"/>
          <w:color w:val="auto"/>
          <w:kern w:val="0"/>
          <w:sz w:val="21"/>
          <w:szCs w:val="21"/>
        </w:rPr>
        <w:t xml:space="preserve">    日期：______年    月    日</w:t>
      </w:r>
    </w:p>
    <w:p>
      <w:pPr>
        <w:rPr>
          <w:rFonts w:ascii="宋体" w:hAnsi="宋体" w:cs="宋体"/>
          <w:b/>
          <w:color w:val="auto"/>
          <w:kern w:val="0"/>
          <w:sz w:val="21"/>
          <w:szCs w:val="21"/>
        </w:rPr>
      </w:pPr>
      <w:r>
        <w:rPr>
          <w:rFonts w:hint="eastAsia" w:ascii="宋体" w:hAnsi="宋体" w:cs="宋体"/>
          <w:b/>
          <w:color w:val="auto"/>
          <w:kern w:val="0"/>
          <w:sz w:val="21"/>
          <w:szCs w:val="21"/>
        </w:rPr>
        <w:br w:type="page"/>
      </w:r>
    </w:p>
    <w:p>
      <w:pPr>
        <w:rPr>
          <w:rFonts w:hint="eastAsia" w:ascii="宋体" w:hAnsi="宋体" w:cs="宋体"/>
          <w:b/>
          <w:color w:val="auto"/>
          <w:sz w:val="21"/>
          <w:szCs w:val="21"/>
        </w:rPr>
      </w:pPr>
    </w:p>
    <w:p>
      <w:pPr>
        <w:spacing w:line="560" w:lineRule="exact"/>
        <w:rPr>
          <w:rFonts w:hint="eastAsia" w:ascii="宋体" w:hAnsi="宋体" w:cs="宋体"/>
          <w:b/>
          <w:color w:val="auto"/>
          <w:sz w:val="21"/>
          <w:szCs w:val="21"/>
        </w:rPr>
      </w:pPr>
      <w:r>
        <w:rPr>
          <w:rFonts w:hint="eastAsia" w:ascii="宋体" w:hAnsi="宋体" w:cs="宋体"/>
          <w:b/>
          <w:color w:val="auto"/>
          <w:sz w:val="21"/>
          <w:szCs w:val="21"/>
        </w:rPr>
        <w:t>附件十</w:t>
      </w:r>
      <w:r>
        <w:rPr>
          <w:rFonts w:hint="eastAsia" w:ascii="宋体" w:hAnsi="宋体" w:cs="宋体"/>
          <w:b/>
          <w:color w:val="auto"/>
          <w:sz w:val="21"/>
          <w:szCs w:val="21"/>
          <w:lang w:val="en-US" w:eastAsia="zh-CN"/>
        </w:rPr>
        <w:t>二</w:t>
      </w:r>
      <w:r>
        <w:rPr>
          <w:rFonts w:hint="eastAsia" w:ascii="宋体" w:hAnsi="宋体" w:cs="宋体"/>
          <w:b/>
          <w:color w:val="auto"/>
          <w:sz w:val="21"/>
          <w:szCs w:val="21"/>
        </w:rPr>
        <w:t xml:space="preserve">: </w:t>
      </w:r>
    </w:p>
    <w:p>
      <w:pPr>
        <w:spacing w:line="560" w:lineRule="exact"/>
        <w:jc w:val="center"/>
        <w:rPr>
          <w:rFonts w:hint="eastAsia" w:ascii="宋体" w:hAnsi="宋体" w:cs="宋体"/>
          <w:b/>
          <w:color w:val="auto"/>
          <w:sz w:val="21"/>
          <w:szCs w:val="21"/>
        </w:rPr>
      </w:pPr>
      <w:r>
        <w:rPr>
          <w:rFonts w:hint="eastAsia" w:ascii="宋体" w:hAnsi="宋体" w:cs="宋体"/>
          <w:b/>
          <w:color w:val="auto"/>
          <w:sz w:val="21"/>
          <w:szCs w:val="21"/>
          <w:lang w:val="en-US" w:eastAsia="zh-CN"/>
        </w:rPr>
        <w:t>响应人</w:t>
      </w:r>
      <w:r>
        <w:rPr>
          <w:rFonts w:hint="eastAsia" w:ascii="宋体" w:hAnsi="宋体" w:cs="宋体"/>
          <w:b/>
          <w:color w:val="auto"/>
          <w:sz w:val="21"/>
          <w:szCs w:val="21"/>
        </w:rPr>
        <w:t>拟组建的项目团队承诺函</w:t>
      </w:r>
    </w:p>
    <w:p>
      <w:pPr>
        <w:adjustRightInd w:val="0"/>
        <w:spacing w:line="600" w:lineRule="exact"/>
        <w:jc w:val="left"/>
        <w:rPr>
          <w:rFonts w:hint="eastAsia" w:ascii="宋体" w:hAnsi="宋体" w:cs="宋体"/>
          <w:bCs/>
          <w:color w:val="auto"/>
          <w:kern w:val="0"/>
          <w:sz w:val="21"/>
          <w:szCs w:val="21"/>
          <w:highlight w:val="none"/>
        </w:rPr>
      </w:pPr>
      <w:r>
        <w:rPr>
          <w:rFonts w:hint="eastAsia" w:ascii="宋体" w:hAnsi="宋体" w:cs="宋体"/>
          <w:bCs/>
          <w:color w:val="auto"/>
          <w:kern w:val="0"/>
          <w:sz w:val="21"/>
          <w:szCs w:val="21"/>
          <w:highlight w:val="none"/>
          <w:lang w:eastAsia="zh-CN"/>
        </w:rPr>
        <w:t>常州市金坛区儒林镇湖头村村民委员会、常州市金坛区儒林镇后庄村村民委员会</w:t>
      </w:r>
      <w:r>
        <w:rPr>
          <w:rFonts w:hint="eastAsia" w:ascii="宋体" w:hAnsi="宋体" w:cs="宋体"/>
          <w:bCs/>
          <w:color w:val="auto"/>
          <w:kern w:val="0"/>
          <w:sz w:val="21"/>
          <w:szCs w:val="21"/>
          <w:highlight w:val="none"/>
        </w:rPr>
        <w:t>：</w:t>
      </w:r>
    </w:p>
    <w:p>
      <w:pPr>
        <w:adjustRightInd w:val="0"/>
        <w:spacing w:line="600" w:lineRule="exact"/>
        <w:ind w:firstLine="420" w:firstLineChars="200"/>
        <w:jc w:val="left"/>
        <w:rPr>
          <w:rFonts w:hint="eastAsia" w:ascii="宋体" w:hAnsi="宋体" w:cs="宋体"/>
          <w:b/>
          <w:color w:val="auto"/>
          <w:sz w:val="21"/>
          <w:szCs w:val="21"/>
          <w:highlight w:val="none"/>
        </w:rPr>
      </w:pPr>
      <w:r>
        <w:rPr>
          <w:rFonts w:hint="eastAsia" w:ascii="宋体" w:hAnsi="宋体" w:cs="宋体"/>
          <w:bCs/>
          <w:color w:val="auto"/>
          <w:kern w:val="0"/>
          <w:sz w:val="21"/>
          <w:szCs w:val="21"/>
          <w:highlight w:val="none"/>
        </w:rPr>
        <w:t>本公司郑重承诺，在</w:t>
      </w:r>
      <w:r>
        <w:rPr>
          <w:rFonts w:hint="eastAsia" w:ascii="宋体" w:hAnsi="宋体" w:cs="宋体"/>
          <w:bCs/>
          <w:color w:val="auto"/>
          <w:kern w:val="0"/>
          <w:sz w:val="21"/>
          <w:szCs w:val="21"/>
          <w:highlight w:val="none"/>
          <w:u w:val="single"/>
        </w:rPr>
        <w:t xml:space="preserve">                      </w:t>
      </w:r>
      <w:r>
        <w:rPr>
          <w:rFonts w:hint="eastAsia" w:ascii="宋体" w:hAnsi="宋体" w:cs="宋体"/>
          <w:bCs/>
          <w:color w:val="auto"/>
          <w:kern w:val="0"/>
          <w:sz w:val="21"/>
          <w:szCs w:val="21"/>
          <w:highlight w:val="none"/>
        </w:rPr>
        <w:t>（项目名称）中，</w:t>
      </w:r>
      <w:r>
        <w:rPr>
          <w:rFonts w:hint="eastAsia" w:ascii="宋体" w:hAnsi="宋体" w:cs="宋体"/>
          <w:bCs/>
          <w:color w:val="auto"/>
          <w:kern w:val="0"/>
          <w:sz w:val="21"/>
          <w:szCs w:val="21"/>
          <w:highlight w:val="none"/>
          <w:lang w:val="en-US" w:eastAsia="zh-CN"/>
        </w:rPr>
        <w:t>一旦我方中标，</w:t>
      </w:r>
      <w:r>
        <w:rPr>
          <w:rFonts w:hint="eastAsia" w:ascii="宋体" w:hAnsi="宋体" w:cs="宋体"/>
          <w:bCs/>
          <w:color w:val="auto"/>
          <w:kern w:val="0"/>
          <w:sz w:val="21"/>
          <w:szCs w:val="21"/>
          <w:highlight w:val="none"/>
        </w:rPr>
        <w:t>我单位拟投入项目组成人员</w:t>
      </w:r>
      <w:r>
        <w:rPr>
          <w:rFonts w:hint="eastAsia" w:ascii="宋体" w:hAnsi="宋体" w:cs="宋体"/>
          <w:bCs/>
          <w:color w:val="auto"/>
          <w:kern w:val="0"/>
          <w:sz w:val="21"/>
          <w:szCs w:val="21"/>
          <w:highlight w:val="none"/>
          <w:lang w:val="en-US" w:eastAsia="zh-CN"/>
        </w:rPr>
        <w:t>及车辆</w:t>
      </w:r>
      <w:r>
        <w:rPr>
          <w:rFonts w:hint="eastAsia" w:ascii="宋体" w:hAnsi="宋体" w:cs="宋体"/>
          <w:bCs/>
          <w:color w:val="auto"/>
          <w:kern w:val="0"/>
          <w:sz w:val="21"/>
          <w:szCs w:val="21"/>
          <w:highlight w:val="none"/>
        </w:rPr>
        <w:t>均满足采购文件第四部分采购需求</w:t>
      </w:r>
      <w:r>
        <w:rPr>
          <w:rFonts w:hint="eastAsia" w:ascii="宋体" w:hAnsi="宋体" w:cs="宋体"/>
          <w:bCs/>
          <w:color w:val="auto"/>
          <w:kern w:val="0"/>
          <w:sz w:val="21"/>
          <w:szCs w:val="21"/>
          <w:highlight w:val="none"/>
          <w:lang w:val="en-US" w:eastAsia="zh-CN"/>
        </w:rPr>
        <w:t>相关要求</w:t>
      </w:r>
      <w:r>
        <w:rPr>
          <w:rFonts w:hint="eastAsia" w:ascii="宋体" w:hAnsi="宋体" w:cs="宋体"/>
          <w:bCs/>
          <w:color w:val="auto"/>
          <w:kern w:val="0"/>
          <w:sz w:val="21"/>
          <w:szCs w:val="21"/>
          <w:highlight w:val="none"/>
        </w:rPr>
        <w:t>。</w:t>
      </w:r>
      <w:r>
        <w:rPr>
          <w:rFonts w:hint="eastAsia" w:ascii="宋体" w:hAnsi="宋体" w:cs="宋体"/>
          <w:b/>
          <w:color w:val="auto"/>
          <w:sz w:val="21"/>
          <w:szCs w:val="21"/>
          <w:highlight w:val="none"/>
        </w:rPr>
        <w:t>待中标公示无异议后，合同签订前提交项目组成人员名单</w:t>
      </w:r>
      <w:r>
        <w:rPr>
          <w:rFonts w:hint="eastAsia" w:ascii="宋体" w:hAnsi="宋体" w:cs="宋体"/>
          <w:b/>
          <w:color w:val="auto"/>
          <w:sz w:val="21"/>
          <w:szCs w:val="21"/>
          <w:highlight w:val="none"/>
          <w:lang w:val="en-US" w:eastAsia="zh-CN"/>
        </w:rPr>
        <w:t>及车辆清单</w:t>
      </w:r>
      <w:r>
        <w:rPr>
          <w:rFonts w:hint="eastAsia" w:ascii="宋体" w:hAnsi="宋体" w:cs="宋体"/>
          <w:b/>
          <w:color w:val="auto"/>
          <w:sz w:val="21"/>
          <w:szCs w:val="21"/>
          <w:highlight w:val="none"/>
        </w:rPr>
        <w:t>，如未按以上要求执行，</w:t>
      </w:r>
      <w:r>
        <w:rPr>
          <w:rFonts w:hint="eastAsia" w:ascii="宋体" w:hAnsi="宋体" w:cs="宋体"/>
          <w:bCs/>
          <w:color w:val="auto"/>
          <w:kern w:val="0"/>
          <w:sz w:val="21"/>
          <w:szCs w:val="21"/>
          <w:highlight w:val="none"/>
        </w:rPr>
        <w:t>本公司</w:t>
      </w:r>
      <w:r>
        <w:rPr>
          <w:rFonts w:hint="eastAsia" w:ascii="宋体" w:hAnsi="宋体" w:cs="宋体"/>
          <w:bCs/>
          <w:color w:val="auto"/>
          <w:kern w:val="0"/>
          <w:sz w:val="21"/>
          <w:szCs w:val="21"/>
          <w:highlight w:val="none"/>
          <w:lang w:val="en-US" w:eastAsia="zh-CN"/>
        </w:rPr>
        <w:t>自愿</w:t>
      </w:r>
      <w:r>
        <w:rPr>
          <w:rFonts w:hint="eastAsia" w:ascii="宋体" w:hAnsi="宋体" w:cs="宋体"/>
          <w:bCs/>
          <w:color w:val="auto"/>
          <w:kern w:val="0"/>
          <w:sz w:val="21"/>
          <w:szCs w:val="21"/>
          <w:highlight w:val="none"/>
        </w:rPr>
        <w:t>接受</w:t>
      </w:r>
      <w:r>
        <w:rPr>
          <w:rFonts w:hint="eastAsia" w:ascii="宋体" w:hAnsi="宋体" w:cs="宋体"/>
          <w:bCs/>
          <w:color w:val="auto"/>
          <w:kern w:val="0"/>
          <w:sz w:val="21"/>
          <w:szCs w:val="21"/>
          <w:highlight w:val="none"/>
          <w:lang w:eastAsia="zh-CN"/>
        </w:rPr>
        <w:t>“</w:t>
      </w:r>
      <w:r>
        <w:rPr>
          <w:rFonts w:hint="eastAsia" w:ascii="宋体" w:hAnsi="宋体" w:cs="宋体"/>
          <w:color w:val="auto"/>
          <w:sz w:val="21"/>
          <w:szCs w:val="21"/>
          <w:highlight w:val="none"/>
          <w:lang w:val="en-US" w:eastAsia="zh-CN"/>
        </w:rPr>
        <w:t>如未按以上要求执行，采购人有权取消其中标资格，给采购人造成的损失的应予以赔偿。给采购人造成的损失超过履约保证金数额的，响应人还应当对超过部分予以赔偿”</w:t>
      </w:r>
      <w:r>
        <w:rPr>
          <w:rFonts w:hint="eastAsia" w:ascii="宋体" w:hAnsi="宋体" w:cs="宋体"/>
          <w:b/>
          <w:color w:val="auto"/>
          <w:sz w:val="21"/>
          <w:szCs w:val="21"/>
          <w:highlight w:val="none"/>
        </w:rPr>
        <w:t>。</w:t>
      </w:r>
    </w:p>
    <w:p>
      <w:pPr>
        <w:adjustRightInd w:val="0"/>
        <w:spacing w:line="600" w:lineRule="exact"/>
        <w:ind w:firstLine="420" w:firstLineChars="200"/>
        <w:jc w:val="left"/>
        <w:rPr>
          <w:rFonts w:hint="eastAsia" w:ascii="宋体" w:hAnsi="宋体" w:cs="宋体"/>
          <w:bCs/>
          <w:color w:val="auto"/>
          <w:kern w:val="0"/>
          <w:sz w:val="21"/>
          <w:szCs w:val="21"/>
          <w:highlight w:val="none"/>
        </w:rPr>
      </w:pPr>
      <w:r>
        <w:rPr>
          <w:rFonts w:hint="eastAsia" w:ascii="宋体" w:hAnsi="宋体" w:cs="宋体"/>
          <w:bCs/>
          <w:color w:val="auto"/>
          <w:kern w:val="0"/>
          <w:sz w:val="21"/>
          <w:szCs w:val="21"/>
          <w:highlight w:val="none"/>
        </w:rPr>
        <w:t>特此承诺。</w:t>
      </w:r>
    </w:p>
    <w:p>
      <w:pPr>
        <w:adjustRightInd w:val="0"/>
        <w:spacing w:line="600" w:lineRule="exact"/>
        <w:ind w:firstLine="420" w:firstLineChars="200"/>
        <w:jc w:val="left"/>
        <w:rPr>
          <w:rFonts w:hint="eastAsia" w:ascii="宋体" w:hAnsi="宋体" w:cs="宋体"/>
          <w:bCs/>
          <w:color w:val="auto"/>
          <w:kern w:val="0"/>
          <w:sz w:val="21"/>
          <w:szCs w:val="21"/>
          <w:highlight w:val="none"/>
        </w:rPr>
      </w:pPr>
      <w:r>
        <w:rPr>
          <w:rFonts w:hint="eastAsia" w:ascii="宋体" w:hAnsi="宋体" w:cs="宋体"/>
          <w:bCs/>
          <w:color w:val="auto"/>
          <w:kern w:val="0"/>
          <w:sz w:val="21"/>
          <w:szCs w:val="21"/>
          <w:highlight w:val="none"/>
        </w:rPr>
        <w:t>本公司对上述承诺的真实性负责。如有虚假，将依法承担相应责任。</w:t>
      </w:r>
    </w:p>
    <w:p>
      <w:pPr>
        <w:pStyle w:val="74"/>
        <w:rPr>
          <w:rFonts w:ascii="Times New Roman" w:hAnsi="Times New Roman" w:eastAsia="宋体"/>
          <w:color w:val="auto"/>
          <w:sz w:val="21"/>
          <w:szCs w:val="21"/>
          <w:highlight w:val="none"/>
        </w:rPr>
      </w:pPr>
    </w:p>
    <w:p>
      <w:pPr>
        <w:pStyle w:val="74"/>
        <w:rPr>
          <w:rFonts w:ascii="Times New Roman" w:hAnsi="Times New Roman" w:eastAsia="宋体"/>
          <w:color w:val="auto"/>
          <w:sz w:val="21"/>
          <w:szCs w:val="21"/>
          <w:highlight w:val="none"/>
        </w:rPr>
      </w:pPr>
    </w:p>
    <w:p>
      <w:pPr>
        <w:pStyle w:val="74"/>
        <w:rPr>
          <w:rFonts w:ascii="Times New Roman" w:hAnsi="Times New Roman" w:eastAsia="宋体"/>
          <w:color w:val="auto"/>
          <w:sz w:val="21"/>
          <w:szCs w:val="21"/>
          <w:highlight w:val="none"/>
        </w:rPr>
      </w:pPr>
    </w:p>
    <w:p>
      <w:pPr>
        <w:pStyle w:val="74"/>
        <w:rPr>
          <w:rFonts w:ascii="Times New Roman" w:hAnsi="Times New Roman" w:eastAsia="宋体"/>
          <w:color w:val="auto"/>
          <w:sz w:val="21"/>
          <w:szCs w:val="21"/>
          <w:highlight w:val="none"/>
        </w:rPr>
      </w:pPr>
    </w:p>
    <w:p>
      <w:pPr>
        <w:keepNext/>
        <w:keepLines/>
        <w:spacing w:before="100" w:beforeAutospacing="1" w:after="100" w:afterAutospacing="1" w:line="400" w:lineRule="exact"/>
        <w:jc w:val="left"/>
        <w:outlineLvl w:val="0"/>
        <w:rPr>
          <w:bCs/>
          <w:color w:val="auto"/>
          <w:sz w:val="21"/>
          <w:szCs w:val="21"/>
          <w:highlight w:val="none"/>
        </w:rPr>
      </w:pPr>
      <w:r>
        <w:rPr>
          <w:rFonts w:hint="eastAsia"/>
          <w:bCs/>
          <w:color w:val="auto"/>
          <w:sz w:val="21"/>
          <w:szCs w:val="21"/>
          <w:highlight w:val="none"/>
          <w:lang w:eastAsia="zh-CN"/>
        </w:rPr>
        <w:t>投标人</w:t>
      </w:r>
      <w:r>
        <w:rPr>
          <w:bCs/>
          <w:color w:val="auto"/>
          <w:sz w:val="21"/>
          <w:szCs w:val="21"/>
          <w:highlight w:val="none"/>
        </w:rPr>
        <w:t>名称（加盖公章）：</w:t>
      </w:r>
    </w:p>
    <w:p>
      <w:pPr>
        <w:keepNext/>
        <w:keepLines/>
        <w:spacing w:before="100" w:beforeAutospacing="1" w:after="100" w:afterAutospacing="1" w:line="400" w:lineRule="exact"/>
        <w:jc w:val="left"/>
        <w:outlineLvl w:val="0"/>
        <w:rPr>
          <w:bCs/>
          <w:color w:val="auto"/>
          <w:sz w:val="21"/>
          <w:szCs w:val="21"/>
          <w:highlight w:val="none"/>
        </w:rPr>
      </w:pPr>
      <w:r>
        <w:rPr>
          <w:bCs/>
          <w:color w:val="auto"/>
          <w:sz w:val="21"/>
          <w:szCs w:val="21"/>
          <w:highlight w:val="none"/>
        </w:rPr>
        <w:t>日      期：</w:t>
      </w:r>
    </w:p>
    <w:p>
      <w:pPr>
        <w:rPr>
          <w:rFonts w:hint="eastAsia" w:ascii="宋体" w:hAnsi="宋体" w:cs="宋体"/>
          <w:b/>
          <w:color w:val="auto"/>
          <w:kern w:val="0"/>
          <w:sz w:val="21"/>
          <w:szCs w:val="21"/>
        </w:rPr>
      </w:pPr>
      <w:r>
        <w:rPr>
          <w:rFonts w:hint="eastAsia" w:ascii="宋体" w:hAnsi="宋体" w:cs="宋体"/>
          <w:b/>
          <w:color w:val="auto"/>
          <w:kern w:val="0"/>
          <w:sz w:val="21"/>
          <w:szCs w:val="21"/>
        </w:rPr>
        <w:br w:type="page"/>
      </w:r>
    </w:p>
    <w:p>
      <w:pPr>
        <w:spacing w:line="560" w:lineRule="exact"/>
        <w:jc w:val="both"/>
        <w:rPr>
          <w:rFonts w:hint="eastAsia" w:ascii="宋体" w:hAnsi="宋体" w:cs="宋体"/>
          <w:b/>
          <w:color w:val="auto"/>
          <w:sz w:val="21"/>
          <w:szCs w:val="21"/>
          <w:lang w:val="en-US" w:eastAsia="zh-CN"/>
        </w:rPr>
      </w:pPr>
      <w:r>
        <w:rPr>
          <w:rFonts w:hint="eastAsia" w:ascii="宋体" w:hAnsi="宋体" w:cs="宋体"/>
          <w:b/>
          <w:color w:val="auto"/>
          <w:sz w:val="21"/>
          <w:szCs w:val="21"/>
        </w:rPr>
        <w:t>附件十</w:t>
      </w:r>
      <w:r>
        <w:rPr>
          <w:rFonts w:hint="eastAsia" w:ascii="宋体" w:hAnsi="宋体" w:cs="宋体"/>
          <w:b/>
          <w:color w:val="auto"/>
          <w:sz w:val="21"/>
          <w:szCs w:val="21"/>
          <w:lang w:val="en-US" w:eastAsia="zh-CN"/>
        </w:rPr>
        <w:t>三：</w:t>
      </w:r>
    </w:p>
    <w:p>
      <w:pPr>
        <w:spacing w:line="560" w:lineRule="exact"/>
        <w:jc w:val="center"/>
        <w:rPr>
          <w:rFonts w:ascii="宋体" w:hAnsi="宋体" w:cs="宋体"/>
          <w:b/>
          <w:color w:val="auto"/>
          <w:kern w:val="0"/>
          <w:sz w:val="21"/>
          <w:szCs w:val="21"/>
        </w:rPr>
      </w:pPr>
      <w:r>
        <w:rPr>
          <w:rFonts w:hint="eastAsia" w:ascii="宋体" w:hAnsi="宋体" w:cs="宋体"/>
          <w:b/>
          <w:color w:val="auto"/>
          <w:kern w:val="0"/>
          <w:sz w:val="21"/>
          <w:szCs w:val="21"/>
        </w:rPr>
        <w:t>其他证明材料</w:t>
      </w:r>
    </w:p>
    <w:p>
      <w:pPr>
        <w:spacing w:line="560" w:lineRule="exact"/>
        <w:rPr>
          <w:rFonts w:ascii="宋体" w:hAnsi="宋体" w:cs="宋体"/>
          <w:b/>
          <w:color w:val="auto"/>
          <w:kern w:val="0"/>
          <w:sz w:val="21"/>
          <w:szCs w:val="21"/>
        </w:rPr>
      </w:pPr>
    </w:p>
    <w:p>
      <w:pPr>
        <w:spacing w:line="560" w:lineRule="exact"/>
        <w:jc w:val="center"/>
        <w:rPr>
          <w:rFonts w:ascii="宋体" w:hAnsi="宋体" w:cs="宋体"/>
          <w:b/>
          <w:color w:val="auto"/>
          <w:kern w:val="0"/>
          <w:sz w:val="21"/>
          <w:szCs w:val="21"/>
        </w:rPr>
      </w:pPr>
      <w:r>
        <w:rPr>
          <w:rFonts w:hint="eastAsia" w:ascii="宋体" w:hAnsi="宋体" w:cs="宋体"/>
          <w:b/>
          <w:color w:val="auto"/>
          <w:kern w:val="0"/>
          <w:sz w:val="21"/>
          <w:szCs w:val="21"/>
        </w:rPr>
        <w:t>内容：响应人认为需要提供的其它说明和资料（格式自拟）</w:t>
      </w:r>
    </w:p>
    <w:p>
      <w:pPr>
        <w:spacing w:line="560" w:lineRule="exact"/>
        <w:rPr>
          <w:rFonts w:ascii="宋体" w:hAnsi="宋体" w:cs="宋体"/>
          <w:color w:val="auto"/>
          <w:sz w:val="21"/>
          <w:szCs w:val="21"/>
        </w:rPr>
      </w:pPr>
    </w:p>
    <w:p>
      <w:pPr>
        <w:rPr>
          <w:rFonts w:ascii="宋体" w:hAnsi="宋体" w:cs="宋体"/>
          <w:b/>
          <w:color w:val="auto"/>
          <w:sz w:val="21"/>
          <w:szCs w:val="21"/>
        </w:rPr>
      </w:pPr>
    </w:p>
    <w:bookmarkEnd w:id="70"/>
    <w:bookmarkEnd w:id="71"/>
    <w:p>
      <w:pPr>
        <w:rPr>
          <w:rFonts w:ascii="宋体" w:hAnsi="宋体" w:cs="宋体"/>
          <w:color w:val="auto"/>
          <w:sz w:val="21"/>
          <w:szCs w:val="21"/>
        </w:rPr>
      </w:pPr>
    </w:p>
    <w:p>
      <w:pPr>
        <w:pStyle w:val="2"/>
        <w:ind w:left="560"/>
        <w:rPr>
          <w:rFonts w:ascii="宋体" w:hAnsi="宋体" w:cs="宋体"/>
          <w:color w:val="auto"/>
          <w:sz w:val="21"/>
          <w:szCs w:val="21"/>
        </w:rPr>
      </w:pPr>
    </w:p>
    <w:p>
      <w:pPr>
        <w:rPr>
          <w:rFonts w:ascii="宋体" w:hAnsi="宋体" w:cs="宋体"/>
          <w:color w:val="auto"/>
        </w:rPr>
      </w:pPr>
    </w:p>
    <w:p>
      <w:pPr>
        <w:pStyle w:val="2"/>
        <w:ind w:left="560"/>
        <w:rPr>
          <w:rFonts w:ascii="宋体" w:hAnsi="宋体" w:cs="宋体"/>
          <w:color w:val="auto"/>
        </w:rPr>
      </w:pPr>
    </w:p>
    <w:p>
      <w:pPr>
        <w:rPr>
          <w:rFonts w:ascii="宋体" w:hAnsi="宋体" w:cs="宋体"/>
          <w:color w:val="auto"/>
        </w:rPr>
      </w:pPr>
    </w:p>
    <w:p>
      <w:pPr>
        <w:pStyle w:val="2"/>
        <w:ind w:left="560"/>
        <w:rPr>
          <w:rFonts w:ascii="宋体" w:hAnsi="宋体" w:cs="宋体"/>
          <w:color w:val="auto"/>
        </w:rPr>
      </w:pPr>
    </w:p>
    <w:p>
      <w:pPr>
        <w:rPr>
          <w:rFonts w:ascii="宋体" w:hAnsi="宋体" w:cs="宋体"/>
          <w:color w:val="auto"/>
        </w:rPr>
      </w:pPr>
    </w:p>
    <w:p>
      <w:pPr>
        <w:pStyle w:val="2"/>
        <w:ind w:left="560"/>
        <w:rPr>
          <w:rFonts w:ascii="宋体" w:hAnsi="宋体" w:cs="宋体"/>
          <w:color w:val="auto"/>
        </w:rPr>
      </w:pPr>
    </w:p>
    <w:p>
      <w:pPr>
        <w:rPr>
          <w:rFonts w:ascii="宋体" w:hAnsi="宋体" w:cs="宋体"/>
          <w:color w:val="auto"/>
        </w:rPr>
      </w:pPr>
    </w:p>
    <w:p>
      <w:pPr>
        <w:pStyle w:val="2"/>
        <w:ind w:left="560"/>
        <w:rPr>
          <w:rFonts w:ascii="宋体" w:hAnsi="宋体" w:cs="宋体"/>
          <w:color w:val="auto"/>
        </w:rPr>
      </w:pPr>
    </w:p>
    <w:p>
      <w:pPr>
        <w:rPr>
          <w:rFonts w:ascii="宋体" w:hAnsi="宋体" w:cs="宋体"/>
          <w:color w:val="auto"/>
        </w:rPr>
      </w:pPr>
    </w:p>
    <w:p>
      <w:pPr>
        <w:pStyle w:val="2"/>
        <w:ind w:left="560"/>
        <w:rPr>
          <w:rFonts w:ascii="宋体" w:hAnsi="宋体" w:cs="宋体"/>
          <w:color w:val="auto"/>
        </w:rPr>
      </w:pPr>
    </w:p>
    <w:p>
      <w:pPr>
        <w:rPr>
          <w:rFonts w:ascii="宋体" w:hAnsi="宋体" w:cs="宋体"/>
          <w:color w:val="auto"/>
        </w:rPr>
      </w:pPr>
    </w:p>
    <w:p>
      <w:pPr>
        <w:pStyle w:val="2"/>
        <w:ind w:left="560"/>
        <w:rPr>
          <w:rFonts w:ascii="宋体" w:hAnsi="宋体" w:cs="宋体"/>
          <w:color w:val="auto"/>
        </w:rPr>
      </w:pPr>
    </w:p>
    <w:p>
      <w:pPr>
        <w:rPr>
          <w:color w:val="auto"/>
        </w:rPr>
      </w:pPr>
    </w:p>
    <w:sectPr>
      <w:pgSz w:w="11906" w:h="16838"/>
      <w:pgMar w:top="1440" w:right="1803" w:bottom="1440" w:left="1803" w:header="851" w:footer="992" w:gutter="0"/>
      <w:cols w:space="0" w:num="1"/>
      <w:docGrid w:type="lines" w:linePitch="39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monospace">
    <w:altName w:val="Segoe Print"/>
    <w:panose1 w:val="00000000000000000000"/>
    <w:charset w:val="00"/>
    <w:family w:val="auto"/>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PMingLiU">
    <w:altName w:val="Microsoft JhengHei UI"/>
    <w:panose1 w:val="02010601000101010101"/>
    <w:charset w:val="88"/>
    <w:family w:val="roman"/>
    <w:pitch w:val="default"/>
    <w:sig w:usb0="00000000" w:usb1="00000000" w:usb2="00000016" w:usb3="00000000" w:csb0="00100001" w:csb1="00000000"/>
  </w:font>
  <w:font w:name="SourceHanSansCN-Regular">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Fonts w:hint="eastAsia"/>
      </w:rPr>
      <w:fldChar w:fldCharType="begin"/>
    </w:r>
    <w:r>
      <w:rPr>
        <w:rStyle w:val="28"/>
        <w:rFonts w:hint="eastAsia"/>
      </w:rPr>
      <w:instrText xml:space="preserve">PAGE  </w:instrText>
    </w:r>
    <w:r>
      <w:rPr>
        <w:rFonts w:hint="eastAsia"/>
      </w:rPr>
      <w:fldChar w:fldCharType="separate"/>
    </w:r>
    <w:r>
      <w:rPr>
        <w:rStyle w:val="28"/>
      </w:rPr>
      <w:t>22</w:t>
    </w:r>
    <w:r>
      <w:rPr>
        <w:rFonts w:hint="eastAsia"/>
      </w:rPr>
      <w:fldChar w:fldCharType="end"/>
    </w:r>
  </w:p>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Fonts w:hint="eastAsia"/>
      </w:rPr>
      <w:fldChar w:fldCharType="begin"/>
    </w:r>
    <w:r>
      <w:rPr>
        <w:rStyle w:val="28"/>
        <w:rFonts w:hint="eastAsia"/>
      </w:rPr>
      <w:instrText xml:space="preserve">PAGE  </w:instrText>
    </w:r>
    <w:r>
      <w:rPr>
        <w:rFonts w:hint="eastAsia"/>
      </w:rPr>
      <w:fldChar w:fldCharType="end"/>
    </w:r>
  </w:p>
  <w:p>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rFonts w:hint="default"/>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7"/>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1F3B91"/>
    <w:multiLevelType w:val="singleLevel"/>
    <w:tmpl w:val="741F3B91"/>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98"/>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hZDQ1MWE2Y2Q4M2NlYjY0ODliNzBjNDY4OGEzY2QifQ=="/>
  </w:docVars>
  <w:rsids>
    <w:rsidRoot w:val="0021074D"/>
    <w:rsid w:val="00002BA4"/>
    <w:rsid w:val="00002E15"/>
    <w:rsid w:val="000106B0"/>
    <w:rsid w:val="00011584"/>
    <w:rsid w:val="00017104"/>
    <w:rsid w:val="000200EF"/>
    <w:rsid w:val="00025610"/>
    <w:rsid w:val="000373D7"/>
    <w:rsid w:val="00076791"/>
    <w:rsid w:val="00084C5A"/>
    <w:rsid w:val="00094AB4"/>
    <w:rsid w:val="000951B3"/>
    <w:rsid w:val="000C60DE"/>
    <w:rsid w:val="000D554B"/>
    <w:rsid w:val="000D69A2"/>
    <w:rsid w:val="000E3807"/>
    <w:rsid w:val="000E6335"/>
    <w:rsid w:val="000E73E4"/>
    <w:rsid w:val="000F598C"/>
    <w:rsid w:val="000F7234"/>
    <w:rsid w:val="0010216D"/>
    <w:rsid w:val="00105EDA"/>
    <w:rsid w:val="0014787E"/>
    <w:rsid w:val="00155059"/>
    <w:rsid w:val="00164C26"/>
    <w:rsid w:val="001870BD"/>
    <w:rsid w:val="001C23C9"/>
    <w:rsid w:val="001C3D86"/>
    <w:rsid w:val="0021074D"/>
    <w:rsid w:val="0022181C"/>
    <w:rsid w:val="00227390"/>
    <w:rsid w:val="00231D05"/>
    <w:rsid w:val="002356E5"/>
    <w:rsid w:val="002529AC"/>
    <w:rsid w:val="002929B1"/>
    <w:rsid w:val="002A012B"/>
    <w:rsid w:val="002A6926"/>
    <w:rsid w:val="002B7EB5"/>
    <w:rsid w:val="002C044B"/>
    <w:rsid w:val="002C61F7"/>
    <w:rsid w:val="002F31C2"/>
    <w:rsid w:val="002F5923"/>
    <w:rsid w:val="002F6097"/>
    <w:rsid w:val="00302DB7"/>
    <w:rsid w:val="00332C73"/>
    <w:rsid w:val="003412A9"/>
    <w:rsid w:val="00347791"/>
    <w:rsid w:val="003751C9"/>
    <w:rsid w:val="003752C8"/>
    <w:rsid w:val="00382DEE"/>
    <w:rsid w:val="003A68CB"/>
    <w:rsid w:val="003B5B59"/>
    <w:rsid w:val="003D0404"/>
    <w:rsid w:val="003D06CC"/>
    <w:rsid w:val="003E780F"/>
    <w:rsid w:val="003F6B06"/>
    <w:rsid w:val="00414C9E"/>
    <w:rsid w:val="00421720"/>
    <w:rsid w:val="0042217C"/>
    <w:rsid w:val="00422C86"/>
    <w:rsid w:val="004277C9"/>
    <w:rsid w:val="00433338"/>
    <w:rsid w:val="004409F3"/>
    <w:rsid w:val="00465D77"/>
    <w:rsid w:val="00482303"/>
    <w:rsid w:val="0048381F"/>
    <w:rsid w:val="004B3721"/>
    <w:rsid w:val="004B651F"/>
    <w:rsid w:val="004C7D06"/>
    <w:rsid w:val="004E0381"/>
    <w:rsid w:val="004E0E35"/>
    <w:rsid w:val="004F1E95"/>
    <w:rsid w:val="004F3F31"/>
    <w:rsid w:val="0053109E"/>
    <w:rsid w:val="005378CD"/>
    <w:rsid w:val="00551124"/>
    <w:rsid w:val="00585284"/>
    <w:rsid w:val="005B3C68"/>
    <w:rsid w:val="005B52F8"/>
    <w:rsid w:val="005C48B2"/>
    <w:rsid w:val="005D26A7"/>
    <w:rsid w:val="005E40A2"/>
    <w:rsid w:val="00604184"/>
    <w:rsid w:val="00612345"/>
    <w:rsid w:val="00620680"/>
    <w:rsid w:val="006438CA"/>
    <w:rsid w:val="006574AE"/>
    <w:rsid w:val="0066155C"/>
    <w:rsid w:val="00661709"/>
    <w:rsid w:val="006646DA"/>
    <w:rsid w:val="00676F9F"/>
    <w:rsid w:val="006824A9"/>
    <w:rsid w:val="00686BC2"/>
    <w:rsid w:val="006A7667"/>
    <w:rsid w:val="006C207F"/>
    <w:rsid w:val="006C5A49"/>
    <w:rsid w:val="006E11D6"/>
    <w:rsid w:val="006F490D"/>
    <w:rsid w:val="006F4AC0"/>
    <w:rsid w:val="00704336"/>
    <w:rsid w:val="00716DB0"/>
    <w:rsid w:val="00717EF7"/>
    <w:rsid w:val="0072023A"/>
    <w:rsid w:val="00723EB2"/>
    <w:rsid w:val="00730727"/>
    <w:rsid w:val="00734AA9"/>
    <w:rsid w:val="00753494"/>
    <w:rsid w:val="00755662"/>
    <w:rsid w:val="00774F35"/>
    <w:rsid w:val="00780E5A"/>
    <w:rsid w:val="007A3600"/>
    <w:rsid w:val="007A4895"/>
    <w:rsid w:val="007B4B0C"/>
    <w:rsid w:val="007B672F"/>
    <w:rsid w:val="007B6F4B"/>
    <w:rsid w:val="007F3ADE"/>
    <w:rsid w:val="0081627E"/>
    <w:rsid w:val="00862735"/>
    <w:rsid w:val="008906CE"/>
    <w:rsid w:val="008A77B9"/>
    <w:rsid w:val="008B76BC"/>
    <w:rsid w:val="008E53EE"/>
    <w:rsid w:val="00904F50"/>
    <w:rsid w:val="009229FD"/>
    <w:rsid w:val="009245D5"/>
    <w:rsid w:val="00942451"/>
    <w:rsid w:val="00963625"/>
    <w:rsid w:val="009701AD"/>
    <w:rsid w:val="00970342"/>
    <w:rsid w:val="00986461"/>
    <w:rsid w:val="00997DCF"/>
    <w:rsid w:val="00997E18"/>
    <w:rsid w:val="009B71C6"/>
    <w:rsid w:val="009C1B9A"/>
    <w:rsid w:val="009E0568"/>
    <w:rsid w:val="009E43BE"/>
    <w:rsid w:val="009E60F1"/>
    <w:rsid w:val="009F3437"/>
    <w:rsid w:val="009F6F61"/>
    <w:rsid w:val="00A00F09"/>
    <w:rsid w:val="00A367A2"/>
    <w:rsid w:val="00A36C5F"/>
    <w:rsid w:val="00A37326"/>
    <w:rsid w:val="00A41817"/>
    <w:rsid w:val="00A43731"/>
    <w:rsid w:val="00A5515A"/>
    <w:rsid w:val="00A87F74"/>
    <w:rsid w:val="00A94B5F"/>
    <w:rsid w:val="00AA5405"/>
    <w:rsid w:val="00AB17D2"/>
    <w:rsid w:val="00AB58B6"/>
    <w:rsid w:val="00AB68FF"/>
    <w:rsid w:val="00AB7A64"/>
    <w:rsid w:val="00AE2443"/>
    <w:rsid w:val="00AF2A9A"/>
    <w:rsid w:val="00AF36F3"/>
    <w:rsid w:val="00AF569C"/>
    <w:rsid w:val="00B03FD9"/>
    <w:rsid w:val="00B13133"/>
    <w:rsid w:val="00B20322"/>
    <w:rsid w:val="00B439E8"/>
    <w:rsid w:val="00B444FE"/>
    <w:rsid w:val="00B614BC"/>
    <w:rsid w:val="00BB47D0"/>
    <w:rsid w:val="00BB6AC5"/>
    <w:rsid w:val="00BC1660"/>
    <w:rsid w:val="00BC3EF1"/>
    <w:rsid w:val="00BD4B14"/>
    <w:rsid w:val="00C005B8"/>
    <w:rsid w:val="00C21BBD"/>
    <w:rsid w:val="00C27E5C"/>
    <w:rsid w:val="00C350DD"/>
    <w:rsid w:val="00C358E7"/>
    <w:rsid w:val="00C36637"/>
    <w:rsid w:val="00C50689"/>
    <w:rsid w:val="00C65970"/>
    <w:rsid w:val="00C66CAB"/>
    <w:rsid w:val="00C91A0F"/>
    <w:rsid w:val="00CA16DA"/>
    <w:rsid w:val="00CC30EE"/>
    <w:rsid w:val="00CE2052"/>
    <w:rsid w:val="00D035F9"/>
    <w:rsid w:val="00D078B9"/>
    <w:rsid w:val="00D07C77"/>
    <w:rsid w:val="00D121E8"/>
    <w:rsid w:val="00D2485B"/>
    <w:rsid w:val="00D35848"/>
    <w:rsid w:val="00D571E2"/>
    <w:rsid w:val="00D70F2C"/>
    <w:rsid w:val="00D7112A"/>
    <w:rsid w:val="00D75378"/>
    <w:rsid w:val="00DA25B7"/>
    <w:rsid w:val="00DB56C8"/>
    <w:rsid w:val="00DC18D7"/>
    <w:rsid w:val="00DE53B8"/>
    <w:rsid w:val="00E02ADA"/>
    <w:rsid w:val="00E03BDF"/>
    <w:rsid w:val="00E17468"/>
    <w:rsid w:val="00E31B56"/>
    <w:rsid w:val="00E44F89"/>
    <w:rsid w:val="00E604CC"/>
    <w:rsid w:val="00E61572"/>
    <w:rsid w:val="00E72BC7"/>
    <w:rsid w:val="00E75C0A"/>
    <w:rsid w:val="00E81F23"/>
    <w:rsid w:val="00E8250B"/>
    <w:rsid w:val="00E95A26"/>
    <w:rsid w:val="00EB4932"/>
    <w:rsid w:val="00EB71DE"/>
    <w:rsid w:val="00EC2524"/>
    <w:rsid w:val="00EF179F"/>
    <w:rsid w:val="00EF1A83"/>
    <w:rsid w:val="00EF45D1"/>
    <w:rsid w:val="00F1217C"/>
    <w:rsid w:val="00F16B0A"/>
    <w:rsid w:val="00F43332"/>
    <w:rsid w:val="00F51155"/>
    <w:rsid w:val="00FA6E1C"/>
    <w:rsid w:val="00FB382E"/>
    <w:rsid w:val="00FC0CF1"/>
    <w:rsid w:val="00FC5F5C"/>
    <w:rsid w:val="00FF37AC"/>
    <w:rsid w:val="00FF49EA"/>
    <w:rsid w:val="01031F52"/>
    <w:rsid w:val="012B64AF"/>
    <w:rsid w:val="012C2953"/>
    <w:rsid w:val="013A7770"/>
    <w:rsid w:val="013B0DE8"/>
    <w:rsid w:val="01693089"/>
    <w:rsid w:val="018A0A9E"/>
    <w:rsid w:val="01AF0E8E"/>
    <w:rsid w:val="01B37292"/>
    <w:rsid w:val="01BB58C6"/>
    <w:rsid w:val="01C56A7B"/>
    <w:rsid w:val="01E42342"/>
    <w:rsid w:val="01F51FC8"/>
    <w:rsid w:val="020E3E06"/>
    <w:rsid w:val="02151639"/>
    <w:rsid w:val="02165E90"/>
    <w:rsid w:val="023B148D"/>
    <w:rsid w:val="023F2D81"/>
    <w:rsid w:val="02401036"/>
    <w:rsid w:val="02405F8A"/>
    <w:rsid w:val="02443CCC"/>
    <w:rsid w:val="025E37B8"/>
    <w:rsid w:val="026B1259"/>
    <w:rsid w:val="02832A46"/>
    <w:rsid w:val="029562D6"/>
    <w:rsid w:val="029C3542"/>
    <w:rsid w:val="02A12ECC"/>
    <w:rsid w:val="02AB78A7"/>
    <w:rsid w:val="02B01361"/>
    <w:rsid w:val="02B67B5D"/>
    <w:rsid w:val="02BF23FC"/>
    <w:rsid w:val="02D2752A"/>
    <w:rsid w:val="02F32FFC"/>
    <w:rsid w:val="02FC6355"/>
    <w:rsid w:val="030376E3"/>
    <w:rsid w:val="032064E7"/>
    <w:rsid w:val="03253AFD"/>
    <w:rsid w:val="03314594"/>
    <w:rsid w:val="03324A94"/>
    <w:rsid w:val="03383B60"/>
    <w:rsid w:val="033B7245"/>
    <w:rsid w:val="03450399"/>
    <w:rsid w:val="0377712B"/>
    <w:rsid w:val="038E286B"/>
    <w:rsid w:val="039F417D"/>
    <w:rsid w:val="03C74BB5"/>
    <w:rsid w:val="03DD1969"/>
    <w:rsid w:val="03E27618"/>
    <w:rsid w:val="04025BED"/>
    <w:rsid w:val="0402799B"/>
    <w:rsid w:val="04243DB5"/>
    <w:rsid w:val="043C2B5E"/>
    <w:rsid w:val="045301F6"/>
    <w:rsid w:val="046B6FD8"/>
    <w:rsid w:val="04706FFA"/>
    <w:rsid w:val="0486237A"/>
    <w:rsid w:val="049A5E25"/>
    <w:rsid w:val="049D76C3"/>
    <w:rsid w:val="04BD63C8"/>
    <w:rsid w:val="04C50C9E"/>
    <w:rsid w:val="04C517EC"/>
    <w:rsid w:val="04E452F2"/>
    <w:rsid w:val="04E7434C"/>
    <w:rsid w:val="04F727F4"/>
    <w:rsid w:val="04F82B4C"/>
    <w:rsid w:val="05085485"/>
    <w:rsid w:val="052754BA"/>
    <w:rsid w:val="05504736"/>
    <w:rsid w:val="05544226"/>
    <w:rsid w:val="055C30DB"/>
    <w:rsid w:val="055E32F7"/>
    <w:rsid w:val="0575419C"/>
    <w:rsid w:val="057743B8"/>
    <w:rsid w:val="058C7C0B"/>
    <w:rsid w:val="05976809"/>
    <w:rsid w:val="059B1E55"/>
    <w:rsid w:val="05B9099C"/>
    <w:rsid w:val="05BB6053"/>
    <w:rsid w:val="05C173E2"/>
    <w:rsid w:val="05CF7D50"/>
    <w:rsid w:val="05CF7E3D"/>
    <w:rsid w:val="05DE36F7"/>
    <w:rsid w:val="05E05ABA"/>
    <w:rsid w:val="05E25CD6"/>
    <w:rsid w:val="05F872A7"/>
    <w:rsid w:val="06073258"/>
    <w:rsid w:val="060A1AF1"/>
    <w:rsid w:val="062D1F31"/>
    <w:rsid w:val="062F259D"/>
    <w:rsid w:val="06530982"/>
    <w:rsid w:val="06540256"/>
    <w:rsid w:val="065D435E"/>
    <w:rsid w:val="06624721"/>
    <w:rsid w:val="066270CD"/>
    <w:rsid w:val="06764670"/>
    <w:rsid w:val="067F3525"/>
    <w:rsid w:val="068C79F0"/>
    <w:rsid w:val="068F4CC8"/>
    <w:rsid w:val="069614D8"/>
    <w:rsid w:val="06B06C69"/>
    <w:rsid w:val="06B52E78"/>
    <w:rsid w:val="06BC7207"/>
    <w:rsid w:val="06BF2030"/>
    <w:rsid w:val="06C16F1D"/>
    <w:rsid w:val="06D7523A"/>
    <w:rsid w:val="06E067A2"/>
    <w:rsid w:val="06E269F9"/>
    <w:rsid w:val="06F35FE2"/>
    <w:rsid w:val="06FB3F9B"/>
    <w:rsid w:val="0700276E"/>
    <w:rsid w:val="070074E8"/>
    <w:rsid w:val="07153E89"/>
    <w:rsid w:val="071F7265"/>
    <w:rsid w:val="073360BD"/>
    <w:rsid w:val="073562D9"/>
    <w:rsid w:val="07500F03"/>
    <w:rsid w:val="075C5614"/>
    <w:rsid w:val="0781151E"/>
    <w:rsid w:val="07952724"/>
    <w:rsid w:val="07B436A2"/>
    <w:rsid w:val="07B60D64"/>
    <w:rsid w:val="07B728D5"/>
    <w:rsid w:val="07C05BA3"/>
    <w:rsid w:val="07CC0E71"/>
    <w:rsid w:val="07EA5A9F"/>
    <w:rsid w:val="081147B9"/>
    <w:rsid w:val="081D2FF5"/>
    <w:rsid w:val="08316AA1"/>
    <w:rsid w:val="0835382C"/>
    <w:rsid w:val="08596EA4"/>
    <w:rsid w:val="085D1644"/>
    <w:rsid w:val="087F3918"/>
    <w:rsid w:val="0896666F"/>
    <w:rsid w:val="08A2799E"/>
    <w:rsid w:val="08B51480"/>
    <w:rsid w:val="08BA0844"/>
    <w:rsid w:val="08CB2A51"/>
    <w:rsid w:val="08E43B13"/>
    <w:rsid w:val="08F37783"/>
    <w:rsid w:val="093736D9"/>
    <w:rsid w:val="094D1A62"/>
    <w:rsid w:val="095011A8"/>
    <w:rsid w:val="0969226A"/>
    <w:rsid w:val="09737646"/>
    <w:rsid w:val="09825CE4"/>
    <w:rsid w:val="099077F7"/>
    <w:rsid w:val="09991536"/>
    <w:rsid w:val="099B4719"/>
    <w:rsid w:val="09BC05EC"/>
    <w:rsid w:val="09E0252C"/>
    <w:rsid w:val="09E07D73"/>
    <w:rsid w:val="09F2400E"/>
    <w:rsid w:val="09F26730"/>
    <w:rsid w:val="0A4070EB"/>
    <w:rsid w:val="0A73369B"/>
    <w:rsid w:val="0A7C1280"/>
    <w:rsid w:val="0A8D2AD1"/>
    <w:rsid w:val="0AC57974"/>
    <w:rsid w:val="0AC6596D"/>
    <w:rsid w:val="0ACB117B"/>
    <w:rsid w:val="0B0E30C9"/>
    <w:rsid w:val="0B3F3077"/>
    <w:rsid w:val="0B444D3D"/>
    <w:rsid w:val="0B54281D"/>
    <w:rsid w:val="0B632B59"/>
    <w:rsid w:val="0B7A42BB"/>
    <w:rsid w:val="0B7A49AF"/>
    <w:rsid w:val="0B8B296C"/>
    <w:rsid w:val="0B8F6A6E"/>
    <w:rsid w:val="0BB7186B"/>
    <w:rsid w:val="0BE12AC7"/>
    <w:rsid w:val="0BE24933"/>
    <w:rsid w:val="0BE80BE6"/>
    <w:rsid w:val="0BFB73FA"/>
    <w:rsid w:val="0C0A4DBA"/>
    <w:rsid w:val="0C0D15D3"/>
    <w:rsid w:val="0C3B1C9C"/>
    <w:rsid w:val="0C452B1A"/>
    <w:rsid w:val="0C593243"/>
    <w:rsid w:val="0C632FA1"/>
    <w:rsid w:val="0C6C00A7"/>
    <w:rsid w:val="0C9A2F86"/>
    <w:rsid w:val="0CB21541"/>
    <w:rsid w:val="0CC003F3"/>
    <w:rsid w:val="0CCC323C"/>
    <w:rsid w:val="0CCE0D62"/>
    <w:rsid w:val="0CDE073E"/>
    <w:rsid w:val="0CE24F43"/>
    <w:rsid w:val="0CE36F6D"/>
    <w:rsid w:val="0CE57E5A"/>
    <w:rsid w:val="0D1A5D55"/>
    <w:rsid w:val="0D1F511A"/>
    <w:rsid w:val="0D23750C"/>
    <w:rsid w:val="0D2F537E"/>
    <w:rsid w:val="0D411534"/>
    <w:rsid w:val="0D9020B8"/>
    <w:rsid w:val="0DA25D4B"/>
    <w:rsid w:val="0DAF6ED4"/>
    <w:rsid w:val="0DBD4932"/>
    <w:rsid w:val="0DDA54E4"/>
    <w:rsid w:val="0DDF0D4D"/>
    <w:rsid w:val="0DE325EB"/>
    <w:rsid w:val="0DED16BC"/>
    <w:rsid w:val="0DF915B5"/>
    <w:rsid w:val="0E0F03BC"/>
    <w:rsid w:val="0E100F06"/>
    <w:rsid w:val="0E417312"/>
    <w:rsid w:val="0E460DCC"/>
    <w:rsid w:val="0E4C2A14"/>
    <w:rsid w:val="0E5B6625"/>
    <w:rsid w:val="0E6E204C"/>
    <w:rsid w:val="0E721BC1"/>
    <w:rsid w:val="0E7616B1"/>
    <w:rsid w:val="0E7C4213"/>
    <w:rsid w:val="0E80608C"/>
    <w:rsid w:val="0E807E3A"/>
    <w:rsid w:val="0E83577D"/>
    <w:rsid w:val="0EB43F87"/>
    <w:rsid w:val="0EC00601"/>
    <w:rsid w:val="0EDB7766"/>
    <w:rsid w:val="0EF83E74"/>
    <w:rsid w:val="0EFB3964"/>
    <w:rsid w:val="0EFC7E02"/>
    <w:rsid w:val="0F013C70"/>
    <w:rsid w:val="0F017246"/>
    <w:rsid w:val="0F0942D3"/>
    <w:rsid w:val="0F183056"/>
    <w:rsid w:val="0F19203C"/>
    <w:rsid w:val="0F3550C8"/>
    <w:rsid w:val="0F374FA5"/>
    <w:rsid w:val="0F44273B"/>
    <w:rsid w:val="0F4B5F43"/>
    <w:rsid w:val="0F9D4A1B"/>
    <w:rsid w:val="0FBA55CD"/>
    <w:rsid w:val="0FC240A4"/>
    <w:rsid w:val="0FC93A62"/>
    <w:rsid w:val="0FDF32ED"/>
    <w:rsid w:val="0FE74F56"/>
    <w:rsid w:val="0FF667D4"/>
    <w:rsid w:val="0FFB6814"/>
    <w:rsid w:val="100E1475"/>
    <w:rsid w:val="1055163A"/>
    <w:rsid w:val="105A634B"/>
    <w:rsid w:val="10681196"/>
    <w:rsid w:val="106E5E2B"/>
    <w:rsid w:val="1077526D"/>
    <w:rsid w:val="107A4E46"/>
    <w:rsid w:val="10847F21"/>
    <w:rsid w:val="10986E0E"/>
    <w:rsid w:val="10993435"/>
    <w:rsid w:val="10AC13BA"/>
    <w:rsid w:val="10C262FB"/>
    <w:rsid w:val="10C5247C"/>
    <w:rsid w:val="10C62E11"/>
    <w:rsid w:val="10CD6A9B"/>
    <w:rsid w:val="10D4446D"/>
    <w:rsid w:val="10E16120"/>
    <w:rsid w:val="10FB7C4C"/>
    <w:rsid w:val="110D3A2D"/>
    <w:rsid w:val="1122342A"/>
    <w:rsid w:val="112476E9"/>
    <w:rsid w:val="112A0332"/>
    <w:rsid w:val="112F6741"/>
    <w:rsid w:val="115B6EB8"/>
    <w:rsid w:val="115F6E97"/>
    <w:rsid w:val="118440E5"/>
    <w:rsid w:val="11872970"/>
    <w:rsid w:val="11877731"/>
    <w:rsid w:val="11987B90"/>
    <w:rsid w:val="11A26319"/>
    <w:rsid w:val="11AA604C"/>
    <w:rsid w:val="11CB69F9"/>
    <w:rsid w:val="11E728AF"/>
    <w:rsid w:val="11ED1C8A"/>
    <w:rsid w:val="120C272B"/>
    <w:rsid w:val="120E2D56"/>
    <w:rsid w:val="12237479"/>
    <w:rsid w:val="123478B9"/>
    <w:rsid w:val="1241020F"/>
    <w:rsid w:val="1248522F"/>
    <w:rsid w:val="124B69B1"/>
    <w:rsid w:val="12582C57"/>
    <w:rsid w:val="12624760"/>
    <w:rsid w:val="12791770"/>
    <w:rsid w:val="12A85BB1"/>
    <w:rsid w:val="12C02EFB"/>
    <w:rsid w:val="12CC6BF9"/>
    <w:rsid w:val="12E0359D"/>
    <w:rsid w:val="12E979F2"/>
    <w:rsid w:val="12EC411F"/>
    <w:rsid w:val="12F62DC0"/>
    <w:rsid w:val="12FD414F"/>
    <w:rsid w:val="13113756"/>
    <w:rsid w:val="13223BB5"/>
    <w:rsid w:val="134B7403"/>
    <w:rsid w:val="1354616E"/>
    <w:rsid w:val="13763F01"/>
    <w:rsid w:val="137F5CDC"/>
    <w:rsid w:val="13931091"/>
    <w:rsid w:val="139A5D9F"/>
    <w:rsid w:val="13BB61BD"/>
    <w:rsid w:val="13CB7DA9"/>
    <w:rsid w:val="13CC3B21"/>
    <w:rsid w:val="13DE568F"/>
    <w:rsid w:val="13E946D3"/>
    <w:rsid w:val="13F00A54"/>
    <w:rsid w:val="13F13588"/>
    <w:rsid w:val="14091461"/>
    <w:rsid w:val="140F5D81"/>
    <w:rsid w:val="14180B15"/>
    <w:rsid w:val="14186D67"/>
    <w:rsid w:val="14232BF3"/>
    <w:rsid w:val="145A6A37"/>
    <w:rsid w:val="14646D36"/>
    <w:rsid w:val="14674FBB"/>
    <w:rsid w:val="146975C2"/>
    <w:rsid w:val="14720225"/>
    <w:rsid w:val="147A532B"/>
    <w:rsid w:val="14A01236"/>
    <w:rsid w:val="14B40ECF"/>
    <w:rsid w:val="14CE4728"/>
    <w:rsid w:val="14D233B9"/>
    <w:rsid w:val="14E07884"/>
    <w:rsid w:val="14E639DF"/>
    <w:rsid w:val="14EE3E39"/>
    <w:rsid w:val="14EE5CB3"/>
    <w:rsid w:val="14F9536D"/>
    <w:rsid w:val="15000AB2"/>
    <w:rsid w:val="15000D6C"/>
    <w:rsid w:val="150572EB"/>
    <w:rsid w:val="150F3CC6"/>
    <w:rsid w:val="151E25C1"/>
    <w:rsid w:val="153E5921"/>
    <w:rsid w:val="156404B5"/>
    <w:rsid w:val="15747FCD"/>
    <w:rsid w:val="15A46B04"/>
    <w:rsid w:val="15B25D27"/>
    <w:rsid w:val="15B34F99"/>
    <w:rsid w:val="15CC74E3"/>
    <w:rsid w:val="16133C89"/>
    <w:rsid w:val="161B48EC"/>
    <w:rsid w:val="163F682C"/>
    <w:rsid w:val="164E7445"/>
    <w:rsid w:val="16576278"/>
    <w:rsid w:val="16617715"/>
    <w:rsid w:val="16775FC6"/>
    <w:rsid w:val="168A13B6"/>
    <w:rsid w:val="168E0A94"/>
    <w:rsid w:val="169166B8"/>
    <w:rsid w:val="169923E1"/>
    <w:rsid w:val="16B014D8"/>
    <w:rsid w:val="16B8213B"/>
    <w:rsid w:val="16E84102"/>
    <w:rsid w:val="16EA261B"/>
    <w:rsid w:val="16FB0A86"/>
    <w:rsid w:val="1700420E"/>
    <w:rsid w:val="1767603B"/>
    <w:rsid w:val="176F3141"/>
    <w:rsid w:val="17761B8F"/>
    <w:rsid w:val="177C3D24"/>
    <w:rsid w:val="1782376C"/>
    <w:rsid w:val="179901BE"/>
    <w:rsid w:val="179C1139"/>
    <w:rsid w:val="17A0154D"/>
    <w:rsid w:val="17A11F06"/>
    <w:rsid w:val="17B2302E"/>
    <w:rsid w:val="17BB2119"/>
    <w:rsid w:val="17CD5B13"/>
    <w:rsid w:val="17D64F6F"/>
    <w:rsid w:val="17F453F5"/>
    <w:rsid w:val="17F51140"/>
    <w:rsid w:val="182C2DE0"/>
    <w:rsid w:val="18381F0C"/>
    <w:rsid w:val="183D3240"/>
    <w:rsid w:val="184C3483"/>
    <w:rsid w:val="18515D6A"/>
    <w:rsid w:val="185F6D12"/>
    <w:rsid w:val="18797C0E"/>
    <w:rsid w:val="187F02D7"/>
    <w:rsid w:val="189176D0"/>
    <w:rsid w:val="18952734"/>
    <w:rsid w:val="18BB5EFD"/>
    <w:rsid w:val="18BD27D8"/>
    <w:rsid w:val="18C43019"/>
    <w:rsid w:val="18E45A8E"/>
    <w:rsid w:val="18F57676"/>
    <w:rsid w:val="193208CA"/>
    <w:rsid w:val="194859F8"/>
    <w:rsid w:val="194B7296"/>
    <w:rsid w:val="194C028D"/>
    <w:rsid w:val="198B7357"/>
    <w:rsid w:val="199E7D0E"/>
    <w:rsid w:val="19BD6F2B"/>
    <w:rsid w:val="19DB0D66"/>
    <w:rsid w:val="19DD6F2A"/>
    <w:rsid w:val="19E57411"/>
    <w:rsid w:val="19F57B7D"/>
    <w:rsid w:val="1A635396"/>
    <w:rsid w:val="1A795BA2"/>
    <w:rsid w:val="1A8D6144"/>
    <w:rsid w:val="1A9F3D3E"/>
    <w:rsid w:val="1AB63648"/>
    <w:rsid w:val="1AEA4DB5"/>
    <w:rsid w:val="1AFB6468"/>
    <w:rsid w:val="1B634D6B"/>
    <w:rsid w:val="1B6603B7"/>
    <w:rsid w:val="1B7C1C1D"/>
    <w:rsid w:val="1B926E6E"/>
    <w:rsid w:val="1BAF66D6"/>
    <w:rsid w:val="1BB17591"/>
    <w:rsid w:val="1BC5023D"/>
    <w:rsid w:val="1BC71638"/>
    <w:rsid w:val="1BCD48DA"/>
    <w:rsid w:val="1BD65D41"/>
    <w:rsid w:val="1BDA68A3"/>
    <w:rsid w:val="1BDB6FF7"/>
    <w:rsid w:val="1BDF745A"/>
    <w:rsid w:val="1BFD3B34"/>
    <w:rsid w:val="1C000E63"/>
    <w:rsid w:val="1C024584"/>
    <w:rsid w:val="1C1348CB"/>
    <w:rsid w:val="1C204054"/>
    <w:rsid w:val="1C252021"/>
    <w:rsid w:val="1C3C6993"/>
    <w:rsid w:val="1C44694B"/>
    <w:rsid w:val="1C453CCA"/>
    <w:rsid w:val="1C646FED"/>
    <w:rsid w:val="1C6920AA"/>
    <w:rsid w:val="1C700A05"/>
    <w:rsid w:val="1C78131E"/>
    <w:rsid w:val="1C7A2024"/>
    <w:rsid w:val="1C881E18"/>
    <w:rsid w:val="1C913B5A"/>
    <w:rsid w:val="1CA61238"/>
    <w:rsid w:val="1CAC2742"/>
    <w:rsid w:val="1CAC629E"/>
    <w:rsid w:val="1CB3762C"/>
    <w:rsid w:val="1CBC0BD7"/>
    <w:rsid w:val="1CC14DE8"/>
    <w:rsid w:val="1CDF48C5"/>
    <w:rsid w:val="1CEE68B6"/>
    <w:rsid w:val="1CF10155"/>
    <w:rsid w:val="1CF540E9"/>
    <w:rsid w:val="1D005C48"/>
    <w:rsid w:val="1D13456F"/>
    <w:rsid w:val="1D326CE4"/>
    <w:rsid w:val="1D397816"/>
    <w:rsid w:val="1D564223"/>
    <w:rsid w:val="1D747175"/>
    <w:rsid w:val="1D750D86"/>
    <w:rsid w:val="1D81597C"/>
    <w:rsid w:val="1D8D4321"/>
    <w:rsid w:val="1D90787A"/>
    <w:rsid w:val="1D9236E6"/>
    <w:rsid w:val="1DB25B36"/>
    <w:rsid w:val="1DB63878"/>
    <w:rsid w:val="1DCB4E4A"/>
    <w:rsid w:val="1DE04A45"/>
    <w:rsid w:val="1DE804EE"/>
    <w:rsid w:val="1DEE51F9"/>
    <w:rsid w:val="1DF20628"/>
    <w:rsid w:val="1DF83E91"/>
    <w:rsid w:val="1E043956"/>
    <w:rsid w:val="1E4405FF"/>
    <w:rsid w:val="1E52684A"/>
    <w:rsid w:val="1E6908EA"/>
    <w:rsid w:val="1E982F7E"/>
    <w:rsid w:val="1EB06519"/>
    <w:rsid w:val="1ECA74F2"/>
    <w:rsid w:val="1ED24DBD"/>
    <w:rsid w:val="1EE40CB1"/>
    <w:rsid w:val="1EE44CF9"/>
    <w:rsid w:val="1EEC5078"/>
    <w:rsid w:val="1EFC175F"/>
    <w:rsid w:val="1F046865"/>
    <w:rsid w:val="1F056479"/>
    <w:rsid w:val="1F0C74C8"/>
    <w:rsid w:val="1F120F82"/>
    <w:rsid w:val="1F182290"/>
    <w:rsid w:val="1F2C31B8"/>
    <w:rsid w:val="1F574BE7"/>
    <w:rsid w:val="1F5E70A8"/>
    <w:rsid w:val="1F642262"/>
    <w:rsid w:val="1FC01181"/>
    <w:rsid w:val="1FC87893"/>
    <w:rsid w:val="1FEA1CC2"/>
    <w:rsid w:val="1FFC578E"/>
    <w:rsid w:val="20153232"/>
    <w:rsid w:val="201A21E9"/>
    <w:rsid w:val="201A6FA8"/>
    <w:rsid w:val="2023579A"/>
    <w:rsid w:val="2028607A"/>
    <w:rsid w:val="2036562D"/>
    <w:rsid w:val="2040567B"/>
    <w:rsid w:val="20413730"/>
    <w:rsid w:val="204F39F3"/>
    <w:rsid w:val="20693F5D"/>
    <w:rsid w:val="20694C22"/>
    <w:rsid w:val="20971013"/>
    <w:rsid w:val="209964C7"/>
    <w:rsid w:val="20A57BD4"/>
    <w:rsid w:val="20BB527F"/>
    <w:rsid w:val="20BB60A5"/>
    <w:rsid w:val="20CB63F5"/>
    <w:rsid w:val="20E444D7"/>
    <w:rsid w:val="20E57FD0"/>
    <w:rsid w:val="20EC0462"/>
    <w:rsid w:val="20F152D0"/>
    <w:rsid w:val="20F360D6"/>
    <w:rsid w:val="20F5782E"/>
    <w:rsid w:val="21085F87"/>
    <w:rsid w:val="211014F1"/>
    <w:rsid w:val="21537630"/>
    <w:rsid w:val="2193092A"/>
    <w:rsid w:val="21FE522F"/>
    <w:rsid w:val="22145011"/>
    <w:rsid w:val="221768AF"/>
    <w:rsid w:val="221943D6"/>
    <w:rsid w:val="221D2944"/>
    <w:rsid w:val="22342FBD"/>
    <w:rsid w:val="224C47AB"/>
    <w:rsid w:val="225A1D47"/>
    <w:rsid w:val="22937614"/>
    <w:rsid w:val="22941CAE"/>
    <w:rsid w:val="22AE1669"/>
    <w:rsid w:val="22B64134"/>
    <w:rsid w:val="22D36189"/>
    <w:rsid w:val="22D36C7A"/>
    <w:rsid w:val="22EF35BE"/>
    <w:rsid w:val="22F15352"/>
    <w:rsid w:val="231B7000"/>
    <w:rsid w:val="23243032"/>
    <w:rsid w:val="23393FA7"/>
    <w:rsid w:val="233F60BE"/>
    <w:rsid w:val="2341710C"/>
    <w:rsid w:val="23641680"/>
    <w:rsid w:val="23671171"/>
    <w:rsid w:val="236B6EB3"/>
    <w:rsid w:val="2378512C"/>
    <w:rsid w:val="23A35ADA"/>
    <w:rsid w:val="23B1063E"/>
    <w:rsid w:val="23B343B6"/>
    <w:rsid w:val="23C14D25"/>
    <w:rsid w:val="23C30C83"/>
    <w:rsid w:val="23D66502"/>
    <w:rsid w:val="23DC0C09"/>
    <w:rsid w:val="23F65B92"/>
    <w:rsid w:val="23F81386"/>
    <w:rsid w:val="24101808"/>
    <w:rsid w:val="242770AF"/>
    <w:rsid w:val="242B36A1"/>
    <w:rsid w:val="243A0633"/>
    <w:rsid w:val="2468668A"/>
    <w:rsid w:val="2471674B"/>
    <w:rsid w:val="248605A3"/>
    <w:rsid w:val="2488066E"/>
    <w:rsid w:val="24885842"/>
    <w:rsid w:val="2491705B"/>
    <w:rsid w:val="24C820E3"/>
    <w:rsid w:val="24E408F9"/>
    <w:rsid w:val="24F5112A"/>
    <w:rsid w:val="25021151"/>
    <w:rsid w:val="25227A45"/>
    <w:rsid w:val="252C0E63"/>
    <w:rsid w:val="25537BFE"/>
    <w:rsid w:val="25640526"/>
    <w:rsid w:val="25761B3F"/>
    <w:rsid w:val="258A21B9"/>
    <w:rsid w:val="25A42208"/>
    <w:rsid w:val="25C51B20"/>
    <w:rsid w:val="25CB59E7"/>
    <w:rsid w:val="25D0564E"/>
    <w:rsid w:val="25DD6812"/>
    <w:rsid w:val="25F60649"/>
    <w:rsid w:val="26040EF9"/>
    <w:rsid w:val="260E522A"/>
    <w:rsid w:val="26307D7D"/>
    <w:rsid w:val="26345C82"/>
    <w:rsid w:val="26431A21"/>
    <w:rsid w:val="26555986"/>
    <w:rsid w:val="267F646A"/>
    <w:rsid w:val="2698292A"/>
    <w:rsid w:val="26AB5818"/>
    <w:rsid w:val="26AF0164"/>
    <w:rsid w:val="26D76693"/>
    <w:rsid w:val="26ED7BDF"/>
    <w:rsid w:val="27054F28"/>
    <w:rsid w:val="273B3040"/>
    <w:rsid w:val="27410762"/>
    <w:rsid w:val="27A410BB"/>
    <w:rsid w:val="27BE67A3"/>
    <w:rsid w:val="27C97FD7"/>
    <w:rsid w:val="27CC3C98"/>
    <w:rsid w:val="27D74B17"/>
    <w:rsid w:val="27E12C8A"/>
    <w:rsid w:val="27EF6969"/>
    <w:rsid w:val="280457BE"/>
    <w:rsid w:val="280C4BDA"/>
    <w:rsid w:val="28125B4F"/>
    <w:rsid w:val="281318C7"/>
    <w:rsid w:val="28885E11"/>
    <w:rsid w:val="28CF092A"/>
    <w:rsid w:val="28DE0127"/>
    <w:rsid w:val="28E04AA5"/>
    <w:rsid w:val="28FB2A87"/>
    <w:rsid w:val="290A4A78"/>
    <w:rsid w:val="292B5D48"/>
    <w:rsid w:val="294F2DD3"/>
    <w:rsid w:val="295353C5"/>
    <w:rsid w:val="29544969"/>
    <w:rsid w:val="29796F3B"/>
    <w:rsid w:val="297C7E08"/>
    <w:rsid w:val="29A079F1"/>
    <w:rsid w:val="29AC02DC"/>
    <w:rsid w:val="29C16A0B"/>
    <w:rsid w:val="2A047CEA"/>
    <w:rsid w:val="2A2953D2"/>
    <w:rsid w:val="2A3873C3"/>
    <w:rsid w:val="2A570191"/>
    <w:rsid w:val="2A8D5961"/>
    <w:rsid w:val="2AA36F32"/>
    <w:rsid w:val="2AB70C30"/>
    <w:rsid w:val="2ABC7FF4"/>
    <w:rsid w:val="2AE05752"/>
    <w:rsid w:val="2AE30C02"/>
    <w:rsid w:val="2AEB1C54"/>
    <w:rsid w:val="2AF21D4B"/>
    <w:rsid w:val="2B083876"/>
    <w:rsid w:val="2B1A2001"/>
    <w:rsid w:val="2B277B63"/>
    <w:rsid w:val="2B2B6F28"/>
    <w:rsid w:val="2B485D2C"/>
    <w:rsid w:val="2B4A3852"/>
    <w:rsid w:val="2B5446D0"/>
    <w:rsid w:val="2B8B1F0B"/>
    <w:rsid w:val="2BAB5457"/>
    <w:rsid w:val="2BD262FE"/>
    <w:rsid w:val="2BD33847"/>
    <w:rsid w:val="2BD61589"/>
    <w:rsid w:val="2BF6277A"/>
    <w:rsid w:val="2C0E487F"/>
    <w:rsid w:val="2C206C76"/>
    <w:rsid w:val="2C320A55"/>
    <w:rsid w:val="2C352792"/>
    <w:rsid w:val="2C3A1B18"/>
    <w:rsid w:val="2C453E2B"/>
    <w:rsid w:val="2C46226B"/>
    <w:rsid w:val="2C58554A"/>
    <w:rsid w:val="2C5A3F68"/>
    <w:rsid w:val="2C7843EE"/>
    <w:rsid w:val="2C8B2374"/>
    <w:rsid w:val="2C92725E"/>
    <w:rsid w:val="2C9A4429"/>
    <w:rsid w:val="2CAD4098"/>
    <w:rsid w:val="2CB05936"/>
    <w:rsid w:val="2CB92FBA"/>
    <w:rsid w:val="2CE42449"/>
    <w:rsid w:val="2CF901CB"/>
    <w:rsid w:val="2D2370D4"/>
    <w:rsid w:val="2D265BF9"/>
    <w:rsid w:val="2D2740C8"/>
    <w:rsid w:val="2D2F71A3"/>
    <w:rsid w:val="2D306A77"/>
    <w:rsid w:val="2D340315"/>
    <w:rsid w:val="2D3B78F6"/>
    <w:rsid w:val="2D486F18"/>
    <w:rsid w:val="2D577458"/>
    <w:rsid w:val="2D594220"/>
    <w:rsid w:val="2D5C5ABE"/>
    <w:rsid w:val="2D7E3C87"/>
    <w:rsid w:val="2D93752A"/>
    <w:rsid w:val="2D990AC0"/>
    <w:rsid w:val="2DB17BB8"/>
    <w:rsid w:val="2DB9081B"/>
    <w:rsid w:val="2DD1025A"/>
    <w:rsid w:val="2DDC1CCB"/>
    <w:rsid w:val="2DDE0530"/>
    <w:rsid w:val="2E085537"/>
    <w:rsid w:val="2E0C4417"/>
    <w:rsid w:val="2E1B1D88"/>
    <w:rsid w:val="2E232138"/>
    <w:rsid w:val="2E374353"/>
    <w:rsid w:val="2E382087"/>
    <w:rsid w:val="2E3A07E4"/>
    <w:rsid w:val="2E5549E7"/>
    <w:rsid w:val="2E5E3E0E"/>
    <w:rsid w:val="2E692241"/>
    <w:rsid w:val="2E6B420B"/>
    <w:rsid w:val="2E6D7F83"/>
    <w:rsid w:val="2E75396A"/>
    <w:rsid w:val="2E813A2E"/>
    <w:rsid w:val="2E8250B1"/>
    <w:rsid w:val="2E8361EB"/>
    <w:rsid w:val="2E8C5556"/>
    <w:rsid w:val="2E9229F1"/>
    <w:rsid w:val="2E941350"/>
    <w:rsid w:val="2EC04496"/>
    <w:rsid w:val="2EFF4F8F"/>
    <w:rsid w:val="2F0852D9"/>
    <w:rsid w:val="2F1523C9"/>
    <w:rsid w:val="2F2B1BEC"/>
    <w:rsid w:val="2F34313F"/>
    <w:rsid w:val="2F6D69D8"/>
    <w:rsid w:val="2F6F7D2B"/>
    <w:rsid w:val="2F7C5537"/>
    <w:rsid w:val="2F833C5A"/>
    <w:rsid w:val="2F8F68D7"/>
    <w:rsid w:val="2FB11F26"/>
    <w:rsid w:val="2FC00586"/>
    <w:rsid w:val="2FDC53A2"/>
    <w:rsid w:val="300C557A"/>
    <w:rsid w:val="30135574"/>
    <w:rsid w:val="30152FAF"/>
    <w:rsid w:val="3015322F"/>
    <w:rsid w:val="301A429D"/>
    <w:rsid w:val="302C4EBE"/>
    <w:rsid w:val="30360848"/>
    <w:rsid w:val="30367619"/>
    <w:rsid w:val="305F6F86"/>
    <w:rsid w:val="308B46F0"/>
    <w:rsid w:val="308E5F8F"/>
    <w:rsid w:val="30B17ECF"/>
    <w:rsid w:val="30B3092F"/>
    <w:rsid w:val="30C3032E"/>
    <w:rsid w:val="30C916BD"/>
    <w:rsid w:val="30C9346B"/>
    <w:rsid w:val="30D07DE1"/>
    <w:rsid w:val="30D96948"/>
    <w:rsid w:val="30E958BB"/>
    <w:rsid w:val="30F007E1"/>
    <w:rsid w:val="30F94D68"/>
    <w:rsid w:val="3112096E"/>
    <w:rsid w:val="311C359A"/>
    <w:rsid w:val="311C7A3E"/>
    <w:rsid w:val="31210BB1"/>
    <w:rsid w:val="31374878"/>
    <w:rsid w:val="314125EF"/>
    <w:rsid w:val="3166431F"/>
    <w:rsid w:val="316F69AC"/>
    <w:rsid w:val="31773A54"/>
    <w:rsid w:val="31837ABD"/>
    <w:rsid w:val="3186159C"/>
    <w:rsid w:val="318D4498"/>
    <w:rsid w:val="31945827"/>
    <w:rsid w:val="319C0B7F"/>
    <w:rsid w:val="31A31F0E"/>
    <w:rsid w:val="31AA329C"/>
    <w:rsid w:val="31C816DA"/>
    <w:rsid w:val="31CA56EC"/>
    <w:rsid w:val="31D831CF"/>
    <w:rsid w:val="31F2254D"/>
    <w:rsid w:val="32024E86"/>
    <w:rsid w:val="32144BB9"/>
    <w:rsid w:val="321C6951"/>
    <w:rsid w:val="321C75CA"/>
    <w:rsid w:val="32270449"/>
    <w:rsid w:val="3267118D"/>
    <w:rsid w:val="3268123E"/>
    <w:rsid w:val="32706D71"/>
    <w:rsid w:val="32764EA2"/>
    <w:rsid w:val="32894C60"/>
    <w:rsid w:val="329674B7"/>
    <w:rsid w:val="3299636E"/>
    <w:rsid w:val="32A24F93"/>
    <w:rsid w:val="32C13713"/>
    <w:rsid w:val="32DB220F"/>
    <w:rsid w:val="32E00973"/>
    <w:rsid w:val="32EB76C8"/>
    <w:rsid w:val="32EE71B8"/>
    <w:rsid w:val="330B29DF"/>
    <w:rsid w:val="331D76E7"/>
    <w:rsid w:val="3328091C"/>
    <w:rsid w:val="332D769C"/>
    <w:rsid w:val="33456DAC"/>
    <w:rsid w:val="33490893"/>
    <w:rsid w:val="33603545"/>
    <w:rsid w:val="337F4D10"/>
    <w:rsid w:val="33990B5D"/>
    <w:rsid w:val="33A31D51"/>
    <w:rsid w:val="33B33157"/>
    <w:rsid w:val="33BF3D74"/>
    <w:rsid w:val="33D4015C"/>
    <w:rsid w:val="33DE0FDB"/>
    <w:rsid w:val="33E72714"/>
    <w:rsid w:val="33F20F2A"/>
    <w:rsid w:val="33F24A86"/>
    <w:rsid w:val="33F26834"/>
    <w:rsid w:val="33FB7DDF"/>
    <w:rsid w:val="34480B4A"/>
    <w:rsid w:val="34607C42"/>
    <w:rsid w:val="3472121E"/>
    <w:rsid w:val="348222AE"/>
    <w:rsid w:val="3482405C"/>
    <w:rsid w:val="34865FFF"/>
    <w:rsid w:val="3489363D"/>
    <w:rsid w:val="34A838F8"/>
    <w:rsid w:val="34C24459"/>
    <w:rsid w:val="34D50630"/>
    <w:rsid w:val="34D80120"/>
    <w:rsid w:val="35081CEA"/>
    <w:rsid w:val="35092088"/>
    <w:rsid w:val="351A4295"/>
    <w:rsid w:val="352944D8"/>
    <w:rsid w:val="35307958"/>
    <w:rsid w:val="353351EF"/>
    <w:rsid w:val="35335387"/>
    <w:rsid w:val="353D6627"/>
    <w:rsid w:val="353E3220"/>
    <w:rsid w:val="35466E38"/>
    <w:rsid w:val="35702107"/>
    <w:rsid w:val="35951B6D"/>
    <w:rsid w:val="35AE2C2F"/>
    <w:rsid w:val="35B4082B"/>
    <w:rsid w:val="35BA7826"/>
    <w:rsid w:val="35C0308E"/>
    <w:rsid w:val="35E82BFF"/>
    <w:rsid w:val="35F76384"/>
    <w:rsid w:val="36012288"/>
    <w:rsid w:val="360768F8"/>
    <w:rsid w:val="360C62D3"/>
    <w:rsid w:val="361677A7"/>
    <w:rsid w:val="36226C5B"/>
    <w:rsid w:val="36462C49"/>
    <w:rsid w:val="36631C6B"/>
    <w:rsid w:val="36734C60"/>
    <w:rsid w:val="367D2D2D"/>
    <w:rsid w:val="369D7C73"/>
    <w:rsid w:val="36B42B6C"/>
    <w:rsid w:val="36D15C9E"/>
    <w:rsid w:val="36D93CDC"/>
    <w:rsid w:val="370C2303"/>
    <w:rsid w:val="37154EA7"/>
    <w:rsid w:val="37184804"/>
    <w:rsid w:val="37265173"/>
    <w:rsid w:val="372707A0"/>
    <w:rsid w:val="373F4487"/>
    <w:rsid w:val="376E08C8"/>
    <w:rsid w:val="37731622"/>
    <w:rsid w:val="37757DAA"/>
    <w:rsid w:val="378620B5"/>
    <w:rsid w:val="379540A7"/>
    <w:rsid w:val="379B3D03"/>
    <w:rsid w:val="37B7401D"/>
    <w:rsid w:val="37C31FF8"/>
    <w:rsid w:val="37DC7A53"/>
    <w:rsid w:val="37EC020A"/>
    <w:rsid w:val="382C7DC4"/>
    <w:rsid w:val="38392F3B"/>
    <w:rsid w:val="383D2808"/>
    <w:rsid w:val="38427439"/>
    <w:rsid w:val="384653A1"/>
    <w:rsid w:val="387D205C"/>
    <w:rsid w:val="38832151"/>
    <w:rsid w:val="388432BD"/>
    <w:rsid w:val="38A547BD"/>
    <w:rsid w:val="38EF0AEC"/>
    <w:rsid w:val="391858B6"/>
    <w:rsid w:val="391D07F7"/>
    <w:rsid w:val="39257682"/>
    <w:rsid w:val="392751D2"/>
    <w:rsid w:val="3942025E"/>
    <w:rsid w:val="396E2E01"/>
    <w:rsid w:val="39A131D7"/>
    <w:rsid w:val="39B85420"/>
    <w:rsid w:val="39C80F88"/>
    <w:rsid w:val="39FC7E7C"/>
    <w:rsid w:val="3A053FB1"/>
    <w:rsid w:val="3A2A4F7A"/>
    <w:rsid w:val="3A2E128F"/>
    <w:rsid w:val="3A2E21B4"/>
    <w:rsid w:val="3A3E27D3"/>
    <w:rsid w:val="3A414072"/>
    <w:rsid w:val="3A4A73CA"/>
    <w:rsid w:val="3A575643"/>
    <w:rsid w:val="3A63223A"/>
    <w:rsid w:val="3A777CB4"/>
    <w:rsid w:val="3A8D69D4"/>
    <w:rsid w:val="3AAF1923"/>
    <w:rsid w:val="3AB6680E"/>
    <w:rsid w:val="3AC0143A"/>
    <w:rsid w:val="3ACD1DA9"/>
    <w:rsid w:val="3AD9074E"/>
    <w:rsid w:val="3AD938A0"/>
    <w:rsid w:val="3B0438CA"/>
    <w:rsid w:val="3B312DF4"/>
    <w:rsid w:val="3B392F9B"/>
    <w:rsid w:val="3B445ECE"/>
    <w:rsid w:val="3B516536"/>
    <w:rsid w:val="3B9308FD"/>
    <w:rsid w:val="3BB014AF"/>
    <w:rsid w:val="3BC67F46"/>
    <w:rsid w:val="3C015151"/>
    <w:rsid w:val="3C025A83"/>
    <w:rsid w:val="3C3C71E7"/>
    <w:rsid w:val="3C42130E"/>
    <w:rsid w:val="3C43388C"/>
    <w:rsid w:val="3C446708"/>
    <w:rsid w:val="3C534279"/>
    <w:rsid w:val="3C7921E9"/>
    <w:rsid w:val="3CF278A5"/>
    <w:rsid w:val="3D037A10"/>
    <w:rsid w:val="3D146365"/>
    <w:rsid w:val="3D2008B6"/>
    <w:rsid w:val="3D22018A"/>
    <w:rsid w:val="3D2E67C7"/>
    <w:rsid w:val="3D2F28A7"/>
    <w:rsid w:val="3D406863"/>
    <w:rsid w:val="3D7634AA"/>
    <w:rsid w:val="3D9646D4"/>
    <w:rsid w:val="3D9D390F"/>
    <w:rsid w:val="3D9F17DB"/>
    <w:rsid w:val="3DA43295"/>
    <w:rsid w:val="3DBA4867"/>
    <w:rsid w:val="3DE73182"/>
    <w:rsid w:val="3DFD6502"/>
    <w:rsid w:val="3DFE1799"/>
    <w:rsid w:val="3E0755F5"/>
    <w:rsid w:val="3E083824"/>
    <w:rsid w:val="3E0C4997"/>
    <w:rsid w:val="3E155F41"/>
    <w:rsid w:val="3E361D57"/>
    <w:rsid w:val="3E3D0FF4"/>
    <w:rsid w:val="3E5D4A55"/>
    <w:rsid w:val="3E6B3DB3"/>
    <w:rsid w:val="3E6E11AD"/>
    <w:rsid w:val="3E8B6203"/>
    <w:rsid w:val="3E957E30"/>
    <w:rsid w:val="3EAE65E9"/>
    <w:rsid w:val="3EAF4ABF"/>
    <w:rsid w:val="3EB94B1E"/>
    <w:rsid w:val="3EDE4585"/>
    <w:rsid w:val="3EEB27FE"/>
    <w:rsid w:val="3EF21DDE"/>
    <w:rsid w:val="3F067638"/>
    <w:rsid w:val="3F3D38B8"/>
    <w:rsid w:val="3F4B055B"/>
    <w:rsid w:val="3F4F7231"/>
    <w:rsid w:val="3F520365"/>
    <w:rsid w:val="3F54165D"/>
    <w:rsid w:val="3F5E0662"/>
    <w:rsid w:val="3F604F9A"/>
    <w:rsid w:val="3F7C0431"/>
    <w:rsid w:val="3F8E7D59"/>
    <w:rsid w:val="3F904654"/>
    <w:rsid w:val="3F9D61EE"/>
    <w:rsid w:val="3FA44261"/>
    <w:rsid w:val="3FAF1A7E"/>
    <w:rsid w:val="3FB733DA"/>
    <w:rsid w:val="3FB84B18"/>
    <w:rsid w:val="3FCE45FA"/>
    <w:rsid w:val="3FD10984"/>
    <w:rsid w:val="3FF73B50"/>
    <w:rsid w:val="400242A3"/>
    <w:rsid w:val="4010076E"/>
    <w:rsid w:val="40112738"/>
    <w:rsid w:val="40155D85"/>
    <w:rsid w:val="402C30CE"/>
    <w:rsid w:val="402F0C61"/>
    <w:rsid w:val="40520D87"/>
    <w:rsid w:val="40523B6B"/>
    <w:rsid w:val="40532D51"/>
    <w:rsid w:val="406B1E48"/>
    <w:rsid w:val="407D3DCA"/>
    <w:rsid w:val="40833636"/>
    <w:rsid w:val="4084115C"/>
    <w:rsid w:val="408B24EB"/>
    <w:rsid w:val="40955117"/>
    <w:rsid w:val="409B299D"/>
    <w:rsid w:val="40CB25DA"/>
    <w:rsid w:val="40E439A9"/>
    <w:rsid w:val="40FF07E3"/>
    <w:rsid w:val="410A340F"/>
    <w:rsid w:val="412D5350"/>
    <w:rsid w:val="412E258A"/>
    <w:rsid w:val="413C37E5"/>
    <w:rsid w:val="413E130B"/>
    <w:rsid w:val="41432DC5"/>
    <w:rsid w:val="41AA2E44"/>
    <w:rsid w:val="41B30EB9"/>
    <w:rsid w:val="41C37A62"/>
    <w:rsid w:val="41CA0DF1"/>
    <w:rsid w:val="41CF45D2"/>
    <w:rsid w:val="41D57EC1"/>
    <w:rsid w:val="41E2317E"/>
    <w:rsid w:val="41FD11C6"/>
    <w:rsid w:val="42017A64"/>
    <w:rsid w:val="42091919"/>
    <w:rsid w:val="42170A15"/>
    <w:rsid w:val="4217543A"/>
    <w:rsid w:val="422449A5"/>
    <w:rsid w:val="422D009D"/>
    <w:rsid w:val="4230334A"/>
    <w:rsid w:val="42336996"/>
    <w:rsid w:val="42611755"/>
    <w:rsid w:val="42725710"/>
    <w:rsid w:val="42962BD1"/>
    <w:rsid w:val="429B3C85"/>
    <w:rsid w:val="42A72EE0"/>
    <w:rsid w:val="42AE4A89"/>
    <w:rsid w:val="42BC4BDD"/>
    <w:rsid w:val="42BF647C"/>
    <w:rsid w:val="43067209"/>
    <w:rsid w:val="43195B8C"/>
    <w:rsid w:val="433E55F2"/>
    <w:rsid w:val="434626F9"/>
    <w:rsid w:val="436314FD"/>
    <w:rsid w:val="43686B13"/>
    <w:rsid w:val="436A63E7"/>
    <w:rsid w:val="4374370A"/>
    <w:rsid w:val="437810D2"/>
    <w:rsid w:val="43814710"/>
    <w:rsid w:val="439E68D7"/>
    <w:rsid w:val="43AA712C"/>
    <w:rsid w:val="43DB5537"/>
    <w:rsid w:val="43E97C54"/>
    <w:rsid w:val="43ED0DC6"/>
    <w:rsid w:val="43F453AD"/>
    <w:rsid w:val="43FC0886"/>
    <w:rsid w:val="43FD54AD"/>
    <w:rsid w:val="43FF3DCD"/>
    <w:rsid w:val="44022F83"/>
    <w:rsid w:val="440305EA"/>
    <w:rsid w:val="440920A4"/>
    <w:rsid w:val="44202F4A"/>
    <w:rsid w:val="44205EDD"/>
    <w:rsid w:val="442229E7"/>
    <w:rsid w:val="442C7B41"/>
    <w:rsid w:val="442D05C6"/>
    <w:rsid w:val="442F7D00"/>
    <w:rsid w:val="443C10EF"/>
    <w:rsid w:val="443F223E"/>
    <w:rsid w:val="44520091"/>
    <w:rsid w:val="445F6638"/>
    <w:rsid w:val="446E63AB"/>
    <w:rsid w:val="449D27EC"/>
    <w:rsid w:val="44A45929"/>
    <w:rsid w:val="44AD0C81"/>
    <w:rsid w:val="44B85878"/>
    <w:rsid w:val="44D206E8"/>
    <w:rsid w:val="44DC50C3"/>
    <w:rsid w:val="44E67CEF"/>
    <w:rsid w:val="45126FAA"/>
    <w:rsid w:val="451A5BEB"/>
    <w:rsid w:val="452151CC"/>
    <w:rsid w:val="452544E9"/>
    <w:rsid w:val="45316E9A"/>
    <w:rsid w:val="453C3DB3"/>
    <w:rsid w:val="453E79A8"/>
    <w:rsid w:val="45492A91"/>
    <w:rsid w:val="454C7114"/>
    <w:rsid w:val="455963EA"/>
    <w:rsid w:val="455C00D8"/>
    <w:rsid w:val="4570065B"/>
    <w:rsid w:val="457572C5"/>
    <w:rsid w:val="458C355D"/>
    <w:rsid w:val="45921C25"/>
    <w:rsid w:val="45B85B30"/>
    <w:rsid w:val="45E05087"/>
    <w:rsid w:val="460074D7"/>
    <w:rsid w:val="4629258A"/>
    <w:rsid w:val="464253F9"/>
    <w:rsid w:val="467031F0"/>
    <w:rsid w:val="4674757D"/>
    <w:rsid w:val="46762775"/>
    <w:rsid w:val="46841EB6"/>
    <w:rsid w:val="46980FF1"/>
    <w:rsid w:val="46992276"/>
    <w:rsid w:val="46AD63B2"/>
    <w:rsid w:val="46B2048A"/>
    <w:rsid w:val="46C563F1"/>
    <w:rsid w:val="46CB4810"/>
    <w:rsid w:val="46CC0D09"/>
    <w:rsid w:val="46CF3C92"/>
    <w:rsid w:val="46DE0AE4"/>
    <w:rsid w:val="46DE2CE2"/>
    <w:rsid w:val="46EB783F"/>
    <w:rsid w:val="46FE3A16"/>
    <w:rsid w:val="46FF153C"/>
    <w:rsid w:val="471F1BDF"/>
    <w:rsid w:val="4729480B"/>
    <w:rsid w:val="475C272B"/>
    <w:rsid w:val="479C11D6"/>
    <w:rsid w:val="479D0A65"/>
    <w:rsid w:val="47A65DAE"/>
    <w:rsid w:val="47C10059"/>
    <w:rsid w:val="47DB3D58"/>
    <w:rsid w:val="47DC2A90"/>
    <w:rsid w:val="47EF54ED"/>
    <w:rsid w:val="48180B08"/>
    <w:rsid w:val="48276F9D"/>
    <w:rsid w:val="483376F0"/>
    <w:rsid w:val="483857BB"/>
    <w:rsid w:val="484511D1"/>
    <w:rsid w:val="485458B8"/>
    <w:rsid w:val="48607460"/>
    <w:rsid w:val="486C6E37"/>
    <w:rsid w:val="487B5B3E"/>
    <w:rsid w:val="489108BA"/>
    <w:rsid w:val="48965ED0"/>
    <w:rsid w:val="48967C7F"/>
    <w:rsid w:val="48A64365"/>
    <w:rsid w:val="48B142E8"/>
    <w:rsid w:val="48B3438D"/>
    <w:rsid w:val="48DD765B"/>
    <w:rsid w:val="49146BE5"/>
    <w:rsid w:val="49153299"/>
    <w:rsid w:val="492C413F"/>
    <w:rsid w:val="492E5776"/>
    <w:rsid w:val="4964727B"/>
    <w:rsid w:val="49656BC0"/>
    <w:rsid w:val="49675177"/>
    <w:rsid w:val="496E484D"/>
    <w:rsid w:val="497E16E5"/>
    <w:rsid w:val="49BD71F0"/>
    <w:rsid w:val="49BE0DDD"/>
    <w:rsid w:val="49C3504F"/>
    <w:rsid w:val="49C46DC5"/>
    <w:rsid w:val="49DC7913"/>
    <w:rsid w:val="49DF5F0E"/>
    <w:rsid w:val="49EB10FC"/>
    <w:rsid w:val="4A026538"/>
    <w:rsid w:val="4A080708"/>
    <w:rsid w:val="4A144CB5"/>
    <w:rsid w:val="4A1B48DF"/>
    <w:rsid w:val="4A2C2290"/>
    <w:rsid w:val="4A4500C5"/>
    <w:rsid w:val="4A537640"/>
    <w:rsid w:val="4A6E0EB3"/>
    <w:rsid w:val="4A8C3459"/>
    <w:rsid w:val="4A8E3303"/>
    <w:rsid w:val="4AAF202F"/>
    <w:rsid w:val="4AB12B4E"/>
    <w:rsid w:val="4AC263F5"/>
    <w:rsid w:val="4AC4752B"/>
    <w:rsid w:val="4AE44CD1"/>
    <w:rsid w:val="4AE46393"/>
    <w:rsid w:val="4AE922E8"/>
    <w:rsid w:val="4AF13892"/>
    <w:rsid w:val="4AFD1577"/>
    <w:rsid w:val="4B090BDC"/>
    <w:rsid w:val="4B1A51A0"/>
    <w:rsid w:val="4B3D2633"/>
    <w:rsid w:val="4B83273C"/>
    <w:rsid w:val="4B9E7576"/>
    <w:rsid w:val="4B9F3EF1"/>
    <w:rsid w:val="4BA565AA"/>
    <w:rsid w:val="4BC108B4"/>
    <w:rsid w:val="4BC74135"/>
    <w:rsid w:val="4BDA60D4"/>
    <w:rsid w:val="4BF41D25"/>
    <w:rsid w:val="4C0F5C1B"/>
    <w:rsid w:val="4C2B4251"/>
    <w:rsid w:val="4C5C2F8D"/>
    <w:rsid w:val="4C63256E"/>
    <w:rsid w:val="4C9444D5"/>
    <w:rsid w:val="4CA94424"/>
    <w:rsid w:val="4CDB0356"/>
    <w:rsid w:val="4CE23316"/>
    <w:rsid w:val="4D062129"/>
    <w:rsid w:val="4D075010"/>
    <w:rsid w:val="4D167CC4"/>
    <w:rsid w:val="4D1B4660"/>
    <w:rsid w:val="4D210E1E"/>
    <w:rsid w:val="4D4B54DB"/>
    <w:rsid w:val="4D5713F5"/>
    <w:rsid w:val="4D5819A6"/>
    <w:rsid w:val="4D6A0BF8"/>
    <w:rsid w:val="4D737643"/>
    <w:rsid w:val="4D761C2A"/>
    <w:rsid w:val="4D9724CF"/>
    <w:rsid w:val="4D9B7610"/>
    <w:rsid w:val="4DC922B7"/>
    <w:rsid w:val="4DF200CA"/>
    <w:rsid w:val="4DF415C1"/>
    <w:rsid w:val="4DFA480C"/>
    <w:rsid w:val="4DFC3E30"/>
    <w:rsid w:val="4E092CA1"/>
    <w:rsid w:val="4E151645"/>
    <w:rsid w:val="4E2D2E33"/>
    <w:rsid w:val="4E3C70E2"/>
    <w:rsid w:val="4E3E6DEE"/>
    <w:rsid w:val="4E467A51"/>
    <w:rsid w:val="4E4F5928"/>
    <w:rsid w:val="4E524443"/>
    <w:rsid w:val="4E594142"/>
    <w:rsid w:val="4E850579"/>
    <w:rsid w:val="4E854326"/>
    <w:rsid w:val="4EC1279B"/>
    <w:rsid w:val="4EC45870"/>
    <w:rsid w:val="4EC513FE"/>
    <w:rsid w:val="4EC70B92"/>
    <w:rsid w:val="4EC8490A"/>
    <w:rsid w:val="4ED12CAF"/>
    <w:rsid w:val="4ED4361A"/>
    <w:rsid w:val="4ED97A1F"/>
    <w:rsid w:val="4EDA656A"/>
    <w:rsid w:val="4EEE1338"/>
    <w:rsid w:val="4F035942"/>
    <w:rsid w:val="4F1C34EA"/>
    <w:rsid w:val="4F2E69C1"/>
    <w:rsid w:val="4F377967"/>
    <w:rsid w:val="4F3A01B4"/>
    <w:rsid w:val="4F5E27FE"/>
    <w:rsid w:val="4F7253F0"/>
    <w:rsid w:val="4F846A83"/>
    <w:rsid w:val="4F93316A"/>
    <w:rsid w:val="4FBD2996"/>
    <w:rsid w:val="4FD53E87"/>
    <w:rsid w:val="501B05E0"/>
    <w:rsid w:val="50265D8C"/>
    <w:rsid w:val="505234CE"/>
    <w:rsid w:val="507636B6"/>
    <w:rsid w:val="507C3BFE"/>
    <w:rsid w:val="508B3E41"/>
    <w:rsid w:val="50A15412"/>
    <w:rsid w:val="50A64541"/>
    <w:rsid w:val="50BC3FFA"/>
    <w:rsid w:val="50C2365C"/>
    <w:rsid w:val="50C87D62"/>
    <w:rsid w:val="50F33EC0"/>
    <w:rsid w:val="50F6670E"/>
    <w:rsid w:val="51165E00"/>
    <w:rsid w:val="512E29CE"/>
    <w:rsid w:val="5146190B"/>
    <w:rsid w:val="51500F8C"/>
    <w:rsid w:val="51544BCE"/>
    <w:rsid w:val="51791EEB"/>
    <w:rsid w:val="517E3CFA"/>
    <w:rsid w:val="518E38C6"/>
    <w:rsid w:val="5192770D"/>
    <w:rsid w:val="51B00003"/>
    <w:rsid w:val="51C67372"/>
    <w:rsid w:val="51CB2ADF"/>
    <w:rsid w:val="51EC53F1"/>
    <w:rsid w:val="52086A3F"/>
    <w:rsid w:val="52441B24"/>
    <w:rsid w:val="52512E21"/>
    <w:rsid w:val="52522E68"/>
    <w:rsid w:val="52554706"/>
    <w:rsid w:val="525B3B3A"/>
    <w:rsid w:val="525F70E4"/>
    <w:rsid w:val="526A6404"/>
    <w:rsid w:val="5275209D"/>
    <w:rsid w:val="527C6137"/>
    <w:rsid w:val="528563E5"/>
    <w:rsid w:val="5292702A"/>
    <w:rsid w:val="52A82BD4"/>
    <w:rsid w:val="52AC4CB5"/>
    <w:rsid w:val="52B63CA5"/>
    <w:rsid w:val="52B94C95"/>
    <w:rsid w:val="52D47D21"/>
    <w:rsid w:val="52E53CDC"/>
    <w:rsid w:val="52F549BB"/>
    <w:rsid w:val="531E71EE"/>
    <w:rsid w:val="532A16EF"/>
    <w:rsid w:val="535E0197"/>
    <w:rsid w:val="535E6182"/>
    <w:rsid w:val="536410A5"/>
    <w:rsid w:val="53645F00"/>
    <w:rsid w:val="537D0AA5"/>
    <w:rsid w:val="53901E9A"/>
    <w:rsid w:val="53A25729"/>
    <w:rsid w:val="53BF765F"/>
    <w:rsid w:val="53C90F08"/>
    <w:rsid w:val="53FA34C3"/>
    <w:rsid w:val="53FB0F0D"/>
    <w:rsid w:val="54024D3B"/>
    <w:rsid w:val="54025286"/>
    <w:rsid w:val="54106B37"/>
    <w:rsid w:val="5429279F"/>
    <w:rsid w:val="54436F0C"/>
    <w:rsid w:val="546952CE"/>
    <w:rsid w:val="546E7D01"/>
    <w:rsid w:val="54741A0D"/>
    <w:rsid w:val="54770964"/>
    <w:rsid w:val="54866D96"/>
    <w:rsid w:val="54996B2C"/>
    <w:rsid w:val="549A0AF6"/>
    <w:rsid w:val="54A34230"/>
    <w:rsid w:val="54C85664"/>
    <w:rsid w:val="54CC34BC"/>
    <w:rsid w:val="54D67D81"/>
    <w:rsid w:val="54DF3704"/>
    <w:rsid w:val="54E51D72"/>
    <w:rsid w:val="54EB1C09"/>
    <w:rsid w:val="552F6CA7"/>
    <w:rsid w:val="55370461"/>
    <w:rsid w:val="554C1DF1"/>
    <w:rsid w:val="5559450E"/>
    <w:rsid w:val="555B0286"/>
    <w:rsid w:val="55733821"/>
    <w:rsid w:val="55780E38"/>
    <w:rsid w:val="55852E62"/>
    <w:rsid w:val="558E2409"/>
    <w:rsid w:val="55A21A11"/>
    <w:rsid w:val="55AB2A19"/>
    <w:rsid w:val="55BD676B"/>
    <w:rsid w:val="55E4007F"/>
    <w:rsid w:val="55F10BEA"/>
    <w:rsid w:val="561623FF"/>
    <w:rsid w:val="561F417C"/>
    <w:rsid w:val="56331779"/>
    <w:rsid w:val="56546ACF"/>
    <w:rsid w:val="566179D6"/>
    <w:rsid w:val="567A473C"/>
    <w:rsid w:val="56811F6E"/>
    <w:rsid w:val="568D26C1"/>
    <w:rsid w:val="568F32C7"/>
    <w:rsid w:val="569B1361"/>
    <w:rsid w:val="56B0568C"/>
    <w:rsid w:val="56BA73D7"/>
    <w:rsid w:val="56E46059"/>
    <w:rsid w:val="56F269C8"/>
    <w:rsid w:val="5705494D"/>
    <w:rsid w:val="571D00AA"/>
    <w:rsid w:val="572B1EDA"/>
    <w:rsid w:val="573A47F4"/>
    <w:rsid w:val="574C257C"/>
    <w:rsid w:val="5753390A"/>
    <w:rsid w:val="57580F21"/>
    <w:rsid w:val="576C5B65"/>
    <w:rsid w:val="577D0633"/>
    <w:rsid w:val="579932E7"/>
    <w:rsid w:val="57AD28EF"/>
    <w:rsid w:val="57AF6667"/>
    <w:rsid w:val="57E3272C"/>
    <w:rsid w:val="57EA4382"/>
    <w:rsid w:val="57F54BF5"/>
    <w:rsid w:val="58141B8C"/>
    <w:rsid w:val="583059FA"/>
    <w:rsid w:val="58313C22"/>
    <w:rsid w:val="58472D78"/>
    <w:rsid w:val="584F129D"/>
    <w:rsid w:val="585B234B"/>
    <w:rsid w:val="589615CC"/>
    <w:rsid w:val="589B3DBF"/>
    <w:rsid w:val="58A91308"/>
    <w:rsid w:val="58B55EFF"/>
    <w:rsid w:val="58B96858"/>
    <w:rsid w:val="58BE1257"/>
    <w:rsid w:val="58F46A27"/>
    <w:rsid w:val="58F9403E"/>
    <w:rsid w:val="590824D3"/>
    <w:rsid w:val="590D5D3B"/>
    <w:rsid w:val="5914321D"/>
    <w:rsid w:val="592117E6"/>
    <w:rsid w:val="59232E69"/>
    <w:rsid w:val="59253085"/>
    <w:rsid w:val="593E5EF4"/>
    <w:rsid w:val="59411241"/>
    <w:rsid w:val="594A497B"/>
    <w:rsid w:val="59575208"/>
    <w:rsid w:val="595C637A"/>
    <w:rsid w:val="59653E3B"/>
    <w:rsid w:val="596F1F91"/>
    <w:rsid w:val="59851D75"/>
    <w:rsid w:val="598F49A2"/>
    <w:rsid w:val="5991029A"/>
    <w:rsid w:val="59A321FB"/>
    <w:rsid w:val="59B879AF"/>
    <w:rsid w:val="59C04A47"/>
    <w:rsid w:val="59C503C4"/>
    <w:rsid w:val="59EF5441"/>
    <w:rsid w:val="5A0A5DD6"/>
    <w:rsid w:val="5A133292"/>
    <w:rsid w:val="5A1B7FE4"/>
    <w:rsid w:val="5A5A4FB0"/>
    <w:rsid w:val="5A6E45B7"/>
    <w:rsid w:val="5AA858A8"/>
    <w:rsid w:val="5AB741B0"/>
    <w:rsid w:val="5AB83A84"/>
    <w:rsid w:val="5ABB5323"/>
    <w:rsid w:val="5ACE32A8"/>
    <w:rsid w:val="5AD54636"/>
    <w:rsid w:val="5AE86F4F"/>
    <w:rsid w:val="5B1C7751"/>
    <w:rsid w:val="5B2D48AB"/>
    <w:rsid w:val="5B3D3F8A"/>
    <w:rsid w:val="5B6559BA"/>
    <w:rsid w:val="5B902085"/>
    <w:rsid w:val="5BA079F2"/>
    <w:rsid w:val="5BBF6E70"/>
    <w:rsid w:val="5BC24CC9"/>
    <w:rsid w:val="5BC709E7"/>
    <w:rsid w:val="5BE865EB"/>
    <w:rsid w:val="5BED775E"/>
    <w:rsid w:val="5BF153D2"/>
    <w:rsid w:val="5C25514A"/>
    <w:rsid w:val="5C311D40"/>
    <w:rsid w:val="5C3655A9"/>
    <w:rsid w:val="5C483518"/>
    <w:rsid w:val="5C487CC4"/>
    <w:rsid w:val="5C5510FA"/>
    <w:rsid w:val="5C587C12"/>
    <w:rsid w:val="5C5C1504"/>
    <w:rsid w:val="5C837D51"/>
    <w:rsid w:val="5CAE513F"/>
    <w:rsid w:val="5CB87D6C"/>
    <w:rsid w:val="5CC10887"/>
    <w:rsid w:val="5CDA4186"/>
    <w:rsid w:val="5CDA5F34"/>
    <w:rsid w:val="5CE74D44"/>
    <w:rsid w:val="5CFE1B98"/>
    <w:rsid w:val="5D1D4073"/>
    <w:rsid w:val="5D1E3C46"/>
    <w:rsid w:val="5D292A17"/>
    <w:rsid w:val="5D5061F6"/>
    <w:rsid w:val="5D5E0913"/>
    <w:rsid w:val="5D610C29"/>
    <w:rsid w:val="5D755C5D"/>
    <w:rsid w:val="5D775E79"/>
    <w:rsid w:val="5D9D59DD"/>
    <w:rsid w:val="5DC664B8"/>
    <w:rsid w:val="5DD21301"/>
    <w:rsid w:val="5DDD192E"/>
    <w:rsid w:val="5DE132F2"/>
    <w:rsid w:val="5DED13CF"/>
    <w:rsid w:val="5DFC7C4C"/>
    <w:rsid w:val="5E0569C2"/>
    <w:rsid w:val="5E1B6804"/>
    <w:rsid w:val="5E23390B"/>
    <w:rsid w:val="5E3F50EA"/>
    <w:rsid w:val="5E4C10B3"/>
    <w:rsid w:val="5E661B27"/>
    <w:rsid w:val="5E851595"/>
    <w:rsid w:val="5E916AC6"/>
    <w:rsid w:val="5E9B16F3"/>
    <w:rsid w:val="5E9B7945"/>
    <w:rsid w:val="5E9C49F5"/>
    <w:rsid w:val="5E9C6940"/>
    <w:rsid w:val="5E9F11E3"/>
    <w:rsid w:val="5ED436C7"/>
    <w:rsid w:val="5EDA221B"/>
    <w:rsid w:val="5EE17A4E"/>
    <w:rsid w:val="5EF0242E"/>
    <w:rsid w:val="5F0E0117"/>
    <w:rsid w:val="5F125E59"/>
    <w:rsid w:val="5F1F6E28"/>
    <w:rsid w:val="5F221E14"/>
    <w:rsid w:val="5F2E07B9"/>
    <w:rsid w:val="5F310E81"/>
    <w:rsid w:val="5F351B48"/>
    <w:rsid w:val="5F3E6C4E"/>
    <w:rsid w:val="5F944AC0"/>
    <w:rsid w:val="5F9938A3"/>
    <w:rsid w:val="5F9B210B"/>
    <w:rsid w:val="5FBE7D8F"/>
    <w:rsid w:val="60067040"/>
    <w:rsid w:val="600679F0"/>
    <w:rsid w:val="601856F1"/>
    <w:rsid w:val="603827A3"/>
    <w:rsid w:val="603D363A"/>
    <w:rsid w:val="60431B09"/>
    <w:rsid w:val="60452C22"/>
    <w:rsid w:val="605102AA"/>
    <w:rsid w:val="605403EE"/>
    <w:rsid w:val="605461B2"/>
    <w:rsid w:val="60727EAD"/>
    <w:rsid w:val="60914DED"/>
    <w:rsid w:val="60981E5B"/>
    <w:rsid w:val="609E527D"/>
    <w:rsid w:val="609E54CA"/>
    <w:rsid w:val="60AE1746"/>
    <w:rsid w:val="60B5457F"/>
    <w:rsid w:val="61071722"/>
    <w:rsid w:val="6110461A"/>
    <w:rsid w:val="61152FBD"/>
    <w:rsid w:val="6119422B"/>
    <w:rsid w:val="61262BE4"/>
    <w:rsid w:val="61625438"/>
    <w:rsid w:val="6166248C"/>
    <w:rsid w:val="61693D2A"/>
    <w:rsid w:val="619F774C"/>
    <w:rsid w:val="61A22633"/>
    <w:rsid w:val="61AE17A4"/>
    <w:rsid w:val="61B71739"/>
    <w:rsid w:val="61CD6067"/>
    <w:rsid w:val="61CF0031"/>
    <w:rsid w:val="61D73D2E"/>
    <w:rsid w:val="61ED6709"/>
    <w:rsid w:val="62053734"/>
    <w:rsid w:val="621243C2"/>
    <w:rsid w:val="62404A8B"/>
    <w:rsid w:val="624F4CCE"/>
    <w:rsid w:val="625B5806"/>
    <w:rsid w:val="625E7607"/>
    <w:rsid w:val="626D784A"/>
    <w:rsid w:val="62872771"/>
    <w:rsid w:val="62D13935"/>
    <w:rsid w:val="62D34438"/>
    <w:rsid w:val="62DB2A06"/>
    <w:rsid w:val="62DF24F6"/>
    <w:rsid w:val="62FB0250"/>
    <w:rsid w:val="63111307"/>
    <w:rsid w:val="63247F09"/>
    <w:rsid w:val="63340B4D"/>
    <w:rsid w:val="634265E1"/>
    <w:rsid w:val="634A0807"/>
    <w:rsid w:val="634C3904"/>
    <w:rsid w:val="63522B22"/>
    <w:rsid w:val="635D4E97"/>
    <w:rsid w:val="63751A48"/>
    <w:rsid w:val="63964029"/>
    <w:rsid w:val="63972DD1"/>
    <w:rsid w:val="639A641D"/>
    <w:rsid w:val="639C03D4"/>
    <w:rsid w:val="63A63014"/>
    <w:rsid w:val="63AF5551"/>
    <w:rsid w:val="63BD210C"/>
    <w:rsid w:val="63C416EC"/>
    <w:rsid w:val="63CB35F7"/>
    <w:rsid w:val="63EF374D"/>
    <w:rsid w:val="63F7561D"/>
    <w:rsid w:val="641A4D50"/>
    <w:rsid w:val="643B1CA8"/>
    <w:rsid w:val="643E4FFA"/>
    <w:rsid w:val="6455071C"/>
    <w:rsid w:val="64590086"/>
    <w:rsid w:val="64641223"/>
    <w:rsid w:val="646802C9"/>
    <w:rsid w:val="64814FED"/>
    <w:rsid w:val="64947CBA"/>
    <w:rsid w:val="64AA6B34"/>
    <w:rsid w:val="64BF6351"/>
    <w:rsid w:val="64D5468F"/>
    <w:rsid w:val="64E21D35"/>
    <w:rsid w:val="64F63B27"/>
    <w:rsid w:val="650F6997"/>
    <w:rsid w:val="65136487"/>
    <w:rsid w:val="652F2B95"/>
    <w:rsid w:val="65371F46"/>
    <w:rsid w:val="65563B9F"/>
    <w:rsid w:val="656027B9"/>
    <w:rsid w:val="656A735F"/>
    <w:rsid w:val="65707F10"/>
    <w:rsid w:val="657A6506"/>
    <w:rsid w:val="65856C59"/>
    <w:rsid w:val="6587477F"/>
    <w:rsid w:val="658B0713"/>
    <w:rsid w:val="659B4298"/>
    <w:rsid w:val="65AD1388"/>
    <w:rsid w:val="65AE61B0"/>
    <w:rsid w:val="65B914FB"/>
    <w:rsid w:val="661A3845"/>
    <w:rsid w:val="66251761"/>
    <w:rsid w:val="66285F62"/>
    <w:rsid w:val="66561AA0"/>
    <w:rsid w:val="66583486"/>
    <w:rsid w:val="66584379"/>
    <w:rsid w:val="665B6338"/>
    <w:rsid w:val="6674649A"/>
    <w:rsid w:val="667742EA"/>
    <w:rsid w:val="66787D45"/>
    <w:rsid w:val="66B07D06"/>
    <w:rsid w:val="66B72A14"/>
    <w:rsid w:val="66C33EDD"/>
    <w:rsid w:val="66C45184"/>
    <w:rsid w:val="66CD08B8"/>
    <w:rsid w:val="670167A6"/>
    <w:rsid w:val="670C7632"/>
    <w:rsid w:val="67197169"/>
    <w:rsid w:val="672D20B6"/>
    <w:rsid w:val="67371F1A"/>
    <w:rsid w:val="67656D42"/>
    <w:rsid w:val="67770FEE"/>
    <w:rsid w:val="678E6299"/>
    <w:rsid w:val="678F3DBF"/>
    <w:rsid w:val="679118E5"/>
    <w:rsid w:val="67A02BD4"/>
    <w:rsid w:val="67D85766"/>
    <w:rsid w:val="67EC2FBF"/>
    <w:rsid w:val="680B538A"/>
    <w:rsid w:val="680D3662"/>
    <w:rsid w:val="68193798"/>
    <w:rsid w:val="68286C1F"/>
    <w:rsid w:val="682A573C"/>
    <w:rsid w:val="68342D50"/>
    <w:rsid w:val="68555008"/>
    <w:rsid w:val="68564DCD"/>
    <w:rsid w:val="685903C3"/>
    <w:rsid w:val="68822776"/>
    <w:rsid w:val="68851CC2"/>
    <w:rsid w:val="688F4000"/>
    <w:rsid w:val="68AC0B8C"/>
    <w:rsid w:val="68B7136F"/>
    <w:rsid w:val="68C06926"/>
    <w:rsid w:val="68D16C55"/>
    <w:rsid w:val="68D912E1"/>
    <w:rsid w:val="68F14D31"/>
    <w:rsid w:val="68F24605"/>
    <w:rsid w:val="68F34CB6"/>
    <w:rsid w:val="68FC7232"/>
    <w:rsid w:val="6902063E"/>
    <w:rsid w:val="69065D1E"/>
    <w:rsid w:val="693E65BB"/>
    <w:rsid w:val="69431305"/>
    <w:rsid w:val="698F62F8"/>
    <w:rsid w:val="69C27A22"/>
    <w:rsid w:val="69CE32EF"/>
    <w:rsid w:val="69D600DA"/>
    <w:rsid w:val="69E20B1E"/>
    <w:rsid w:val="69E91EAC"/>
    <w:rsid w:val="6A05003B"/>
    <w:rsid w:val="6A13398D"/>
    <w:rsid w:val="6A2C1D99"/>
    <w:rsid w:val="6A306E82"/>
    <w:rsid w:val="6A325601"/>
    <w:rsid w:val="6A4E61B3"/>
    <w:rsid w:val="6A551782"/>
    <w:rsid w:val="6A6652AB"/>
    <w:rsid w:val="6A682DD1"/>
    <w:rsid w:val="6A7F636D"/>
    <w:rsid w:val="6A89576D"/>
    <w:rsid w:val="6AA638F9"/>
    <w:rsid w:val="6AB46016"/>
    <w:rsid w:val="6ABE129C"/>
    <w:rsid w:val="6AFC5C0F"/>
    <w:rsid w:val="6B0A032C"/>
    <w:rsid w:val="6B114844"/>
    <w:rsid w:val="6B177229"/>
    <w:rsid w:val="6B2A0087"/>
    <w:rsid w:val="6B325E81"/>
    <w:rsid w:val="6B39651C"/>
    <w:rsid w:val="6B497FA4"/>
    <w:rsid w:val="6B575F21"/>
    <w:rsid w:val="6B6C4B43"/>
    <w:rsid w:val="6B737ACD"/>
    <w:rsid w:val="6B7B2C59"/>
    <w:rsid w:val="6B9138F9"/>
    <w:rsid w:val="6BCF25FA"/>
    <w:rsid w:val="6BE96194"/>
    <w:rsid w:val="6BEC5E83"/>
    <w:rsid w:val="6BFD02C1"/>
    <w:rsid w:val="6C0A01E2"/>
    <w:rsid w:val="6C272818"/>
    <w:rsid w:val="6C3F5DB4"/>
    <w:rsid w:val="6C471AF3"/>
    <w:rsid w:val="6C57134F"/>
    <w:rsid w:val="6C9525AA"/>
    <w:rsid w:val="6C9B742D"/>
    <w:rsid w:val="6CA1081C"/>
    <w:rsid w:val="6CA5024B"/>
    <w:rsid w:val="6CBA368C"/>
    <w:rsid w:val="6CCB5899"/>
    <w:rsid w:val="6CD40C54"/>
    <w:rsid w:val="6CE0110A"/>
    <w:rsid w:val="6CE94F03"/>
    <w:rsid w:val="6CF421A5"/>
    <w:rsid w:val="6CF43042"/>
    <w:rsid w:val="6D2F7BD6"/>
    <w:rsid w:val="6D372F2F"/>
    <w:rsid w:val="6D4B0788"/>
    <w:rsid w:val="6D6A3304"/>
    <w:rsid w:val="6D8471EF"/>
    <w:rsid w:val="6D97577B"/>
    <w:rsid w:val="6DC94A59"/>
    <w:rsid w:val="6DD15131"/>
    <w:rsid w:val="6DD15815"/>
    <w:rsid w:val="6DD469CF"/>
    <w:rsid w:val="6DD662A4"/>
    <w:rsid w:val="6DD90237"/>
    <w:rsid w:val="6DEE183F"/>
    <w:rsid w:val="6E084C17"/>
    <w:rsid w:val="6E15118A"/>
    <w:rsid w:val="6E1F7C4B"/>
    <w:rsid w:val="6E8E3022"/>
    <w:rsid w:val="6E8F36CF"/>
    <w:rsid w:val="6EB61077"/>
    <w:rsid w:val="6EB81E4D"/>
    <w:rsid w:val="6EC9405A"/>
    <w:rsid w:val="6ECC76A7"/>
    <w:rsid w:val="6ED22F0F"/>
    <w:rsid w:val="6EEE3AC1"/>
    <w:rsid w:val="6EEF1D13"/>
    <w:rsid w:val="6F0357BE"/>
    <w:rsid w:val="6F1B2B08"/>
    <w:rsid w:val="6F7044D6"/>
    <w:rsid w:val="6F8A37EA"/>
    <w:rsid w:val="6FA23B6D"/>
    <w:rsid w:val="6FA81EC2"/>
    <w:rsid w:val="6FB73747"/>
    <w:rsid w:val="6FBB7E47"/>
    <w:rsid w:val="6FC0720B"/>
    <w:rsid w:val="6FE349DA"/>
    <w:rsid w:val="6FFB46E7"/>
    <w:rsid w:val="700A66D9"/>
    <w:rsid w:val="700E3479"/>
    <w:rsid w:val="701912A5"/>
    <w:rsid w:val="701F2876"/>
    <w:rsid w:val="70227EC6"/>
    <w:rsid w:val="70294DB1"/>
    <w:rsid w:val="70313C65"/>
    <w:rsid w:val="7040034C"/>
    <w:rsid w:val="7060279C"/>
    <w:rsid w:val="7060454A"/>
    <w:rsid w:val="70762334"/>
    <w:rsid w:val="707F70C6"/>
    <w:rsid w:val="708A15C7"/>
    <w:rsid w:val="70980188"/>
    <w:rsid w:val="70A73F27"/>
    <w:rsid w:val="70B3723F"/>
    <w:rsid w:val="70C32A90"/>
    <w:rsid w:val="70DE37C7"/>
    <w:rsid w:val="710B095A"/>
    <w:rsid w:val="71121CE9"/>
    <w:rsid w:val="71135B83"/>
    <w:rsid w:val="711A0B9D"/>
    <w:rsid w:val="71233EF6"/>
    <w:rsid w:val="71252F80"/>
    <w:rsid w:val="712B4B58"/>
    <w:rsid w:val="71415581"/>
    <w:rsid w:val="71445E4D"/>
    <w:rsid w:val="71493231"/>
    <w:rsid w:val="71632544"/>
    <w:rsid w:val="716A5681"/>
    <w:rsid w:val="7179151D"/>
    <w:rsid w:val="71844269"/>
    <w:rsid w:val="718524BB"/>
    <w:rsid w:val="719426FE"/>
    <w:rsid w:val="71B72890"/>
    <w:rsid w:val="71B92164"/>
    <w:rsid w:val="71B95393"/>
    <w:rsid w:val="71BB0662"/>
    <w:rsid w:val="71D1488F"/>
    <w:rsid w:val="71ED0060"/>
    <w:rsid w:val="71F00C04"/>
    <w:rsid w:val="72035AD5"/>
    <w:rsid w:val="72085956"/>
    <w:rsid w:val="727367B7"/>
    <w:rsid w:val="72AC1CC9"/>
    <w:rsid w:val="72BD30A1"/>
    <w:rsid w:val="72C91C18"/>
    <w:rsid w:val="72CA1C6C"/>
    <w:rsid w:val="72D97771"/>
    <w:rsid w:val="72DB435C"/>
    <w:rsid w:val="72E871A5"/>
    <w:rsid w:val="72F42CDD"/>
    <w:rsid w:val="72F62232"/>
    <w:rsid w:val="73076EFF"/>
    <w:rsid w:val="730A73C1"/>
    <w:rsid w:val="730B2E93"/>
    <w:rsid w:val="730E6177"/>
    <w:rsid w:val="731518A2"/>
    <w:rsid w:val="73463ECB"/>
    <w:rsid w:val="73506AF8"/>
    <w:rsid w:val="735550D2"/>
    <w:rsid w:val="735E6921"/>
    <w:rsid w:val="7364485C"/>
    <w:rsid w:val="736E6F7E"/>
    <w:rsid w:val="737B782C"/>
    <w:rsid w:val="738D5656"/>
    <w:rsid w:val="73955EF8"/>
    <w:rsid w:val="7398370D"/>
    <w:rsid w:val="73B2133F"/>
    <w:rsid w:val="73BA21C4"/>
    <w:rsid w:val="73E7745D"/>
    <w:rsid w:val="73F45623"/>
    <w:rsid w:val="740C1085"/>
    <w:rsid w:val="74100036"/>
    <w:rsid w:val="741146DA"/>
    <w:rsid w:val="742064CB"/>
    <w:rsid w:val="743E1047"/>
    <w:rsid w:val="744877CF"/>
    <w:rsid w:val="7463285B"/>
    <w:rsid w:val="7467234B"/>
    <w:rsid w:val="746D7236"/>
    <w:rsid w:val="748A21FE"/>
    <w:rsid w:val="74A7141D"/>
    <w:rsid w:val="74A72748"/>
    <w:rsid w:val="74AA7D4B"/>
    <w:rsid w:val="74B41921"/>
    <w:rsid w:val="74C74B98"/>
    <w:rsid w:val="74CA4688"/>
    <w:rsid w:val="74D0158B"/>
    <w:rsid w:val="74E27F48"/>
    <w:rsid w:val="74EB4D2A"/>
    <w:rsid w:val="75137DDD"/>
    <w:rsid w:val="7514691D"/>
    <w:rsid w:val="75243129"/>
    <w:rsid w:val="755328D0"/>
    <w:rsid w:val="75706FDE"/>
    <w:rsid w:val="75846F2D"/>
    <w:rsid w:val="759738C6"/>
    <w:rsid w:val="75A21A9C"/>
    <w:rsid w:val="75AC348B"/>
    <w:rsid w:val="75B55338"/>
    <w:rsid w:val="75B86262"/>
    <w:rsid w:val="75D611BC"/>
    <w:rsid w:val="75D70C69"/>
    <w:rsid w:val="75D91027"/>
    <w:rsid w:val="75EA4FE2"/>
    <w:rsid w:val="75ED4AD2"/>
    <w:rsid w:val="75F52CE2"/>
    <w:rsid w:val="760A5684"/>
    <w:rsid w:val="760B11BA"/>
    <w:rsid w:val="76157B85"/>
    <w:rsid w:val="761C7166"/>
    <w:rsid w:val="762304F4"/>
    <w:rsid w:val="76257DC8"/>
    <w:rsid w:val="763224E5"/>
    <w:rsid w:val="76343475"/>
    <w:rsid w:val="76433FDA"/>
    <w:rsid w:val="7677439C"/>
    <w:rsid w:val="767D11BF"/>
    <w:rsid w:val="76851934"/>
    <w:rsid w:val="76883A7E"/>
    <w:rsid w:val="768D3BBF"/>
    <w:rsid w:val="769F7D8D"/>
    <w:rsid w:val="76B70687"/>
    <w:rsid w:val="76EB7370"/>
    <w:rsid w:val="76EC2FDC"/>
    <w:rsid w:val="76EE276C"/>
    <w:rsid w:val="76F123A0"/>
    <w:rsid w:val="77072354"/>
    <w:rsid w:val="77130569"/>
    <w:rsid w:val="77183DD1"/>
    <w:rsid w:val="771D13E7"/>
    <w:rsid w:val="773504DF"/>
    <w:rsid w:val="773B2FED"/>
    <w:rsid w:val="774F5184"/>
    <w:rsid w:val="7750356B"/>
    <w:rsid w:val="775A6197"/>
    <w:rsid w:val="77707AEA"/>
    <w:rsid w:val="77843214"/>
    <w:rsid w:val="778B2945"/>
    <w:rsid w:val="77925931"/>
    <w:rsid w:val="779276DF"/>
    <w:rsid w:val="77A15B74"/>
    <w:rsid w:val="77DC3CB2"/>
    <w:rsid w:val="77E5163B"/>
    <w:rsid w:val="77F601B8"/>
    <w:rsid w:val="77FE2FC7"/>
    <w:rsid w:val="7810236C"/>
    <w:rsid w:val="781B1C42"/>
    <w:rsid w:val="782C7B34"/>
    <w:rsid w:val="78486CF0"/>
    <w:rsid w:val="785B21C7"/>
    <w:rsid w:val="786349D3"/>
    <w:rsid w:val="78867E3E"/>
    <w:rsid w:val="78A771BA"/>
    <w:rsid w:val="78AA091C"/>
    <w:rsid w:val="78AC657F"/>
    <w:rsid w:val="78B74E96"/>
    <w:rsid w:val="78CC302F"/>
    <w:rsid w:val="78ED7332"/>
    <w:rsid w:val="7914122D"/>
    <w:rsid w:val="791D747D"/>
    <w:rsid w:val="79330A4E"/>
    <w:rsid w:val="793E3FE0"/>
    <w:rsid w:val="796055BB"/>
    <w:rsid w:val="79627585"/>
    <w:rsid w:val="796C6D36"/>
    <w:rsid w:val="797846B3"/>
    <w:rsid w:val="797E774E"/>
    <w:rsid w:val="799534B7"/>
    <w:rsid w:val="79A731EA"/>
    <w:rsid w:val="79BD656A"/>
    <w:rsid w:val="79E26419"/>
    <w:rsid w:val="79E61F64"/>
    <w:rsid w:val="79E63D12"/>
    <w:rsid w:val="79E9735F"/>
    <w:rsid w:val="79ED32F3"/>
    <w:rsid w:val="79F309DD"/>
    <w:rsid w:val="79F3721C"/>
    <w:rsid w:val="79FA70E8"/>
    <w:rsid w:val="79FE7503"/>
    <w:rsid w:val="7A260087"/>
    <w:rsid w:val="7A456C8B"/>
    <w:rsid w:val="7A554D7B"/>
    <w:rsid w:val="7A644B56"/>
    <w:rsid w:val="7A6B36A3"/>
    <w:rsid w:val="7A707A80"/>
    <w:rsid w:val="7A7C4677"/>
    <w:rsid w:val="7A867C0A"/>
    <w:rsid w:val="7AB619B9"/>
    <w:rsid w:val="7ACA3634"/>
    <w:rsid w:val="7ACC0CD4"/>
    <w:rsid w:val="7AD3234E"/>
    <w:rsid w:val="7AD324E9"/>
    <w:rsid w:val="7AD82879"/>
    <w:rsid w:val="7AD95389"/>
    <w:rsid w:val="7AF4345E"/>
    <w:rsid w:val="7B130B37"/>
    <w:rsid w:val="7B181892"/>
    <w:rsid w:val="7B18439F"/>
    <w:rsid w:val="7B2F5820"/>
    <w:rsid w:val="7B364F5B"/>
    <w:rsid w:val="7B3B62E0"/>
    <w:rsid w:val="7B42141C"/>
    <w:rsid w:val="7B4231CA"/>
    <w:rsid w:val="7B7060E3"/>
    <w:rsid w:val="7B7F5A16"/>
    <w:rsid w:val="7B8A691F"/>
    <w:rsid w:val="7BA9149B"/>
    <w:rsid w:val="7BCB1412"/>
    <w:rsid w:val="7BCF4C4C"/>
    <w:rsid w:val="7BD4111E"/>
    <w:rsid w:val="7BDD1145"/>
    <w:rsid w:val="7BF72207"/>
    <w:rsid w:val="7C09018C"/>
    <w:rsid w:val="7C2E6F8B"/>
    <w:rsid w:val="7C3050D8"/>
    <w:rsid w:val="7C325A9B"/>
    <w:rsid w:val="7C3A0345"/>
    <w:rsid w:val="7C3C5E6C"/>
    <w:rsid w:val="7C4A6F3C"/>
    <w:rsid w:val="7C537F24"/>
    <w:rsid w:val="7C551902"/>
    <w:rsid w:val="7C5E0F82"/>
    <w:rsid w:val="7C786D7A"/>
    <w:rsid w:val="7C8A307B"/>
    <w:rsid w:val="7C8D2B6B"/>
    <w:rsid w:val="7CAA54CB"/>
    <w:rsid w:val="7CB400F8"/>
    <w:rsid w:val="7CF20C20"/>
    <w:rsid w:val="7CF90201"/>
    <w:rsid w:val="7CFD3C68"/>
    <w:rsid w:val="7D176F1E"/>
    <w:rsid w:val="7D3F20B7"/>
    <w:rsid w:val="7D4F10E3"/>
    <w:rsid w:val="7D55131B"/>
    <w:rsid w:val="7D595DC7"/>
    <w:rsid w:val="7D613ECC"/>
    <w:rsid w:val="7D6438CC"/>
    <w:rsid w:val="7D7050F0"/>
    <w:rsid w:val="7D821FA4"/>
    <w:rsid w:val="7D915010"/>
    <w:rsid w:val="7DB905C1"/>
    <w:rsid w:val="7DC46119"/>
    <w:rsid w:val="7DC91981"/>
    <w:rsid w:val="7DCA721C"/>
    <w:rsid w:val="7DD30A52"/>
    <w:rsid w:val="7DE76A3A"/>
    <w:rsid w:val="7DEC7879"/>
    <w:rsid w:val="7DF32EA2"/>
    <w:rsid w:val="7DF3334C"/>
    <w:rsid w:val="7E064983"/>
    <w:rsid w:val="7E124BDC"/>
    <w:rsid w:val="7E2C3CBE"/>
    <w:rsid w:val="7E2D63B4"/>
    <w:rsid w:val="7E3F7E95"/>
    <w:rsid w:val="7E431733"/>
    <w:rsid w:val="7E48543B"/>
    <w:rsid w:val="7E4B683A"/>
    <w:rsid w:val="7E666CCB"/>
    <w:rsid w:val="7E7E0A32"/>
    <w:rsid w:val="7E861620"/>
    <w:rsid w:val="7E8A5690"/>
    <w:rsid w:val="7EA00937"/>
    <w:rsid w:val="7EB06C49"/>
    <w:rsid w:val="7EB148B8"/>
    <w:rsid w:val="7EC45DE4"/>
    <w:rsid w:val="7ECB797B"/>
    <w:rsid w:val="7ED92098"/>
    <w:rsid w:val="7EFC08B4"/>
    <w:rsid w:val="7F345520"/>
    <w:rsid w:val="7F363A2B"/>
    <w:rsid w:val="7F5160D2"/>
    <w:rsid w:val="7F666FD8"/>
    <w:rsid w:val="7F7A4F45"/>
    <w:rsid w:val="7F9D4E73"/>
    <w:rsid w:val="7FB21BF7"/>
    <w:rsid w:val="7FB65F35"/>
    <w:rsid w:val="7FD50AB1"/>
    <w:rsid w:val="7FE02FB2"/>
    <w:rsid w:val="7FF23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49"/>
    <w:qFormat/>
    <w:uiPriority w:val="0"/>
    <w:pPr>
      <w:keepNext/>
      <w:tabs>
        <w:tab w:val="left" w:pos="200"/>
      </w:tabs>
      <w:jc w:val="center"/>
      <w:outlineLvl w:val="0"/>
    </w:pPr>
    <w:rPr>
      <w:rFonts w:hint="eastAsia" w:ascii="宋体" w:hAnsi="宋体"/>
      <w:b/>
      <w:sz w:val="36"/>
    </w:rPr>
  </w:style>
  <w:style w:type="paragraph" w:styleId="4">
    <w:name w:val="heading 2"/>
    <w:basedOn w:val="1"/>
    <w:next w:val="1"/>
    <w:link w:val="52"/>
    <w:unhideWhenUsed/>
    <w:qFormat/>
    <w:uiPriority w:val="9"/>
    <w:pPr>
      <w:keepNext/>
      <w:keepLines/>
      <w:spacing w:before="260" w:after="260" w:line="416" w:lineRule="auto"/>
      <w:outlineLvl w:val="1"/>
    </w:pPr>
    <w:rPr>
      <w:rFonts w:asciiTheme="majorHAnsi" w:hAnsiTheme="majorHAnsi" w:eastAsiaTheme="majorEastAsia" w:cstheme="majorBidi"/>
      <w:bCs/>
      <w:szCs w:val="32"/>
    </w:rPr>
  </w:style>
  <w:style w:type="paragraph" w:styleId="5">
    <w:name w:val="heading 3"/>
    <w:basedOn w:val="1"/>
    <w:next w:val="1"/>
    <w:link w:val="44"/>
    <w:qFormat/>
    <w:uiPriority w:val="0"/>
    <w:pPr>
      <w:keepNext/>
      <w:keepLines/>
      <w:spacing w:before="260" w:after="260" w:line="416" w:lineRule="auto"/>
      <w:outlineLvl w:val="2"/>
    </w:pPr>
    <w:rPr>
      <w:b/>
      <w:bCs/>
      <w:sz w:val="32"/>
      <w:szCs w:val="32"/>
    </w:rPr>
  </w:style>
  <w:style w:type="paragraph" w:styleId="6">
    <w:name w:val="heading 4"/>
    <w:basedOn w:val="1"/>
    <w:next w:val="1"/>
    <w:link w:val="53"/>
    <w:semiHidden/>
    <w:unhideWhenUsed/>
    <w:qFormat/>
    <w:uiPriority w:val="0"/>
    <w:pPr>
      <w:keepNext/>
      <w:keepLines/>
      <w:spacing w:before="280" w:after="290" w:line="372" w:lineRule="auto"/>
      <w:outlineLvl w:val="3"/>
    </w:pPr>
    <w:rPr>
      <w:rFonts w:ascii="Arial" w:hAnsi="Arial" w:eastAsia="黑体"/>
      <w:b/>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unhideWhenUsed/>
    <w:qFormat/>
    <w:uiPriority w:val="99"/>
    <w:pPr>
      <w:ind w:left="420" w:leftChars="200"/>
    </w:pPr>
  </w:style>
  <w:style w:type="paragraph" w:styleId="7">
    <w:name w:val="Normal Indent"/>
    <w:basedOn w:val="1"/>
    <w:next w:val="1"/>
    <w:link w:val="67"/>
    <w:qFormat/>
    <w:uiPriority w:val="0"/>
    <w:pPr>
      <w:adjustRightInd w:val="0"/>
      <w:snapToGrid w:val="0"/>
      <w:spacing w:line="360" w:lineRule="auto"/>
      <w:ind w:firstLine="420"/>
    </w:pPr>
    <w:rPr>
      <w:rFonts w:asciiTheme="minorHAnsi" w:hAnsiTheme="minorHAnsi" w:eastAsiaTheme="minorEastAsia" w:cstheme="minorBidi"/>
      <w:sz w:val="24"/>
      <w:szCs w:val="22"/>
    </w:rPr>
  </w:style>
  <w:style w:type="paragraph" w:styleId="8">
    <w:name w:val="index 5"/>
    <w:basedOn w:val="1"/>
    <w:next w:val="1"/>
    <w:qFormat/>
    <w:uiPriority w:val="0"/>
    <w:pPr>
      <w:ind w:left="1680"/>
    </w:pPr>
    <w:rPr>
      <w:sz w:val="24"/>
    </w:rPr>
  </w:style>
  <w:style w:type="paragraph" w:styleId="9">
    <w:name w:val="Document Map"/>
    <w:next w:val="1"/>
    <w:unhideWhenUsed/>
    <w:qFormat/>
    <w:uiPriority w:val="99"/>
    <w:pPr>
      <w:widowControl w:val="0"/>
      <w:jc w:val="both"/>
    </w:pPr>
    <w:rPr>
      <w:rFonts w:ascii="宋体" w:hAnsi="Calibri" w:eastAsia="宋体" w:cs="Times New Roman"/>
      <w:kern w:val="2"/>
      <w:sz w:val="18"/>
      <w:szCs w:val="18"/>
      <w:lang w:val="en-US" w:eastAsia="zh-CN" w:bidi="ar-SA"/>
    </w:rPr>
  </w:style>
  <w:style w:type="paragraph" w:styleId="10">
    <w:name w:val="annotation text"/>
    <w:basedOn w:val="1"/>
    <w:link w:val="55"/>
    <w:qFormat/>
    <w:uiPriority w:val="0"/>
    <w:pPr>
      <w:jc w:val="left"/>
    </w:pPr>
  </w:style>
  <w:style w:type="paragraph" w:styleId="11">
    <w:name w:val="Body Text"/>
    <w:basedOn w:val="1"/>
    <w:next w:val="1"/>
    <w:link w:val="46"/>
    <w:qFormat/>
    <w:uiPriority w:val="0"/>
    <w:rPr>
      <w:rFonts w:hint="eastAsia" w:ascii="楷体_GB2312" w:hAnsi="Arial" w:eastAsia="楷体_GB2312"/>
    </w:rPr>
  </w:style>
  <w:style w:type="paragraph" w:styleId="12">
    <w:name w:val="Body Text Indent"/>
    <w:basedOn w:val="1"/>
    <w:link w:val="50"/>
    <w:qFormat/>
    <w:uiPriority w:val="0"/>
    <w:pPr>
      <w:spacing w:after="120"/>
      <w:ind w:left="420" w:leftChars="200"/>
    </w:pPr>
  </w:style>
  <w:style w:type="paragraph" w:styleId="13">
    <w:name w:val="Plain Text"/>
    <w:basedOn w:val="1"/>
    <w:next w:val="7"/>
    <w:link w:val="43"/>
    <w:qFormat/>
    <w:uiPriority w:val="0"/>
    <w:rPr>
      <w:rFonts w:hint="eastAsia" w:ascii="宋体" w:hAnsi="Courier New"/>
      <w:kern w:val="0"/>
      <w:sz w:val="20"/>
    </w:rPr>
  </w:style>
  <w:style w:type="paragraph" w:styleId="14">
    <w:name w:val="Date"/>
    <w:basedOn w:val="1"/>
    <w:next w:val="1"/>
    <w:link w:val="51"/>
    <w:qFormat/>
    <w:uiPriority w:val="0"/>
    <w:pPr>
      <w:ind w:left="100" w:leftChars="2500"/>
    </w:pPr>
  </w:style>
  <w:style w:type="paragraph" w:styleId="15">
    <w:name w:val="Body Text Indent 2"/>
    <w:basedOn w:val="1"/>
    <w:link w:val="57"/>
    <w:qFormat/>
    <w:uiPriority w:val="0"/>
    <w:pPr>
      <w:spacing w:after="120" w:line="480" w:lineRule="auto"/>
      <w:ind w:left="420" w:leftChars="200"/>
    </w:pPr>
  </w:style>
  <w:style w:type="paragraph" w:styleId="16">
    <w:name w:val="Balloon Text"/>
    <w:basedOn w:val="1"/>
    <w:link w:val="64"/>
    <w:qFormat/>
    <w:uiPriority w:val="0"/>
    <w:rPr>
      <w:sz w:val="18"/>
      <w:szCs w:val="18"/>
    </w:rPr>
  </w:style>
  <w:style w:type="paragraph" w:styleId="17">
    <w:name w:val="footer"/>
    <w:basedOn w:val="1"/>
    <w:link w:val="48"/>
    <w:unhideWhenUsed/>
    <w:qFormat/>
    <w:uiPriority w:val="99"/>
    <w:pPr>
      <w:tabs>
        <w:tab w:val="center" w:pos="4153"/>
        <w:tab w:val="right" w:pos="8306"/>
      </w:tabs>
      <w:snapToGrid w:val="0"/>
      <w:spacing w:line="240" w:lineRule="atLeast"/>
      <w:jc w:val="left"/>
    </w:pPr>
    <w:rPr>
      <w:sz w:val="18"/>
      <w:szCs w:val="18"/>
    </w:rPr>
  </w:style>
  <w:style w:type="paragraph" w:styleId="18">
    <w:name w:val="header"/>
    <w:basedOn w:val="1"/>
    <w:link w:val="47"/>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9">
    <w:name w:val="Subtitle"/>
    <w:basedOn w:val="1"/>
    <w:next w:val="1"/>
    <w:link w:val="72"/>
    <w:qFormat/>
    <w:uiPriority w:val="0"/>
    <w:pPr>
      <w:spacing w:before="360" w:after="180" w:line="360" w:lineRule="auto"/>
      <w:jc w:val="left"/>
      <w:outlineLvl w:val="1"/>
    </w:pPr>
    <w:rPr>
      <w:rFonts w:ascii="Cambria" w:hAnsi="Cambria"/>
      <w:b/>
      <w:bCs/>
      <w:kern w:val="28"/>
      <w:sz w:val="24"/>
      <w:szCs w:val="32"/>
    </w:rPr>
  </w:style>
  <w:style w:type="paragraph" w:styleId="20">
    <w:name w:val="footnote text"/>
    <w:basedOn w:val="1"/>
    <w:next w:val="8"/>
    <w:qFormat/>
    <w:uiPriority w:val="0"/>
    <w:pPr>
      <w:snapToGrid w:val="0"/>
      <w:jc w:val="left"/>
    </w:pPr>
    <w:rPr>
      <w:sz w:val="18"/>
    </w:rPr>
  </w:style>
  <w:style w:type="paragraph" w:styleId="21">
    <w:name w:val="Normal (Web)"/>
    <w:basedOn w:val="1"/>
    <w:qFormat/>
    <w:uiPriority w:val="99"/>
    <w:pPr>
      <w:widowControl/>
      <w:spacing w:before="100" w:beforeAutospacing="1" w:after="100" w:afterAutospacing="1"/>
      <w:jc w:val="left"/>
    </w:pPr>
    <w:rPr>
      <w:rFonts w:ascii="Arial Unicode MS" w:hAnsi="Arial Unicode MS" w:eastAsia="Arial Unicode MS" w:cstheme="minorBidi"/>
      <w:sz w:val="24"/>
      <w:szCs w:val="22"/>
    </w:rPr>
  </w:style>
  <w:style w:type="paragraph" w:styleId="22">
    <w:name w:val="Title"/>
    <w:basedOn w:val="1"/>
    <w:next w:val="1"/>
    <w:link w:val="56"/>
    <w:qFormat/>
    <w:uiPriority w:val="0"/>
    <w:pPr>
      <w:adjustRightInd w:val="0"/>
      <w:spacing w:before="240" w:after="60" w:line="288" w:lineRule="auto"/>
      <w:ind w:firstLine="420"/>
      <w:jc w:val="center"/>
      <w:textAlignment w:val="baseline"/>
      <w:outlineLvl w:val="0"/>
    </w:pPr>
    <w:rPr>
      <w:rFonts w:ascii="Arial" w:hAnsi="Arial"/>
      <w:b/>
      <w:sz w:val="32"/>
      <w:szCs w:val="22"/>
    </w:rPr>
  </w:style>
  <w:style w:type="paragraph" w:styleId="23">
    <w:name w:val="Body Text First Indent 2"/>
    <w:basedOn w:val="12"/>
    <w:next w:val="1"/>
    <w:unhideWhenUsed/>
    <w:qFormat/>
    <w:uiPriority w:val="99"/>
    <w:pPr>
      <w:ind w:firstLine="420" w:firstLineChars="200"/>
    </w:p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7">
    <w:name w:val="Strong"/>
    <w:basedOn w:val="26"/>
    <w:qFormat/>
    <w:uiPriority w:val="0"/>
    <w:rPr>
      <w:b/>
      <w:sz w:val="24"/>
      <w:szCs w:val="24"/>
    </w:rPr>
  </w:style>
  <w:style w:type="character" w:styleId="28">
    <w:name w:val="page number"/>
    <w:basedOn w:val="26"/>
    <w:qFormat/>
    <w:uiPriority w:val="0"/>
    <w:rPr>
      <w:rFonts w:ascii="Times New Roman" w:hAnsi="Times New Roman" w:eastAsia="宋体" w:cs="Times New Roman"/>
    </w:rPr>
  </w:style>
  <w:style w:type="character" w:styleId="29">
    <w:name w:val="FollowedHyperlink"/>
    <w:basedOn w:val="26"/>
    <w:qFormat/>
    <w:uiPriority w:val="0"/>
    <w:rPr>
      <w:color w:val="333333"/>
      <w:u w:val="none"/>
    </w:rPr>
  </w:style>
  <w:style w:type="character" w:styleId="30">
    <w:name w:val="Emphasis"/>
    <w:basedOn w:val="26"/>
    <w:qFormat/>
    <w:uiPriority w:val="0"/>
    <w:rPr>
      <w:color w:val="CC0000"/>
      <w:sz w:val="24"/>
      <w:szCs w:val="24"/>
    </w:rPr>
  </w:style>
  <w:style w:type="character" w:styleId="31">
    <w:name w:val="HTML Definition"/>
    <w:basedOn w:val="26"/>
    <w:qFormat/>
    <w:uiPriority w:val="0"/>
  </w:style>
  <w:style w:type="character" w:styleId="32">
    <w:name w:val="HTML Typewriter"/>
    <w:basedOn w:val="26"/>
    <w:qFormat/>
    <w:uiPriority w:val="0"/>
    <w:rPr>
      <w:rFonts w:hint="default" w:ascii="monospace" w:hAnsi="monospace" w:eastAsia="monospace" w:cs="monospace"/>
      <w:sz w:val="20"/>
    </w:rPr>
  </w:style>
  <w:style w:type="character" w:styleId="33">
    <w:name w:val="HTML Acronym"/>
    <w:basedOn w:val="26"/>
    <w:qFormat/>
    <w:uiPriority w:val="0"/>
  </w:style>
  <w:style w:type="character" w:styleId="34">
    <w:name w:val="HTML Variable"/>
    <w:basedOn w:val="26"/>
    <w:qFormat/>
    <w:uiPriority w:val="0"/>
  </w:style>
  <w:style w:type="character" w:styleId="35">
    <w:name w:val="Hyperlink"/>
    <w:basedOn w:val="26"/>
    <w:qFormat/>
    <w:uiPriority w:val="0"/>
    <w:rPr>
      <w:color w:val="333333"/>
      <w:u w:val="none"/>
    </w:rPr>
  </w:style>
  <w:style w:type="character" w:styleId="36">
    <w:name w:val="HTML Code"/>
    <w:basedOn w:val="26"/>
    <w:qFormat/>
    <w:uiPriority w:val="0"/>
    <w:rPr>
      <w:rFonts w:hint="default" w:ascii="monospace" w:hAnsi="monospace" w:eastAsia="monospace" w:cs="monospace"/>
      <w:sz w:val="20"/>
    </w:rPr>
  </w:style>
  <w:style w:type="character" w:styleId="37">
    <w:name w:val="HTML Cite"/>
    <w:basedOn w:val="26"/>
    <w:qFormat/>
    <w:uiPriority w:val="0"/>
    <w:rPr>
      <w:sz w:val="24"/>
      <w:szCs w:val="24"/>
    </w:rPr>
  </w:style>
  <w:style w:type="character" w:styleId="38">
    <w:name w:val="HTML Keyboard"/>
    <w:basedOn w:val="26"/>
    <w:qFormat/>
    <w:uiPriority w:val="0"/>
    <w:rPr>
      <w:rFonts w:hint="default" w:ascii="monospace" w:hAnsi="monospace" w:eastAsia="monospace" w:cs="monospace"/>
      <w:sz w:val="20"/>
    </w:rPr>
  </w:style>
  <w:style w:type="character" w:styleId="39">
    <w:name w:val="HTML Sample"/>
    <w:basedOn w:val="26"/>
    <w:qFormat/>
    <w:uiPriority w:val="0"/>
    <w:rPr>
      <w:rFonts w:ascii="monospace" w:hAnsi="monospace" w:eastAsia="monospace" w:cs="monospace"/>
    </w:rPr>
  </w:style>
  <w:style w:type="paragraph" w:customStyle="1" w:styleId="40">
    <w:name w:val="样式 标题 1 + 宋体 居中 段前: 17 磅 段后: 16.5 磅"/>
    <w:basedOn w:val="3"/>
    <w:qFormat/>
    <w:uiPriority w:val="0"/>
    <w:pPr>
      <w:pageBreakBefore/>
      <w:widowControl/>
      <w:tabs>
        <w:tab w:val="left" w:pos="840"/>
        <w:tab w:val="clear" w:pos="200"/>
      </w:tabs>
      <w:snapToGrid w:val="0"/>
      <w:ind w:left="840" w:hanging="420"/>
    </w:pPr>
    <w:rPr>
      <w:rFonts w:ascii="华文中宋" w:hAnsi="华文中宋" w:eastAsia="华文中宋" w:cs="宋体"/>
      <w:sz w:val="28"/>
    </w:rPr>
  </w:style>
  <w:style w:type="paragraph" w:customStyle="1" w:styleId="41">
    <w:name w:val="Í¼±íÕýÎÄ"/>
    <w:basedOn w:val="1"/>
    <w:next w:val="7"/>
    <w:qFormat/>
    <w:uiPriority w:val="0"/>
    <w:pPr>
      <w:ind w:firstLine="420" w:firstLineChars="200"/>
    </w:pPr>
    <w:rPr>
      <w:sz w:val="24"/>
    </w:rPr>
  </w:style>
  <w:style w:type="paragraph" w:customStyle="1" w:styleId="42">
    <w:name w:val="正文字缩2字"/>
    <w:basedOn w:val="1"/>
    <w:qFormat/>
    <w:uiPriority w:val="0"/>
    <w:pPr>
      <w:spacing w:before="60" w:after="60" w:line="360" w:lineRule="auto"/>
      <w:ind w:left="200" w:leftChars="200" w:firstLine="200" w:firstLineChars="200"/>
    </w:pPr>
    <w:rPr>
      <w:rFonts w:ascii="Calibri" w:hAnsi="Calibri"/>
      <w:sz w:val="21"/>
      <w:szCs w:val="24"/>
    </w:rPr>
  </w:style>
  <w:style w:type="character" w:customStyle="1" w:styleId="43">
    <w:name w:val="纯文本 字符"/>
    <w:basedOn w:val="26"/>
    <w:link w:val="13"/>
    <w:qFormat/>
    <w:uiPriority w:val="0"/>
    <w:rPr>
      <w:rFonts w:hint="eastAsia" w:ascii="宋体" w:hAnsi="Courier New" w:eastAsia="宋体" w:cs="宋体"/>
    </w:rPr>
  </w:style>
  <w:style w:type="character" w:customStyle="1" w:styleId="44">
    <w:name w:val="标题 3 字符"/>
    <w:basedOn w:val="26"/>
    <w:link w:val="5"/>
    <w:qFormat/>
    <w:uiPriority w:val="0"/>
    <w:rPr>
      <w:rFonts w:hint="default" w:ascii="Calibri" w:hAnsi="Calibri" w:cs="Calibri"/>
      <w:b/>
      <w:kern w:val="2"/>
      <w:sz w:val="32"/>
      <w:szCs w:val="32"/>
    </w:rPr>
  </w:style>
  <w:style w:type="paragraph" w:customStyle="1" w:styleId="45">
    <w:name w:val="列出段落1"/>
    <w:basedOn w:val="1"/>
    <w:qFormat/>
    <w:uiPriority w:val="0"/>
    <w:pPr>
      <w:ind w:firstLine="420" w:firstLineChars="200"/>
    </w:pPr>
    <w:rPr>
      <w:rFonts w:ascii="Calibri" w:hAnsi="Calibri"/>
      <w:color w:val="595959"/>
      <w:sz w:val="21"/>
      <w:szCs w:val="24"/>
    </w:rPr>
  </w:style>
  <w:style w:type="character" w:customStyle="1" w:styleId="46">
    <w:name w:val="正文文本 字符"/>
    <w:basedOn w:val="26"/>
    <w:link w:val="11"/>
    <w:qFormat/>
    <w:uiPriority w:val="0"/>
    <w:rPr>
      <w:rFonts w:hint="eastAsia" w:ascii="楷体_GB2312" w:hAnsi="Arial" w:eastAsia="楷体_GB2312" w:cs="楷体_GB2312"/>
      <w:kern w:val="2"/>
      <w:sz w:val="28"/>
    </w:rPr>
  </w:style>
  <w:style w:type="character" w:customStyle="1" w:styleId="47">
    <w:name w:val="页眉 字符"/>
    <w:basedOn w:val="26"/>
    <w:link w:val="18"/>
    <w:qFormat/>
    <w:uiPriority w:val="0"/>
    <w:rPr>
      <w:kern w:val="2"/>
      <w:sz w:val="18"/>
    </w:rPr>
  </w:style>
  <w:style w:type="character" w:customStyle="1" w:styleId="48">
    <w:name w:val="页脚 字符"/>
    <w:basedOn w:val="26"/>
    <w:link w:val="17"/>
    <w:qFormat/>
    <w:uiPriority w:val="0"/>
    <w:rPr>
      <w:kern w:val="2"/>
      <w:sz w:val="18"/>
    </w:rPr>
  </w:style>
  <w:style w:type="character" w:customStyle="1" w:styleId="49">
    <w:name w:val="标题 1 字符"/>
    <w:basedOn w:val="26"/>
    <w:link w:val="3"/>
    <w:qFormat/>
    <w:uiPriority w:val="0"/>
    <w:rPr>
      <w:rFonts w:hint="eastAsia" w:ascii="宋体" w:hAnsi="宋体" w:eastAsia="宋体" w:cs="宋体"/>
      <w:b/>
      <w:kern w:val="2"/>
      <w:sz w:val="36"/>
    </w:rPr>
  </w:style>
  <w:style w:type="character" w:customStyle="1" w:styleId="50">
    <w:name w:val="正文文本缩进 字符"/>
    <w:basedOn w:val="26"/>
    <w:link w:val="12"/>
    <w:qFormat/>
    <w:uiPriority w:val="0"/>
    <w:rPr>
      <w:rFonts w:hint="eastAsia" w:ascii="仿宋_GB2312" w:hAnsi="Arial" w:eastAsia="仿宋_GB2312" w:cs="仿宋_GB2312"/>
      <w:sz w:val="32"/>
      <w:szCs w:val="32"/>
    </w:rPr>
  </w:style>
  <w:style w:type="character" w:customStyle="1" w:styleId="51">
    <w:name w:val="日期 字符"/>
    <w:basedOn w:val="26"/>
    <w:link w:val="14"/>
    <w:qFormat/>
    <w:uiPriority w:val="0"/>
    <w:rPr>
      <w:kern w:val="2"/>
      <w:sz w:val="21"/>
    </w:rPr>
  </w:style>
  <w:style w:type="character" w:customStyle="1" w:styleId="52">
    <w:name w:val="标题 2 字符"/>
    <w:basedOn w:val="26"/>
    <w:link w:val="4"/>
    <w:qFormat/>
    <w:uiPriority w:val="0"/>
    <w:rPr>
      <w:rFonts w:hint="eastAsia" w:ascii="楷体_GB2312" w:eastAsia="楷体_GB2312" w:cs="楷体_GB2312"/>
      <w:b/>
      <w:kern w:val="2"/>
      <w:sz w:val="28"/>
      <w:szCs w:val="28"/>
    </w:rPr>
  </w:style>
  <w:style w:type="character" w:customStyle="1" w:styleId="53">
    <w:name w:val="标题 4 字符"/>
    <w:basedOn w:val="26"/>
    <w:link w:val="6"/>
    <w:qFormat/>
    <w:uiPriority w:val="0"/>
    <w:rPr>
      <w:rFonts w:hint="default" w:ascii="Cambria" w:hAnsi="Cambria" w:eastAsia="Cambria" w:cs="Cambria"/>
      <w:b/>
      <w:kern w:val="2"/>
      <w:sz w:val="28"/>
      <w:szCs w:val="28"/>
      <w:lang w:val="zh-CN"/>
    </w:rPr>
  </w:style>
  <w:style w:type="character" w:customStyle="1" w:styleId="54">
    <w:name w:val="font71"/>
    <w:basedOn w:val="26"/>
    <w:qFormat/>
    <w:uiPriority w:val="0"/>
    <w:rPr>
      <w:rFonts w:hint="eastAsia" w:ascii="宋体" w:hAnsi="宋体" w:eastAsia="宋体" w:cs="宋体"/>
      <w:color w:val="000000"/>
      <w:sz w:val="22"/>
      <w:szCs w:val="22"/>
      <w:u w:val="none"/>
    </w:rPr>
  </w:style>
  <w:style w:type="character" w:customStyle="1" w:styleId="55">
    <w:name w:val="批注文字 字符"/>
    <w:basedOn w:val="26"/>
    <w:link w:val="10"/>
    <w:qFormat/>
    <w:uiPriority w:val="0"/>
    <w:rPr>
      <w:rFonts w:hint="default" w:ascii="Calibri" w:hAnsi="Calibri" w:eastAsia="PMingLiU" w:cs="Calibri"/>
      <w:sz w:val="24"/>
      <w:lang w:eastAsia="zh-TW"/>
    </w:rPr>
  </w:style>
  <w:style w:type="character" w:customStyle="1" w:styleId="56">
    <w:name w:val="标题 字符"/>
    <w:basedOn w:val="26"/>
    <w:link w:val="22"/>
    <w:qFormat/>
    <w:uiPriority w:val="0"/>
    <w:rPr>
      <w:rFonts w:hint="default" w:ascii="Cambria" w:hAnsi="Cambria" w:eastAsia="Cambria" w:cs="Cambria"/>
      <w:b/>
      <w:kern w:val="2"/>
      <w:sz w:val="32"/>
      <w:szCs w:val="32"/>
    </w:rPr>
  </w:style>
  <w:style w:type="character" w:customStyle="1" w:styleId="57">
    <w:name w:val="正文文本缩进 2 字符"/>
    <w:basedOn w:val="26"/>
    <w:link w:val="15"/>
    <w:qFormat/>
    <w:uiPriority w:val="0"/>
    <w:rPr>
      <w:rFonts w:hint="eastAsia" w:ascii="宋体" w:hAnsi="宋体" w:eastAsia="宋体" w:cs="宋体"/>
      <w:kern w:val="2"/>
      <w:sz w:val="24"/>
      <w:szCs w:val="24"/>
    </w:rPr>
  </w:style>
  <w:style w:type="table" w:customStyle="1" w:styleId="58">
    <w:name w:val="网格型1"/>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59">
    <w:name w:val="_Style 1"/>
    <w:basedOn w:val="1"/>
    <w:qFormat/>
    <w:uiPriority w:val="0"/>
    <w:pPr>
      <w:ind w:firstLine="420" w:firstLineChars="200"/>
    </w:pPr>
    <w:rPr>
      <w:kern w:val="0"/>
      <w:sz w:val="20"/>
    </w:rPr>
  </w:style>
  <w:style w:type="paragraph" w:styleId="60">
    <w:name w:val="List Paragraph"/>
    <w:basedOn w:val="1"/>
    <w:qFormat/>
    <w:uiPriority w:val="1"/>
    <w:pPr>
      <w:ind w:left="362" w:firstLine="480"/>
    </w:pPr>
    <w:rPr>
      <w:rFonts w:ascii="宋体" w:hAnsi="宋体" w:cs="宋体"/>
      <w:lang w:val="zh-CN" w:bidi="zh-CN"/>
    </w:rPr>
  </w:style>
  <w:style w:type="paragraph" w:customStyle="1" w:styleId="61">
    <w:name w:val="Table Paragraph"/>
    <w:basedOn w:val="1"/>
    <w:qFormat/>
    <w:uiPriority w:val="1"/>
    <w:rPr>
      <w:rFonts w:ascii="宋体" w:hAnsi="宋体" w:cs="宋体"/>
      <w:lang w:val="zh-CN" w:bidi="zh-CN"/>
    </w:rPr>
  </w:style>
  <w:style w:type="paragraph" w:customStyle="1" w:styleId="62">
    <w:name w:val="样式 宋体 五号 行距: 单倍行距"/>
    <w:basedOn w:val="1"/>
    <w:qFormat/>
    <w:uiPriority w:val="0"/>
    <w:rPr>
      <w:rFonts w:ascii="宋体" w:hAnsi="宋体" w:cs="宋体"/>
      <w:sz w:val="21"/>
    </w:rPr>
  </w:style>
  <w:style w:type="paragraph" w:customStyle="1" w:styleId="63">
    <w:name w:val="纯文本2"/>
    <w:basedOn w:val="1"/>
    <w:qFormat/>
    <w:uiPriority w:val="99"/>
    <w:pPr>
      <w:widowControl/>
      <w:adjustRightInd w:val="0"/>
      <w:jc w:val="left"/>
      <w:textAlignment w:val="baseline"/>
    </w:pPr>
    <w:rPr>
      <w:rFonts w:ascii="宋体" w:hAnsi="Courier New" w:eastAsia="楷体_GB2312"/>
      <w:kern w:val="0"/>
      <w:sz w:val="26"/>
    </w:rPr>
  </w:style>
  <w:style w:type="character" w:customStyle="1" w:styleId="64">
    <w:name w:val="批注框文本 字符"/>
    <w:basedOn w:val="26"/>
    <w:link w:val="16"/>
    <w:qFormat/>
    <w:uiPriority w:val="0"/>
    <w:rPr>
      <w:rFonts w:ascii="Times New Roman" w:hAnsi="Times New Roman"/>
      <w:kern w:val="2"/>
      <w:sz w:val="18"/>
      <w:szCs w:val="18"/>
    </w:rPr>
  </w:style>
  <w:style w:type="paragraph" w:customStyle="1" w:styleId="65">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66">
    <w:name w:val="页码1"/>
    <w:basedOn w:val="26"/>
    <w:qFormat/>
    <w:uiPriority w:val="0"/>
  </w:style>
  <w:style w:type="character" w:customStyle="1" w:styleId="67">
    <w:name w:val="正文缩进 字符"/>
    <w:link w:val="7"/>
    <w:qFormat/>
    <w:uiPriority w:val="0"/>
    <w:rPr>
      <w:rFonts w:asciiTheme="minorHAnsi" w:hAnsiTheme="minorHAnsi" w:eastAsiaTheme="minorEastAsia" w:cstheme="minorBidi"/>
      <w:kern w:val="2"/>
      <w:sz w:val="24"/>
      <w:szCs w:val="22"/>
    </w:rPr>
  </w:style>
  <w:style w:type="character" w:customStyle="1" w:styleId="68">
    <w:name w:val="正文文本 (3)_"/>
    <w:link w:val="69"/>
    <w:qFormat/>
    <w:uiPriority w:val="0"/>
    <w:rPr>
      <w:rFonts w:ascii="宋体" w:hAnsi="宋体" w:cs="宋体"/>
      <w:b/>
      <w:bCs/>
      <w:sz w:val="28"/>
      <w:szCs w:val="28"/>
      <w:shd w:val="clear" w:color="auto" w:fill="FFFFFF"/>
    </w:rPr>
  </w:style>
  <w:style w:type="paragraph" w:customStyle="1" w:styleId="69">
    <w:name w:val="正文文本 (3)"/>
    <w:basedOn w:val="1"/>
    <w:link w:val="68"/>
    <w:qFormat/>
    <w:uiPriority w:val="0"/>
    <w:pPr>
      <w:shd w:val="clear" w:color="auto" w:fill="FFFFFF"/>
      <w:spacing w:before="1320" w:after="2040" w:line="0" w:lineRule="atLeast"/>
      <w:jc w:val="center"/>
    </w:pPr>
    <w:rPr>
      <w:rFonts w:ascii="宋体" w:hAnsi="宋体" w:cs="宋体"/>
      <w:b/>
      <w:bCs/>
      <w:kern w:val="0"/>
      <w:szCs w:val="28"/>
    </w:rPr>
  </w:style>
  <w:style w:type="character" w:customStyle="1" w:styleId="70">
    <w:name w:val="正文文本 (2)_"/>
    <w:link w:val="71"/>
    <w:qFormat/>
    <w:uiPriority w:val="0"/>
    <w:rPr>
      <w:rFonts w:ascii="宋体" w:hAnsi="宋体" w:cs="宋体"/>
      <w:sz w:val="26"/>
      <w:szCs w:val="26"/>
      <w:shd w:val="clear" w:color="auto" w:fill="FFFFFF"/>
    </w:rPr>
  </w:style>
  <w:style w:type="paragraph" w:customStyle="1" w:styleId="71">
    <w:name w:val="正文文本 (2)"/>
    <w:basedOn w:val="1"/>
    <w:link w:val="70"/>
    <w:qFormat/>
    <w:uiPriority w:val="0"/>
    <w:pPr>
      <w:shd w:val="clear" w:color="auto" w:fill="FFFFFF"/>
      <w:spacing w:before="1320" w:after="1320" w:line="0" w:lineRule="atLeast"/>
      <w:jc w:val="center"/>
    </w:pPr>
    <w:rPr>
      <w:rFonts w:ascii="宋体" w:hAnsi="宋体" w:cs="宋体"/>
      <w:kern w:val="0"/>
      <w:sz w:val="26"/>
      <w:szCs w:val="26"/>
    </w:rPr>
  </w:style>
  <w:style w:type="character" w:customStyle="1" w:styleId="72">
    <w:name w:val="副标题 字符"/>
    <w:link w:val="19"/>
    <w:qFormat/>
    <w:uiPriority w:val="0"/>
    <w:rPr>
      <w:rFonts w:ascii="Cambria" w:hAnsi="Cambria"/>
      <w:b/>
      <w:bCs/>
      <w:kern w:val="28"/>
      <w:sz w:val="24"/>
      <w:szCs w:val="32"/>
    </w:rPr>
  </w:style>
  <w:style w:type="character" w:customStyle="1" w:styleId="73">
    <w:name w:val="副标题 Char1"/>
    <w:basedOn w:val="26"/>
    <w:qFormat/>
    <w:uiPriority w:val="0"/>
    <w:rPr>
      <w:rFonts w:asciiTheme="majorHAnsi" w:hAnsiTheme="majorHAnsi" w:cstheme="majorBidi"/>
      <w:b/>
      <w:bCs/>
      <w:kern w:val="28"/>
      <w:sz w:val="32"/>
      <w:szCs w:val="32"/>
    </w:rPr>
  </w:style>
  <w:style w:type="paragraph" w:customStyle="1" w:styleId="74">
    <w:name w:val="纯文本1"/>
    <w:basedOn w:val="1"/>
    <w:link w:val="75"/>
    <w:qFormat/>
    <w:uiPriority w:val="0"/>
    <w:pPr>
      <w:widowControl/>
      <w:adjustRightInd w:val="0"/>
      <w:jc w:val="left"/>
      <w:textAlignment w:val="baseline"/>
    </w:pPr>
    <w:rPr>
      <w:rFonts w:ascii="宋体" w:hAnsi="Courier New" w:eastAsia="楷体_GB2312"/>
      <w:kern w:val="0"/>
      <w:sz w:val="26"/>
    </w:rPr>
  </w:style>
  <w:style w:type="character" w:customStyle="1" w:styleId="75">
    <w:name w:val="Plain Text Char"/>
    <w:link w:val="74"/>
    <w:qFormat/>
    <w:uiPriority w:val="0"/>
    <w:rPr>
      <w:rFonts w:ascii="宋体" w:hAnsi="Courier New" w:eastAsia="楷体_GB2312"/>
      <w:sz w:val="26"/>
    </w:rPr>
  </w:style>
  <w:style w:type="paragraph" w:customStyle="1" w:styleId="76">
    <w:name w:val="纯文本3"/>
    <w:basedOn w:val="1"/>
    <w:qFormat/>
    <w:uiPriority w:val="0"/>
    <w:pPr>
      <w:adjustRightInd w:val="0"/>
      <w:textAlignment w:val="baseline"/>
    </w:pPr>
    <w:rPr>
      <w:rFonts w:ascii="宋体" w:hAnsi="Courier New" w:eastAsia="楷体_GB2312"/>
    </w:rPr>
  </w:style>
  <w:style w:type="table" w:customStyle="1" w:styleId="77">
    <w:name w:val="Table Normal"/>
    <w:unhideWhenUsed/>
    <w:qFormat/>
    <w:uiPriority w:val="0"/>
    <w:tblPr>
      <w:tblCellMar>
        <w:top w:w="0" w:type="dxa"/>
        <w:left w:w="0" w:type="dxa"/>
        <w:bottom w:w="0" w:type="dxa"/>
        <w:right w:w="0" w:type="dxa"/>
      </w:tblCellMar>
    </w:tblPr>
  </w:style>
  <w:style w:type="paragraph" w:customStyle="1" w:styleId="78">
    <w:name w:val="纯文本31"/>
    <w:basedOn w:val="1"/>
    <w:qFormat/>
    <w:uiPriority w:val="0"/>
    <w:pPr>
      <w:adjustRightInd w:val="0"/>
      <w:textAlignment w:val="baseline"/>
    </w:pPr>
    <w:rPr>
      <w:rFonts w:ascii="宋体" w:hAnsi="Courier New" w:eastAsia="楷体_GB2312"/>
    </w:rPr>
  </w:style>
  <w:style w:type="character" w:customStyle="1" w:styleId="79">
    <w:name w:val="font01"/>
    <w:basedOn w:val="2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54</Pages>
  <Words>28916</Words>
  <Characters>30254</Characters>
  <Lines>241</Lines>
  <Paragraphs>67</Paragraphs>
  <TotalTime>98</TotalTime>
  <ScaleCrop>false</ScaleCrop>
  <LinksUpToDate>false</LinksUpToDate>
  <CharactersWithSpaces>31675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2022-09-06T10:06:00Z</dcterms:created>
  <dc:creator>Administrator</dc:creator>
  <cp:lastModifiedBy>米粒儿~</cp:lastModifiedBy>
  <cp:lastPrinted>2022-12-29T06:03:00Z</cp:lastPrinted>
  <dcterms:modified xsi:type="dcterms:W3CDTF">2023-01-03T07:38:01Z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D9D195C2CE3D4F2C9642ED3972E42E7B</vt:lpwstr>
  </property>
  <property fmtid="{D5CDD505-2E9C-101B-9397-08002B2CF9AE}" pid="4" name="commondata">
    <vt:lpwstr>eyJoZGlkIjoiODdhZDQ1MWE2Y2Q4M2NlYjY0ODliNzBjNDY4OGEzY2QifQ==</vt:lpwstr>
  </property>
</Properties>
</file>