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00" w:lineRule="auto"/>
        <w:rPr>
          <w:rFonts w:hint="eastAsia"/>
          <w:color w:val="auto"/>
          <w:sz w:val="44"/>
          <w:highlight w:val="none"/>
        </w:rPr>
      </w:pPr>
      <w:r>
        <w:rPr>
          <w:rFonts w:hint="eastAsia"/>
          <w:snapToGrid w:val="0"/>
          <w:color w:val="auto"/>
          <w:highlight w:val="none"/>
          <w:lang w:val="en-US" w:eastAsia="zh-CN"/>
        </w:rPr>
        <w:t xml:space="preserve">                                             </w:t>
      </w:r>
      <w:r>
        <w:rPr>
          <w:rFonts w:hint="eastAsia"/>
          <w:snapToGrid w:val="0"/>
          <w:color w:val="auto"/>
          <w:highlight w:val="none"/>
        </w:rPr>
        <w:t xml:space="preserve">  </w:t>
      </w:r>
    </w:p>
    <w:p>
      <w:pPr>
        <w:tabs>
          <w:tab w:val="left" w:pos="4515"/>
        </w:tabs>
        <w:jc w:val="center"/>
        <w:rPr>
          <w:rFonts w:hint="eastAsia" w:ascii="宋体" w:hAnsi="宋体"/>
          <w:b/>
          <w:color w:val="auto"/>
          <w:sz w:val="48"/>
          <w:highlight w:val="none"/>
        </w:rPr>
      </w:pPr>
      <w:r>
        <w:rPr>
          <w:rFonts w:hint="eastAsia" w:ascii="宋体" w:hAnsi="宋体"/>
          <w:b/>
          <w:color w:val="auto"/>
          <w:sz w:val="48"/>
          <w:highlight w:val="none"/>
        </w:rPr>
        <w:t>常 州 市 建 设 工 程</w:t>
      </w:r>
    </w:p>
    <w:p>
      <w:pPr>
        <w:rPr>
          <w:rFonts w:hint="eastAsia" w:ascii="宋体" w:hAnsi="宋体"/>
          <w:color w:val="auto"/>
          <w:sz w:val="24"/>
          <w:highlight w:val="none"/>
        </w:rPr>
      </w:pPr>
    </w:p>
    <w:p>
      <w:pPr>
        <w:rPr>
          <w:rFonts w:hint="eastAsia" w:ascii="宋体" w:hAnsi="宋体"/>
          <w:color w:val="auto"/>
          <w:sz w:val="24"/>
          <w:highlight w:val="none"/>
        </w:rPr>
      </w:pPr>
    </w:p>
    <w:p>
      <w:pPr>
        <w:rPr>
          <w:rFonts w:hint="eastAsia" w:ascii="宋体" w:hAnsi="宋体"/>
          <w:color w:val="auto"/>
          <w:sz w:val="24"/>
          <w:highlight w:val="none"/>
        </w:rPr>
      </w:pPr>
    </w:p>
    <w:p>
      <w:pPr>
        <w:rPr>
          <w:rFonts w:hint="eastAsia" w:ascii="宋体" w:hAnsi="宋体"/>
          <w:color w:val="auto"/>
          <w:sz w:val="24"/>
          <w:highlight w:val="none"/>
        </w:rPr>
      </w:pPr>
    </w:p>
    <w:p>
      <w:pPr>
        <w:jc w:val="center"/>
        <w:rPr>
          <w:rFonts w:hint="eastAsia" w:ascii="宋体" w:hAnsi="宋体"/>
          <w:b/>
          <w:color w:val="auto"/>
          <w:sz w:val="84"/>
          <w:highlight w:val="none"/>
        </w:rPr>
      </w:pPr>
      <w:r>
        <w:rPr>
          <w:rFonts w:hint="eastAsia" w:ascii="宋体" w:hAnsi="宋体"/>
          <w:b/>
          <w:color w:val="auto"/>
          <w:sz w:val="84"/>
          <w:highlight w:val="none"/>
        </w:rPr>
        <w:t>施 工 招 标 文 件</w:t>
      </w:r>
    </w:p>
    <w:p>
      <w:pPr>
        <w:pStyle w:val="6"/>
        <w:rPr>
          <w:rFonts w:hint="eastAsia" w:ascii="宋体" w:hAnsi="宋体"/>
          <w:b/>
          <w:color w:val="auto"/>
          <w:sz w:val="84"/>
          <w:highlight w:val="none"/>
        </w:rPr>
      </w:pPr>
    </w:p>
    <w:p>
      <w:pPr>
        <w:rPr>
          <w:rFonts w:hint="eastAsia" w:ascii="宋体" w:hAnsi="宋体"/>
          <w:color w:val="auto"/>
          <w:sz w:val="24"/>
          <w:highlight w:val="none"/>
        </w:rPr>
      </w:pPr>
    </w:p>
    <w:p>
      <w:pPr>
        <w:jc w:val="center"/>
        <w:rPr>
          <w:rFonts w:hint="eastAsia" w:ascii="宋体" w:hAnsi="宋体"/>
          <w:b/>
          <w:color w:val="auto"/>
          <w:sz w:val="30"/>
          <w:highlight w:val="none"/>
        </w:rPr>
      </w:pPr>
    </w:p>
    <w:p>
      <w:pPr>
        <w:jc w:val="center"/>
        <w:rPr>
          <w:rFonts w:hint="eastAsia" w:ascii="宋体" w:hAnsi="宋体"/>
          <w:b/>
          <w:color w:val="auto"/>
          <w:sz w:val="24"/>
          <w:szCs w:val="24"/>
          <w:highlight w:val="none"/>
        </w:rPr>
      </w:pPr>
    </w:p>
    <w:p>
      <w:pPr>
        <w:ind w:firstLine="2093" w:firstLineChars="695"/>
        <w:rPr>
          <w:rFonts w:hint="default" w:ascii="宋体" w:hAnsi="宋体" w:eastAsia="宋体"/>
          <w:b/>
          <w:color w:val="auto"/>
          <w:sz w:val="30"/>
          <w:highlight w:val="none"/>
          <w:lang w:val="en-US" w:eastAsia="zh-CN"/>
        </w:rPr>
      </w:pPr>
      <w:r>
        <w:rPr>
          <w:rFonts w:hint="eastAsia" w:ascii="宋体" w:hAnsi="宋体"/>
          <w:b/>
          <w:color w:val="auto"/>
          <w:sz w:val="30"/>
          <w:highlight w:val="none"/>
          <w:lang w:val="en-US" w:eastAsia="zh-CN"/>
        </w:rPr>
        <w:t xml:space="preserve">                                        </w:t>
      </w:r>
    </w:p>
    <w:p>
      <w:pPr>
        <w:ind w:firstLine="2224" w:firstLineChars="695"/>
        <w:rPr>
          <w:rFonts w:hint="eastAsia" w:ascii="宋体" w:hAnsi="宋体"/>
          <w:color w:val="auto"/>
          <w:sz w:val="32"/>
          <w:szCs w:val="32"/>
          <w:highlight w:val="none"/>
        </w:rPr>
      </w:pPr>
    </w:p>
    <w:p>
      <w:pPr>
        <w:adjustRightInd w:val="0"/>
        <w:snapToGrid w:val="0"/>
        <w:spacing w:line="480" w:lineRule="auto"/>
        <w:jc w:val="center"/>
        <w:rPr>
          <w:rFonts w:hint="eastAsia" w:ascii="宋体" w:hAnsi="宋体"/>
          <w:bCs/>
          <w:snapToGrid w:val="0"/>
          <w:color w:val="auto"/>
          <w:sz w:val="32"/>
          <w:highlight w:val="none"/>
        </w:rPr>
      </w:pPr>
    </w:p>
    <w:p>
      <w:pPr>
        <w:adjustRightInd w:val="0"/>
        <w:snapToGrid w:val="0"/>
        <w:spacing w:line="480" w:lineRule="auto"/>
        <w:rPr>
          <w:rFonts w:hint="eastAsia" w:ascii="宋体" w:hAnsi="宋体"/>
          <w:bCs/>
          <w:snapToGrid w:val="0"/>
          <w:color w:val="auto"/>
          <w:sz w:val="30"/>
          <w:szCs w:val="30"/>
          <w:highlight w:val="none"/>
          <w:u w:val="single"/>
        </w:rPr>
      </w:pPr>
      <w:r>
        <w:rPr>
          <w:rFonts w:hint="eastAsia" w:ascii="宋体" w:hAnsi="宋体"/>
          <w:bCs/>
          <w:snapToGrid w:val="0"/>
          <w:color w:val="auto"/>
          <w:sz w:val="30"/>
          <w:szCs w:val="30"/>
          <w:highlight w:val="none"/>
        </w:rPr>
        <w:t>项目名称：</w:t>
      </w:r>
      <w:r>
        <w:rPr>
          <w:rFonts w:hint="eastAsia" w:ascii="宋体" w:hAnsi="宋体"/>
          <w:bCs/>
          <w:snapToGrid w:val="0"/>
          <w:color w:val="auto"/>
          <w:sz w:val="30"/>
          <w:szCs w:val="30"/>
          <w:highlight w:val="none"/>
          <w:u w:val="single"/>
          <w:lang w:eastAsia="zh-CN"/>
        </w:rPr>
        <w:t>茅庵村河塘整治工程</w:t>
      </w:r>
    </w:p>
    <w:p>
      <w:pPr>
        <w:adjustRightInd w:val="0"/>
        <w:snapToGrid w:val="0"/>
        <w:spacing w:line="480" w:lineRule="auto"/>
        <w:ind w:firstLine="1200" w:firstLineChars="400"/>
        <w:rPr>
          <w:rFonts w:hint="eastAsia" w:ascii="宋体" w:hAnsi="宋体"/>
          <w:bCs/>
          <w:snapToGrid w:val="0"/>
          <w:color w:val="auto"/>
          <w:sz w:val="30"/>
          <w:szCs w:val="30"/>
          <w:highlight w:val="none"/>
        </w:rPr>
      </w:pPr>
    </w:p>
    <w:p>
      <w:pPr>
        <w:adjustRightInd w:val="0"/>
        <w:snapToGrid w:val="0"/>
        <w:spacing w:line="480" w:lineRule="auto"/>
        <w:rPr>
          <w:rFonts w:hint="eastAsia" w:ascii="宋体" w:hAnsi="宋体"/>
          <w:bCs/>
          <w:snapToGrid w:val="0"/>
          <w:color w:val="auto"/>
          <w:sz w:val="30"/>
          <w:szCs w:val="30"/>
          <w:highlight w:val="none"/>
          <w:u w:val="single"/>
        </w:rPr>
      </w:pPr>
      <w:r>
        <w:rPr>
          <w:rFonts w:hint="eastAsia" w:ascii="宋体" w:hAnsi="宋体"/>
          <w:bCs/>
          <w:snapToGrid w:val="0"/>
          <w:color w:val="auto"/>
          <w:sz w:val="30"/>
          <w:szCs w:val="30"/>
          <w:highlight w:val="none"/>
        </w:rPr>
        <w:t>招 标 人</w:t>
      </w:r>
      <w:r>
        <w:rPr>
          <w:rFonts w:hint="eastAsia" w:ascii="宋体" w:hAnsi="宋体"/>
          <w:bCs/>
          <w:snapToGrid w:val="0"/>
          <w:color w:val="auto"/>
          <w:sz w:val="30"/>
          <w:szCs w:val="30"/>
          <w:highlight w:val="none"/>
          <w:lang w:eastAsia="zh-CN"/>
        </w:rPr>
        <w:t>：</w:t>
      </w:r>
      <w:r>
        <w:rPr>
          <w:rFonts w:hint="eastAsia" w:ascii="宋体" w:hAnsi="宋体"/>
          <w:bCs/>
          <w:snapToGrid w:val="0"/>
          <w:color w:val="auto"/>
          <w:sz w:val="30"/>
          <w:szCs w:val="30"/>
          <w:highlight w:val="none"/>
          <w:u w:val="single"/>
          <w:lang w:eastAsia="zh-CN"/>
        </w:rPr>
        <w:t>常州市金坛区薛埠镇茅庵村村民委员会</w:t>
      </w:r>
    </w:p>
    <w:p>
      <w:pPr>
        <w:adjustRightInd w:val="0"/>
        <w:snapToGrid w:val="0"/>
        <w:spacing w:line="480" w:lineRule="auto"/>
        <w:ind w:firstLine="1200" w:firstLineChars="400"/>
        <w:rPr>
          <w:rFonts w:hint="eastAsia" w:ascii="宋体" w:hAnsi="宋体"/>
          <w:color w:val="auto"/>
          <w:sz w:val="30"/>
          <w:szCs w:val="30"/>
          <w:highlight w:val="none"/>
        </w:rPr>
      </w:pPr>
    </w:p>
    <w:p>
      <w:pPr>
        <w:adjustRightInd w:val="0"/>
        <w:snapToGrid w:val="0"/>
        <w:spacing w:line="480" w:lineRule="auto"/>
        <w:rPr>
          <w:rFonts w:hint="eastAsia" w:ascii="宋体" w:hAnsi="宋体"/>
          <w:color w:val="auto"/>
          <w:sz w:val="30"/>
          <w:szCs w:val="30"/>
          <w:highlight w:val="none"/>
          <w:u w:val="single"/>
        </w:rPr>
      </w:pPr>
      <w:r>
        <w:rPr>
          <w:rFonts w:hint="eastAsia" w:ascii="宋体" w:hAnsi="宋体"/>
          <w:color w:val="auto"/>
          <w:sz w:val="30"/>
          <w:szCs w:val="30"/>
          <w:highlight w:val="none"/>
        </w:rPr>
        <w:t>招标代理人：</w:t>
      </w:r>
      <w:r>
        <w:rPr>
          <w:rFonts w:hint="eastAsia" w:ascii="宋体" w:hAnsi="宋体"/>
          <w:bCs/>
          <w:snapToGrid w:val="0"/>
          <w:color w:val="auto"/>
          <w:sz w:val="30"/>
          <w:szCs w:val="30"/>
          <w:highlight w:val="none"/>
          <w:u w:val="single"/>
          <w:lang w:eastAsia="zh-CN"/>
        </w:rPr>
        <w:t>江苏利诚全过程工程咨询有限公司</w:t>
      </w:r>
    </w:p>
    <w:p>
      <w:pPr>
        <w:adjustRightInd w:val="0"/>
        <w:snapToGrid w:val="0"/>
        <w:spacing w:line="480" w:lineRule="auto"/>
        <w:ind w:firstLine="1200" w:firstLineChars="400"/>
        <w:rPr>
          <w:rFonts w:hint="eastAsia" w:ascii="宋体" w:hAnsi="宋体"/>
          <w:bCs/>
          <w:color w:val="auto"/>
          <w:sz w:val="30"/>
          <w:szCs w:val="30"/>
          <w:highlight w:val="none"/>
        </w:rPr>
      </w:pPr>
    </w:p>
    <w:p>
      <w:pPr>
        <w:adjustRightInd w:val="0"/>
        <w:snapToGrid w:val="0"/>
        <w:spacing w:line="480" w:lineRule="auto"/>
        <w:rPr>
          <w:rFonts w:hint="default" w:ascii="宋体" w:hAnsi="宋体" w:eastAsia="宋体"/>
          <w:color w:val="auto"/>
          <w:sz w:val="30"/>
          <w:szCs w:val="30"/>
          <w:highlight w:val="none"/>
          <w:lang w:val="en-US" w:eastAsia="zh-CN"/>
        </w:rPr>
      </w:pPr>
      <w:r>
        <w:rPr>
          <w:rFonts w:hint="eastAsia" w:ascii="宋体" w:hAnsi="宋体"/>
          <w:bCs/>
          <w:color w:val="auto"/>
          <w:sz w:val="30"/>
          <w:szCs w:val="30"/>
          <w:highlight w:val="none"/>
        </w:rPr>
        <w:t>发 放 时 间：</w:t>
      </w:r>
      <w:r>
        <w:rPr>
          <w:rFonts w:hint="eastAsia" w:ascii="宋体" w:hAnsi="宋体"/>
          <w:bCs/>
          <w:color w:val="auto"/>
          <w:sz w:val="30"/>
          <w:szCs w:val="30"/>
          <w:highlight w:val="none"/>
          <w:u w:val="single"/>
        </w:rPr>
        <w:t xml:space="preserve"> </w:t>
      </w:r>
      <w:r>
        <w:rPr>
          <w:rFonts w:hint="eastAsia" w:ascii="宋体" w:hAnsi="宋体"/>
          <w:bCs/>
          <w:color w:val="auto"/>
          <w:sz w:val="30"/>
          <w:szCs w:val="30"/>
          <w:highlight w:val="none"/>
          <w:u w:val="single"/>
          <w:lang w:val="en-US" w:eastAsia="zh-CN"/>
        </w:rPr>
        <w:t>2023</w:t>
      </w:r>
      <w:r>
        <w:rPr>
          <w:rFonts w:hint="eastAsia" w:ascii="宋体" w:hAnsi="宋体"/>
          <w:color w:val="auto"/>
          <w:sz w:val="30"/>
          <w:szCs w:val="30"/>
          <w:highlight w:val="none"/>
        </w:rPr>
        <w:t>年</w:t>
      </w:r>
      <w:r>
        <w:rPr>
          <w:rFonts w:hint="eastAsia" w:ascii="宋体" w:hAnsi="宋体"/>
          <w:color w:val="auto"/>
          <w:sz w:val="30"/>
          <w:szCs w:val="30"/>
          <w:highlight w:val="none"/>
          <w:u w:val="single"/>
        </w:rPr>
        <w:t xml:space="preserve"> </w:t>
      </w:r>
      <w:r>
        <w:rPr>
          <w:rFonts w:hint="eastAsia" w:ascii="宋体" w:hAnsi="宋体"/>
          <w:color w:val="auto"/>
          <w:sz w:val="30"/>
          <w:szCs w:val="30"/>
          <w:highlight w:val="none"/>
          <w:u w:val="single"/>
          <w:lang w:val="en-US" w:eastAsia="zh-CN"/>
        </w:rPr>
        <w:t>4</w:t>
      </w:r>
      <w:r>
        <w:rPr>
          <w:rFonts w:hint="eastAsia" w:ascii="宋体" w:hAnsi="宋体"/>
          <w:color w:val="auto"/>
          <w:sz w:val="30"/>
          <w:szCs w:val="30"/>
          <w:highlight w:val="none"/>
        </w:rPr>
        <w:t>月</w:t>
      </w:r>
      <w:r>
        <w:rPr>
          <w:rFonts w:hint="eastAsia" w:ascii="宋体" w:hAnsi="宋体"/>
          <w:color w:val="auto"/>
          <w:sz w:val="30"/>
          <w:szCs w:val="30"/>
          <w:highlight w:val="none"/>
          <w:u w:val="single"/>
          <w:lang w:val="en-US" w:eastAsia="zh-CN"/>
        </w:rPr>
        <w:t xml:space="preserve"> 13 </w:t>
      </w:r>
      <w:r>
        <w:rPr>
          <w:rFonts w:hint="eastAsia" w:ascii="宋体" w:hAnsi="宋体"/>
          <w:color w:val="auto"/>
          <w:sz w:val="30"/>
          <w:szCs w:val="30"/>
          <w:highlight w:val="none"/>
          <w:lang w:val="en-US" w:eastAsia="zh-CN"/>
        </w:rPr>
        <w:t>日</w:t>
      </w:r>
    </w:p>
    <w:p>
      <w:pPr>
        <w:adjustRightInd w:val="0"/>
        <w:snapToGrid w:val="0"/>
        <w:rPr>
          <w:rFonts w:hint="eastAsia" w:ascii="宋体" w:hAnsi="宋体"/>
          <w:b/>
          <w:bCs/>
          <w:color w:val="auto"/>
          <w:sz w:val="44"/>
          <w:highlight w:val="none"/>
        </w:rPr>
      </w:pPr>
    </w:p>
    <w:p>
      <w:pPr>
        <w:widowControl w:val="0"/>
        <w:ind w:firstLine="3889"/>
        <w:jc w:val="both"/>
        <w:rPr>
          <w:rFonts w:hint="eastAsia" w:ascii="宋体" w:hAnsi="宋体"/>
          <w:b/>
          <w:color w:val="auto"/>
          <w:kern w:val="2"/>
          <w:sz w:val="30"/>
          <w:szCs w:val="30"/>
          <w:highlight w:val="none"/>
        </w:rPr>
      </w:pPr>
    </w:p>
    <w:p>
      <w:pPr>
        <w:widowControl w:val="0"/>
        <w:ind w:firstLine="3889"/>
        <w:jc w:val="both"/>
        <w:rPr>
          <w:rFonts w:hint="eastAsia" w:ascii="宋体" w:hAnsi="宋体"/>
          <w:b/>
          <w:color w:val="auto"/>
          <w:kern w:val="2"/>
          <w:sz w:val="30"/>
          <w:szCs w:val="30"/>
          <w:highlight w:val="none"/>
        </w:rPr>
      </w:pPr>
    </w:p>
    <w:p>
      <w:pPr>
        <w:widowControl w:val="0"/>
        <w:ind w:firstLine="3889"/>
        <w:jc w:val="both"/>
        <w:rPr>
          <w:rFonts w:hint="eastAsia" w:ascii="宋体" w:hAnsi="宋体"/>
          <w:b/>
          <w:color w:val="auto"/>
          <w:kern w:val="2"/>
          <w:sz w:val="30"/>
          <w:szCs w:val="30"/>
          <w:highlight w:val="none"/>
        </w:rPr>
      </w:pPr>
    </w:p>
    <w:p>
      <w:pPr>
        <w:pStyle w:val="6"/>
        <w:rPr>
          <w:rFonts w:hint="eastAsia"/>
          <w:color w:val="auto"/>
          <w:highlight w:val="none"/>
        </w:rPr>
      </w:pPr>
    </w:p>
    <w:p>
      <w:pPr>
        <w:pStyle w:val="16"/>
        <w:ind w:left="0"/>
        <w:jc w:val="center"/>
        <w:rPr>
          <w:rFonts w:ascii="宋体" w:hAnsi="宋体" w:eastAsia="黑体" w:cs="Times New Roman"/>
          <w:b w:val="0"/>
          <w:smallCaps/>
          <w:snapToGrid w:val="0"/>
          <w:color w:val="auto"/>
          <w:kern w:val="2"/>
          <w:sz w:val="28"/>
          <w:highlight w:val="none"/>
          <w:lang w:val="en-US" w:eastAsia="zh-CN" w:bidi="ar-SA"/>
        </w:rPr>
      </w:pPr>
      <w:r>
        <w:rPr>
          <w:rFonts w:hint="eastAsia" w:ascii="宋体" w:hAnsi="宋体" w:eastAsia="宋体"/>
          <w:b/>
          <w:snapToGrid w:val="0"/>
          <w:color w:val="auto"/>
          <w:sz w:val="32"/>
          <w:szCs w:val="32"/>
          <w:highlight w:val="none"/>
        </w:rPr>
        <w:t>目 录</w:t>
      </w:r>
      <w:r>
        <w:rPr>
          <w:rFonts w:ascii="宋体" w:hAnsi="宋体" w:eastAsia="宋体"/>
          <w:b/>
          <w:snapToGrid w:val="0"/>
          <w:color w:val="auto"/>
          <w:sz w:val="32"/>
          <w:szCs w:val="32"/>
          <w:highlight w:val="none"/>
        </w:rPr>
        <w:fldChar w:fldCharType="begin"/>
      </w:r>
      <w:r>
        <w:rPr>
          <w:rFonts w:ascii="宋体" w:hAnsi="宋体" w:eastAsia="宋体"/>
          <w:b/>
          <w:snapToGrid w:val="0"/>
          <w:color w:val="auto"/>
          <w:sz w:val="32"/>
          <w:szCs w:val="32"/>
          <w:highlight w:val="none"/>
        </w:rPr>
        <w:instrText xml:space="preserve"> TOC \o "1-3" \h \z \u </w:instrText>
      </w:r>
      <w:r>
        <w:rPr>
          <w:rFonts w:ascii="宋体" w:hAnsi="宋体" w:eastAsia="宋体"/>
          <w:b/>
          <w:snapToGrid w:val="0"/>
          <w:color w:val="auto"/>
          <w:sz w:val="32"/>
          <w:szCs w:val="32"/>
          <w:highlight w:val="none"/>
        </w:rPr>
        <w:fldChar w:fldCharType="separate"/>
      </w:r>
    </w:p>
    <w:p>
      <w:pPr>
        <w:pStyle w:val="15"/>
        <w:tabs>
          <w:tab w:val="right" w:leader="dot" w:pos="8307"/>
          <w:tab w:val="clear" w:pos="9061"/>
        </w:tabs>
        <w:rPr>
          <w:color w:val="auto"/>
          <w:highlight w:val="none"/>
        </w:rPr>
      </w:pPr>
      <w:r>
        <w:rPr>
          <w:rFonts w:ascii="宋体" w:hAnsi="宋体"/>
          <w:snapToGrid w:val="0"/>
          <w:color w:val="auto"/>
          <w:highlight w:val="none"/>
        </w:rPr>
        <w:fldChar w:fldCharType="begin"/>
      </w:r>
      <w:r>
        <w:rPr>
          <w:rFonts w:ascii="宋体" w:hAnsi="宋体"/>
          <w:snapToGrid w:val="0"/>
          <w:color w:val="auto"/>
          <w:highlight w:val="none"/>
        </w:rPr>
        <w:instrText xml:space="preserve"> HYPERLINK \l _Toc28494 </w:instrText>
      </w:r>
      <w:r>
        <w:rPr>
          <w:rFonts w:ascii="宋体" w:hAnsi="宋体"/>
          <w:snapToGrid w:val="0"/>
          <w:color w:val="auto"/>
          <w:highlight w:val="none"/>
        </w:rPr>
        <w:fldChar w:fldCharType="separate"/>
      </w:r>
      <w:r>
        <w:rPr>
          <w:rFonts w:hint="eastAsia" w:ascii="宋体" w:hAnsi="宋体" w:eastAsia="宋体"/>
          <w:snapToGrid w:val="0"/>
          <w:color w:val="auto"/>
          <w:szCs w:val="32"/>
          <w:highlight w:val="none"/>
        </w:rPr>
        <w:t>第一章  招标公告</w:t>
      </w:r>
      <w:r>
        <w:rPr>
          <w:color w:val="auto"/>
          <w:highlight w:val="none"/>
        </w:rPr>
        <w:tab/>
      </w:r>
      <w:r>
        <w:rPr>
          <w:color w:val="auto"/>
          <w:highlight w:val="none"/>
        </w:rPr>
        <w:fldChar w:fldCharType="begin"/>
      </w:r>
      <w:r>
        <w:rPr>
          <w:color w:val="auto"/>
          <w:highlight w:val="none"/>
        </w:rPr>
        <w:instrText xml:space="preserve"> PAGEREF _Toc28494 \h </w:instrText>
      </w:r>
      <w:r>
        <w:rPr>
          <w:color w:val="auto"/>
          <w:highlight w:val="none"/>
        </w:rPr>
        <w:fldChar w:fldCharType="separate"/>
      </w:r>
      <w:r>
        <w:rPr>
          <w:color w:val="auto"/>
          <w:highlight w:val="none"/>
        </w:rPr>
        <w:t>3</w:t>
      </w:r>
      <w:r>
        <w:rPr>
          <w:color w:val="auto"/>
          <w:highlight w:val="none"/>
        </w:rPr>
        <w:fldChar w:fldCharType="end"/>
      </w:r>
      <w:r>
        <w:rPr>
          <w:rFonts w:ascii="宋体" w:hAnsi="宋体"/>
          <w:snapToGrid w:val="0"/>
          <w:color w:val="auto"/>
          <w:highlight w:val="none"/>
        </w:rPr>
        <w:fldChar w:fldCharType="end"/>
      </w:r>
    </w:p>
    <w:p>
      <w:pPr>
        <w:pStyle w:val="15"/>
        <w:tabs>
          <w:tab w:val="right" w:leader="dot" w:pos="8307"/>
          <w:tab w:val="clear" w:pos="9061"/>
        </w:tabs>
        <w:rPr>
          <w:color w:val="auto"/>
          <w:highlight w:val="none"/>
        </w:rPr>
      </w:pPr>
      <w:r>
        <w:rPr>
          <w:rFonts w:ascii="宋体" w:hAnsi="宋体"/>
          <w:snapToGrid w:val="0"/>
          <w:color w:val="auto"/>
          <w:highlight w:val="none"/>
        </w:rPr>
        <w:fldChar w:fldCharType="begin"/>
      </w:r>
      <w:r>
        <w:rPr>
          <w:rFonts w:ascii="宋体" w:hAnsi="宋体"/>
          <w:snapToGrid w:val="0"/>
          <w:color w:val="auto"/>
          <w:highlight w:val="none"/>
        </w:rPr>
        <w:instrText xml:space="preserve"> HYPERLINK \l _Toc32364 </w:instrText>
      </w:r>
      <w:r>
        <w:rPr>
          <w:rFonts w:ascii="宋体" w:hAnsi="宋体"/>
          <w:snapToGrid w:val="0"/>
          <w:color w:val="auto"/>
          <w:highlight w:val="none"/>
        </w:rPr>
        <w:fldChar w:fldCharType="separate"/>
      </w:r>
      <w:r>
        <w:rPr>
          <w:rFonts w:hint="eastAsia" w:ascii="宋体" w:hAnsi="宋体" w:eastAsia="宋体"/>
          <w:snapToGrid w:val="0"/>
          <w:color w:val="auto"/>
          <w:szCs w:val="32"/>
          <w:highlight w:val="none"/>
        </w:rPr>
        <w:t>第二章  投标须知</w:t>
      </w:r>
      <w:r>
        <w:rPr>
          <w:color w:val="auto"/>
          <w:highlight w:val="none"/>
        </w:rPr>
        <w:tab/>
      </w:r>
      <w:r>
        <w:rPr>
          <w:color w:val="auto"/>
          <w:highlight w:val="none"/>
        </w:rPr>
        <w:fldChar w:fldCharType="begin"/>
      </w:r>
      <w:r>
        <w:rPr>
          <w:color w:val="auto"/>
          <w:highlight w:val="none"/>
        </w:rPr>
        <w:instrText xml:space="preserve"> PAGEREF _Toc32364 \h </w:instrText>
      </w:r>
      <w:r>
        <w:rPr>
          <w:color w:val="auto"/>
          <w:highlight w:val="none"/>
        </w:rPr>
        <w:fldChar w:fldCharType="separate"/>
      </w:r>
      <w:r>
        <w:rPr>
          <w:color w:val="auto"/>
          <w:highlight w:val="none"/>
        </w:rPr>
        <w:t>3</w:t>
      </w:r>
      <w:r>
        <w:rPr>
          <w:color w:val="auto"/>
          <w:highlight w:val="none"/>
        </w:rPr>
        <w:fldChar w:fldCharType="end"/>
      </w:r>
      <w:r>
        <w:rPr>
          <w:rFonts w:ascii="宋体" w:hAnsi="宋体"/>
          <w:snapToGrid w:val="0"/>
          <w:color w:val="auto"/>
          <w:highlight w:val="none"/>
        </w:rPr>
        <w:fldChar w:fldCharType="end"/>
      </w:r>
    </w:p>
    <w:p>
      <w:pPr>
        <w:pStyle w:val="15"/>
        <w:tabs>
          <w:tab w:val="right" w:leader="dot" w:pos="8307"/>
          <w:tab w:val="clear" w:pos="9061"/>
        </w:tabs>
        <w:rPr>
          <w:color w:val="auto"/>
          <w:highlight w:val="none"/>
        </w:rPr>
      </w:pPr>
      <w:r>
        <w:rPr>
          <w:rFonts w:ascii="宋体" w:hAnsi="宋体"/>
          <w:snapToGrid w:val="0"/>
          <w:color w:val="auto"/>
          <w:highlight w:val="none"/>
        </w:rPr>
        <w:fldChar w:fldCharType="begin"/>
      </w:r>
      <w:r>
        <w:rPr>
          <w:rFonts w:ascii="宋体" w:hAnsi="宋体"/>
          <w:snapToGrid w:val="0"/>
          <w:color w:val="auto"/>
          <w:highlight w:val="none"/>
        </w:rPr>
        <w:instrText xml:space="preserve"> HYPERLINK \l _Toc9595 </w:instrText>
      </w:r>
      <w:r>
        <w:rPr>
          <w:rFonts w:ascii="宋体" w:hAnsi="宋体"/>
          <w:snapToGrid w:val="0"/>
          <w:color w:val="auto"/>
          <w:highlight w:val="none"/>
        </w:rPr>
        <w:fldChar w:fldCharType="separate"/>
      </w:r>
      <w:r>
        <w:rPr>
          <w:rFonts w:hint="eastAsia" w:ascii="宋体" w:hAnsi="宋体" w:eastAsia="宋体"/>
          <w:color w:val="auto"/>
          <w:szCs w:val="32"/>
          <w:highlight w:val="none"/>
        </w:rPr>
        <w:t xml:space="preserve">第三章 </w:t>
      </w:r>
      <w:r>
        <w:rPr>
          <w:rFonts w:hint="eastAsia" w:ascii="宋体" w:hAnsi="宋体"/>
          <w:color w:val="auto"/>
          <w:szCs w:val="32"/>
          <w:highlight w:val="none"/>
          <w:lang w:val="en-US" w:eastAsia="zh-CN"/>
        </w:rPr>
        <w:t xml:space="preserve"> </w:t>
      </w:r>
      <w:r>
        <w:rPr>
          <w:rFonts w:hint="eastAsia" w:ascii="宋体" w:hAnsi="宋体" w:eastAsia="宋体"/>
          <w:color w:val="auto"/>
          <w:szCs w:val="32"/>
          <w:highlight w:val="none"/>
        </w:rPr>
        <w:t>合同（格式）</w:t>
      </w:r>
      <w:r>
        <w:rPr>
          <w:color w:val="auto"/>
          <w:highlight w:val="none"/>
        </w:rPr>
        <w:tab/>
      </w:r>
      <w:r>
        <w:rPr>
          <w:color w:val="auto"/>
          <w:highlight w:val="none"/>
        </w:rPr>
        <w:fldChar w:fldCharType="begin"/>
      </w:r>
      <w:r>
        <w:rPr>
          <w:color w:val="auto"/>
          <w:highlight w:val="none"/>
        </w:rPr>
        <w:instrText xml:space="preserve"> PAGEREF _Toc9595 \h </w:instrText>
      </w:r>
      <w:r>
        <w:rPr>
          <w:color w:val="auto"/>
          <w:highlight w:val="none"/>
        </w:rPr>
        <w:fldChar w:fldCharType="separate"/>
      </w:r>
      <w:r>
        <w:rPr>
          <w:color w:val="auto"/>
          <w:highlight w:val="none"/>
        </w:rPr>
        <w:t>18</w:t>
      </w:r>
      <w:r>
        <w:rPr>
          <w:color w:val="auto"/>
          <w:highlight w:val="none"/>
        </w:rPr>
        <w:fldChar w:fldCharType="end"/>
      </w:r>
      <w:r>
        <w:rPr>
          <w:rFonts w:ascii="宋体" w:hAnsi="宋体"/>
          <w:snapToGrid w:val="0"/>
          <w:color w:val="auto"/>
          <w:highlight w:val="none"/>
        </w:rPr>
        <w:fldChar w:fldCharType="end"/>
      </w:r>
    </w:p>
    <w:p>
      <w:pPr>
        <w:pStyle w:val="15"/>
        <w:tabs>
          <w:tab w:val="right" w:leader="dot" w:pos="8307"/>
          <w:tab w:val="clear" w:pos="9061"/>
        </w:tabs>
        <w:rPr>
          <w:color w:val="auto"/>
          <w:highlight w:val="none"/>
        </w:rPr>
      </w:pPr>
      <w:r>
        <w:rPr>
          <w:rFonts w:ascii="宋体" w:hAnsi="宋体"/>
          <w:snapToGrid w:val="0"/>
          <w:color w:val="auto"/>
          <w:highlight w:val="none"/>
        </w:rPr>
        <w:fldChar w:fldCharType="begin"/>
      </w:r>
      <w:r>
        <w:rPr>
          <w:rFonts w:ascii="宋体" w:hAnsi="宋体"/>
          <w:snapToGrid w:val="0"/>
          <w:color w:val="auto"/>
          <w:highlight w:val="none"/>
        </w:rPr>
        <w:instrText xml:space="preserve"> HYPERLINK \l _Toc10040 </w:instrText>
      </w:r>
      <w:r>
        <w:rPr>
          <w:rFonts w:ascii="宋体" w:hAnsi="宋体"/>
          <w:snapToGrid w:val="0"/>
          <w:color w:val="auto"/>
          <w:highlight w:val="none"/>
        </w:rPr>
        <w:fldChar w:fldCharType="separate"/>
      </w:r>
      <w:r>
        <w:rPr>
          <w:rFonts w:hint="eastAsia" w:ascii="宋体" w:hAnsi="宋体"/>
          <w:color w:val="auto"/>
          <w:szCs w:val="30"/>
          <w:highlight w:val="none"/>
        </w:rPr>
        <w:t xml:space="preserve">第四章 </w:t>
      </w:r>
      <w:r>
        <w:rPr>
          <w:rFonts w:hint="eastAsia" w:ascii="宋体" w:hAnsi="宋体"/>
          <w:color w:val="auto"/>
          <w:szCs w:val="30"/>
          <w:highlight w:val="none"/>
          <w:lang w:val="en-US" w:eastAsia="zh-CN"/>
        </w:rPr>
        <w:t xml:space="preserve"> </w:t>
      </w:r>
      <w:r>
        <w:rPr>
          <w:rFonts w:hint="eastAsia" w:ascii="宋体" w:hAnsi="宋体"/>
          <w:color w:val="auto"/>
          <w:szCs w:val="30"/>
          <w:highlight w:val="none"/>
        </w:rPr>
        <w:t>评标方法</w:t>
      </w:r>
      <w:r>
        <w:rPr>
          <w:color w:val="auto"/>
          <w:highlight w:val="none"/>
        </w:rPr>
        <w:tab/>
      </w:r>
      <w:r>
        <w:rPr>
          <w:color w:val="auto"/>
          <w:highlight w:val="none"/>
        </w:rPr>
        <w:fldChar w:fldCharType="begin"/>
      </w:r>
      <w:r>
        <w:rPr>
          <w:color w:val="auto"/>
          <w:highlight w:val="none"/>
        </w:rPr>
        <w:instrText xml:space="preserve"> PAGEREF _Toc10040 \h </w:instrText>
      </w:r>
      <w:r>
        <w:rPr>
          <w:color w:val="auto"/>
          <w:highlight w:val="none"/>
        </w:rPr>
        <w:fldChar w:fldCharType="separate"/>
      </w:r>
      <w:r>
        <w:rPr>
          <w:color w:val="auto"/>
          <w:highlight w:val="none"/>
        </w:rPr>
        <w:t>30</w:t>
      </w:r>
      <w:r>
        <w:rPr>
          <w:color w:val="auto"/>
          <w:highlight w:val="none"/>
        </w:rPr>
        <w:fldChar w:fldCharType="end"/>
      </w:r>
      <w:r>
        <w:rPr>
          <w:rFonts w:ascii="宋体" w:hAnsi="宋体"/>
          <w:snapToGrid w:val="0"/>
          <w:color w:val="auto"/>
          <w:highlight w:val="none"/>
        </w:rPr>
        <w:fldChar w:fldCharType="end"/>
      </w:r>
    </w:p>
    <w:p>
      <w:pPr>
        <w:pStyle w:val="15"/>
        <w:tabs>
          <w:tab w:val="right" w:leader="dot" w:pos="8307"/>
          <w:tab w:val="clear" w:pos="9061"/>
        </w:tabs>
        <w:rPr>
          <w:color w:val="auto"/>
          <w:highlight w:val="none"/>
        </w:rPr>
      </w:pPr>
      <w:r>
        <w:rPr>
          <w:rFonts w:ascii="宋体" w:hAnsi="宋体"/>
          <w:snapToGrid w:val="0"/>
          <w:color w:val="auto"/>
          <w:highlight w:val="none"/>
        </w:rPr>
        <w:fldChar w:fldCharType="begin"/>
      </w:r>
      <w:r>
        <w:rPr>
          <w:rFonts w:ascii="宋体" w:hAnsi="宋体"/>
          <w:snapToGrid w:val="0"/>
          <w:color w:val="auto"/>
          <w:highlight w:val="none"/>
        </w:rPr>
        <w:instrText xml:space="preserve"> HYPERLINK \l _Toc14064 </w:instrText>
      </w:r>
      <w:r>
        <w:rPr>
          <w:rFonts w:ascii="宋体" w:hAnsi="宋体"/>
          <w:snapToGrid w:val="0"/>
          <w:color w:val="auto"/>
          <w:highlight w:val="none"/>
        </w:rPr>
        <w:fldChar w:fldCharType="separate"/>
      </w:r>
      <w:r>
        <w:rPr>
          <w:rFonts w:hint="eastAsia" w:ascii="宋体" w:hAnsi="宋体" w:eastAsia="宋体"/>
          <w:snapToGrid w:val="0"/>
          <w:color w:val="auto"/>
          <w:szCs w:val="32"/>
          <w:highlight w:val="none"/>
        </w:rPr>
        <w:t xml:space="preserve">第五章 </w:t>
      </w:r>
      <w:r>
        <w:rPr>
          <w:rFonts w:hint="eastAsia" w:ascii="宋体" w:hAnsi="宋体"/>
          <w:snapToGrid w:val="0"/>
          <w:color w:val="auto"/>
          <w:szCs w:val="32"/>
          <w:highlight w:val="none"/>
          <w:lang w:val="en-US" w:eastAsia="zh-CN"/>
        </w:rPr>
        <w:t xml:space="preserve"> </w:t>
      </w:r>
      <w:r>
        <w:rPr>
          <w:rFonts w:hint="eastAsia" w:ascii="宋体" w:hAnsi="宋体" w:eastAsia="宋体"/>
          <w:snapToGrid w:val="0"/>
          <w:color w:val="auto"/>
          <w:szCs w:val="32"/>
          <w:highlight w:val="none"/>
        </w:rPr>
        <w:t>投 标 文 件</w:t>
      </w:r>
      <w:r>
        <w:rPr>
          <w:rFonts w:ascii="宋体" w:hAnsi="宋体" w:eastAsia="宋体"/>
          <w:snapToGrid w:val="0"/>
          <w:color w:val="auto"/>
          <w:szCs w:val="32"/>
          <w:highlight w:val="none"/>
        </w:rPr>
        <w:t>(</w:t>
      </w:r>
      <w:r>
        <w:rPr>
          <w:rFonts w:hint="eastAsia" w:ascii="宋体" w:hAnsi="宋体" w:eastAsia="宋体"/>
          <w:snapToGrid w:val="0"/>
          <w:color w:val="auto"/>
          <w:szCs w:val="32"/>
          <w:highlight w:val="none"/>
        </w:rPr>
        <w:t>格式)</w:t>
      </w:r>
      <w:r>
        <w:rPr>
          <w:color w:val="auto"/>
          <w:highlight w:val="none"/>
        </w:rPr>
        <w:tab/>
      </w:r>
      <w:r>
        <w:rPr>
          <w:color w:val="auto"/>
          <w:highlight w:val="none"/>
        </w:rPr>
        <w:fldChar w:fldCharType="begin"/>
      </w:r>
      <w:r>
        <w:rPr>
          <w:color w:val="auto"/>
          <w:highlight w:val="none"/>
        </w:rPr>
        <w:instrText xml:space="preserve"> PAGEREF _Toc14064 \h </w:instrText>
      </w:r>
      <w:r>
        <w:rPr>
          <w:color w:val="auto"/>
          <w:highlight w:val="none"/>
        </w:rPr>
        <w:fldChar w:fldCharType="separate"/>
      </w:r>
      <w:r>
        <w:rPr>
          <w:color w:val="auto"/>
          <w:highlight w:val="none"/>
        </w:rPr>
        <w:t>32</w:t>
      </w:r>
      <w:r>
        <w:rPr>
          <w:color w:val="auto"/>
          <w:highlight w:val="none"/>
        </w:rPr>
        <w:fldChar w:fldCharType="end"/>
      </w:r>
      <w:r>
        <w:rPr>
          <w:rFonts w:ascii="宋体" w:hAnsi="宋体"/>
          <w:snapToGrid w:val="0"/>
          <w:color w:val="auto"/>
          <w:highlight w:val="none"/>
        </w:rPr>
        <w:fldChar w:fldCharType="end"/>
      </w:r>
    </w:p>
    <w:p>
      <w:pPr>
        <w:pStyle w:val="3"/>
        <w:numPr>
          <w:ilvl w:val="0"/>
          <w:numId w:val="0"/>
        </w:numPr>
        <w:ind w:left="0"/>
        <w:jc w:val="center"/>
        <w:rPr>
          <w:rFonts w:hint="eastAsia" w:hAnsi="Calibri" w:eastAsia="宋体"/>
          <w:b w:val="0"/>
          <w:smallCaps w:val="0"/>
          <w:color w:val="auto"/>
          <w:sz w:val="21"/>
          <w:szCs w:val="22"/>
          <w:highlight w:val="none"/>
          <w:lang w:val="en-US" w:eastAsia="zh-CN"/>
        </w:rPr>
      </w:pPr>
      <w:r>
        <w:rPr>
          <w:rFonts w:ascii="宋体" w:hAnsi="宋体"/>
          <w:b w:val="0"/>
          <w:snapToGrid w:val="0"/>
          <w:color w:val="auto"/>
          <w:sz w:val="28"/>
          <w:highlight w:val="none"/>
        </w:rPr>
        <w:fldChar w:fldCharType="end"/>
      </w: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pStyle w:val="3"/>
        <w:numPr>
          <w:ilvl w:val="0"/>
          <w:numId w:val="0"/>
        </w:numPr>
        <w:ind w:left="1350" w:hanging="720"/>
        <w:jc w:val="center"/>
        <w:rPr>
          <w:rFonts w:ascii="宋体" w:hAnsi="宋体" w:eastAsia="宋体"/>
          <w:b/>
          <w:snapToGrid w:val="0"/>
          <w:color w:val="auto"/>
          <w:sz w:val="32"/>
          <w:szCs w:val="32"/>
          <w:highlight w:val="none"/>
        </w:rPr>
        <w:sectPr>
          <w:footerReference r:id="rId4" w:type="first"/>
          <w:footerReference r:id="rId3" w:type="default"/>
          <w:pgSz w:w="11907" w:h="16840"/>
          <w:pgMar w:top="1440" w:right="1800" w:bottom="1440" w:left="1800" w:header="1077" w:footer="964" w:gutter="0"/>
          <w:cols w:space="720" w:num="1"/>
          <w:titlePg/>
          <w:docGrid w:linePitch="272" w:charSpace="0"/>
        </w:sectPr>
      </w:pPr>
    </w:p>
    <w:p>
      <w:pPr>
        <w:pStyle w:val="3"/>
        <w:numPr>
          <w:ilvl w:val="0"/>
          <w:numId w:val="0"/>
        </w:numPr>
        <w:jc w:val="center"/>
        <w:rPr>
          <w:rFonts w:hint="eastAsia" w:ascii="宋体" w:hAnsi="宋体" w:eastAsia="宋体"/>
          <w:b/>
          <w:snapToGrid w:val="0"/>
          <w:color w:val="auto"/>
          <w:sz w:val="32"/>
          <w:szCs w:val="32"/>
          <w:highlight w:val="none"/>
        </w:rPr>
      </w:pPr>
      <w:bookmarkStart w:id="0" w:name="_Toc28494"/>
      <w:r>
        <w:rPr>
          <w:rFonts w:hint="eastAsia" w:ascii="宋体" w:hAnsi="宋体" w:eastAsia="宋体"/>
          <w:b/>
          <w:snapToGrid w:val="0"/>
          <w:color w:val="auto"/>
          <w:sz w:val="32"/>
          <w:szCs w:val="32"/>
          <w:highlight w:val="none"/>
        </w:rPr>
        <w:t>第一章  招标公告</w:t>
      </w:r>
      <w:bookmarkEnd w:id="0"/>
    </w:p>
    <w:p>
      <w:pPr>
        <w:pStyle w:val="3"/>
        <w:numPr>
          <w:ilvl w:val="0"/>
          <w:numId w:val="0"/>
        </w:numPr>
        <w:jc w:val="both"/>
        <w:rPr>
          <w:rFonts w:hint="eastAsia" w:ascii="宋体" w:hAnsi="宋体" w:eastAsia="宋体"/>
          <w:b/>
          <w:snapToGrid w:val="0"/>
          <w:color w:val="auto"/>
          <w:sz w:val="32"/>
          <w:szCs w:val="32"/>
          <w:highlight w:val="none"/>
          <w:lang w:val="en-US" w:eastAsia="zh-CN"/>
        </w:rPr>
      </w:pPr>
      <w:bookmarkStart w:id="1" w:name="_Toc32364"/>
      <w:r>
        <w:rPr>
          <w:rFonts w:hint="eastAsia" w:ascii="宋体" w:hAnsi="宋体" w:eastAsia="宋体"/>
          <w:b/>
          <w:snapToGrid w:val="0"/>
          <w:color w:val="auto"/>
          <w:sz w:val="32"/>
          <w:szCs w:val="32"/>
          <w:highlight w:val="none"/>
          <w:lang w:val="en-US" w:eastAsia="zh-CN"/>
        </w:rPr>
        <w:t>详见招标公告</w:t>
      </w:r>
    </w:p>
    <w:p>
      <w:pPr>
        <w:rPr>
          <w:rFonts w:hint="default"/>
          <w:lang w:val="en-US" w:eastAsia="zh-CN"/>
        </w:rPr>
      </w:pPr>
    </w:p>
    <w:p>
      <w:pPr>
        <w:pStyle w:val="3"/>
        <w:numPr>
          <w:ilvl w:val="0"/>
          <w:numId w:val="0"/>
        </w:numPr>
        <w:jc w:val="center"/>
        <w:rPr>
          <w:rFonts w:hint="eastAsia" w:ascii="宋体" w:hAnsi="宋体" w:eastAsia="宋体"/>
          <w:b/>
          <w:snapToGrid w:val="0"/>
          <w:color w:val="auto"/>
          <w:sz w:val="32"/>
          <w:szCs w:val="32"/>
          <w:highlight w:val="none"/>
        </w:rPr>
      </w:pPr>
      <w:r>
        <w:rPr>
          <w:rFonts w:hint="eastAsia" w:ascii="宋体" w:hAnsi="宋体" w:eastAsia="宋体"/>
          <w:b/>
          <w:snapToGrid w:val="0"/>
          <w:color w:val="auto"/>
          <w:sz w:val="32"/>
          <w:szCs w:val="32"/>
          <w:highlight w:val="none"/>
        </w:rPr>
        <w:t>第二章   投标须知</w:t>
      </w:r>
      <w:bookmarkEnd w:id="1"/>
    </w:p>
    <w:p>
      <w:pPr>
        <w:adjustRightInd w:val="0"/>
        <w:snapToGrid w:val="0"/>
        <w:spacing w:line="300" w:lineRule="auto"/>
        <w:rPr>
          <w:rFonts w:hint="eastAsia" w:ascii="宋体" w:hAnsi="宋体"/>
          <w:snapToGrid w:val="0"/>
          <w:color w:val="auto"/>
          <w:sz w:val="24"/>
          <w:highlight w:val="none"/>
        </w:rPr>
      </w:pPr>
    </w:p>
    <w:p>
      <w:pPr>
        <w:adjustRightInd w:val="0"/>
        <w:snapToGrid w:val="0"/>
        <w:spacing w:line="300" w:lineRule="auto"/>
        <w:jc w:val="center"/>
        <w:rPr>
          <w:rFonts w:hint="eastAsia" w:ascii="宋体" w:hAnsi="宋体"/>
          <w:b/>
          <w:snapToGrid w:val="0"/>
          <w:color w:val="auto"/>
          <w:sz w:val="28"/>
          <w:highlight w:val="none"/>
        </w:rPr>
      </w:pPr>
      <w:r>
        <w:rPr>
          <w:rFonts w:hint="eastAsia" w:ascii="宋体" w:hAnsi="宋体"/>
          <w:b/>
          <w:snapToGrid w:val="0"/>
          <w:color w:val="auto"/>
          <w:sz w:val="24"/>
          <w:highlight w:val="none"/>
        </w:rPr>
        <w:t>前  附  表</w:t>
      </w:r>
    </w:p>
    <w:tbl>
      <w:tblPr>
        <w:tblStyle w:val="20"/>
        <w:tblW w:w="9501"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774"/>
        <w:gridCol w:w="3218"/>
        <w:gridCol w:w="2268"/>
        <w:gridCol w:w="2241"/>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1"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工程名称</w:t>
            </w:r>
          </w:p>
        </w:tc>
        <w:tc>
          <w:tcPr>
            <w:tcW w:w="7727" w:type="dxa"/>
            <w:gridSpan w:val="3"/>
            <w:noWrap w:val="0"/>
            <w:vAlign w:val="center"/>
          </w:tcPr>
          <w:p>
            <w:pPr>
              <w:adjustRightInd w:val="0"/>
              <w:snapToGrid w:val="0"/>
              <w:spacing w:line="240" w:lineRule="atLeast"/>
              <w:rPr>
                <w:rFonts w:hint="eastAsia" w:ascii="宋体" w:hAnsi="宋体" w:eastAsia="宋体"/>
                <w:snapToGrid w:val="0"/>
                <w:color w:val="auto"/>
                <w:sz w:val="21"/>
                <w:szCs w:val="21"/>
                <w:highlight w:val="none"/>
                <w:lang w:eastAsia="zh-CN"/>
              </w:rPr>
            </w:pPr>
            <w:r>
              <w:rPr>
                <w:rFonts w:hint="eastAsia" w:ascii="宋体" w:hAnsi="宋体"/>
                <w:snapToGrid w:val="0"/>
                <w:color w:val="auto"/>
                <w:sz w:val="21"/>
                <w:szCs w:val="21"/>
                <w:highlight w:val="none"/>
                <w:lang w:eastAsia="zh-CN"/>
              </w:rPr>
              <w:t>茅庵村河塘整治工程</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91"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招标人</w:t>
            </w:r>
          </w:p>
        </w:tc>
        <w:tc>
          <w:tcPr>
            <w:tcW w:w="7727" w:type="dxa"/>
            <w:gridSpan w:val="3"/>
            <w:noWrap w:val="0"/>
            <w:vAlign w:val="center"/>
          </w:tcPr>
          <w:p>
            <w:pPr>
              <w:adjustRightInd w:val="0"/>
              <w:snapToGrid w:val="0"/>
              <w:spacing w:line="240" w:lineRule="atLeast"/>
              <w:rPr>
                <w:rFonts w:hint="eastAsia" w:ascii="宋体" w:hAnsi="宋体" w:eastAsia="宋体"/>
                <w:snapToGrid w:val="0"/>
                <w:color w:val="auto"/>
                <w:sz w:val="21"/>
                <w:szCs w:val="21"/>
                <w:highlight w:val="none"/>
                <w:lang w:eastAsia="zh-CN"/>
              </w:rPr>
            </w:pPr>
            <w:r>
              <w:rPr>
                <w:rFonts w:hint="eastAsia" w:ascii="宋体" w:hAnsi="宋体"/>
                <w:snapToGrid w:val="0"/>
                <w:color w:val="auto"/>
                <w:sz w:val="21"/>
                <w:szCs w:val="21"/>
                <w:highlight w:val="none"/>
                <w:lang w:eastAsia="zh-CN"/>
              </w:rPr>
              <w:t>常州市金坛区薛埠镇茅庵村村民委员会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2"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建设地点</w:t>
            </w:r>
          </w:p>
        </w:tc>
        <w:tc>
          <w:tcPr>
            <w:tcW w:w="7727" w:type="dxa"/>
            <w:gridSpan w:val="3"/>
            <w:noWrap w:val="0"/>
            <w:vAlign w:val="top"/>
          </w:tcPr>
          <w:p>
            <w:pPr>
              <w:pStyle w:val="34"/>
              <w:spacing w:before="135" w:line="360" w:lineRule="auto"/>
              <w:rPr>
                <w:rFonts w:hint="default" w:eastAsia="宋体" w:cs="Times New Roman"/>
                <w:snapToGrid w:val="0"/>
                <w:color w:val="auto"/>
                <w:sz w:val="21"/>
                <w:szCs w:val="21"/>
                <w:highlight w:val="none"/>
                <w:lang w:val="en-US" w:eastAsia="zh-CN" w:bidi="ar-SA"/>
              </w:rPr>
            </w:pPr>
            <w:r>
              <w:rPr>
                <w:rFonts w:hint="eastAsia" w:cs="Times New Roman"/>
                <w:snapToGrid w:val="0"/>
                <w:color w:val="auto"/>
                <w:sz w:val="21"/>
                <w:szCs w:val="21"/>
                <w:highlight w:val="none"/>
                <w:lang w:val="en-US" w:bidi="ar-SA"/>
              </w:rPr>
              <w:t>常州市金坛区</w:t>
            </w:r>
            <w:r>
              <w:rPr>
                <w:rFonts w:hint="eastAsia" w:cs="Times New Roman"/>
                <w:snapToGrid w:val="0"/>
                <w:color w:val="auto"/>
                <w:sz w:val="21"/>
                <w:szCs w:val="21"/>
                <w:highlight w:val="none"/>
                <w:lang w:val="en-US" w:eastAsia="zh-CN" w:bidi="ar-SA"/>
              </w:rPr>
              <w:t>薛埠镇茅庵村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45"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联 系 人</w:t>
            </w:r>
          </w:p>
        </w:tc>
        <w:tc>
          <w:tcPr>
            <w:tcW w:w="3218" w:type="dxa"/>
            <w:noWrap w:val="0"/>
            <w:vAlign w:val="center"/>
          </w:tcPr>
          <w:p>
            <w:pPr>
              <w:adjustRightInd w:val="0"/>
              <w:snapToGrid w:val="0"/>
              <w:spacing w:line="240" w:lineRule="atLeast"/>
              <w:rPr>
                <w:rFonts w:hint="eastAsia" w:ascii="宋体" w:hAnsi="宋体" w:eastAsia="宋体"/>
                <w:snapToGrid w:val="0"/>
                <w:color w:val="auto"/>
                <w:sz w:val="21"/>
                <w:szCs w:val="21"/>
                <w:highlight w:val="none"/>
                <w:lang w:eastAsia="zh-CN"/>
              </w:rPr>
            </w:pPr>
            <w:r>
              <w:rPr>
                <w:rFonts w:hint="eastAsia" w:ascii="宋体" w:hAnsi="宋体"/>
                <w:snapToGrid w:val="0"/>
                <w:color w:val="auto"/>
                <w:sz w:val="21"/>
                <w:szCs w:val="21"/>
                <w:highlight w:val="none"/>
                <w:lang w:val="en-US" w:eastAsia="zh-CN"/>
              </w:rPr>
              <w:t>赵</w:t>
            </w:r>
            <w:r>
              <w:rPr>
                <w:rFonts w:hint="eastAsia" w:ascii="宋体" w:hAnsi="宋体" w:eastAsia="宋体"/>
                <w:snapToGrid w:val="0"/>
                <w:color w:val="auto"/>
                <w:sz w:val="21"/>
                <w:szCs w:val="21"/>
                <w:highlight w:val="none"/>
                <w:lang w:val="en-US" w:eastAsia="zh-CN"/>
              </w:rPr>
              <w:t>先生</w:t>
            </w:r>
          </w:p>
        </w:tc>
        <w:tc>
          <w:tcPr>
            <w:tcW w:w="2268"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联系电话</w:t>
            </w:r>
          </w:p>
        </w:tc>
        <w:tc>
          <w:tcPr>
            <w:tcW w:w="2241" w:type="dxa"/>
            <w:noWrap w:val="0"/>
            <w:vAlign w:val="center"/>
          </w:tcPr>
          <w:p>
            <w:pPr>
              <w:adjustRightInd w:val="0"/>
              <w:snapToGrid w:val="0"/>
              <w:spacing w:line="240" w:lineRule="atLeast"/>
              <w:rPr>
                <w:rFonts w:hint="eastAsia" w:ascii="宋体" w:hAnsi="宋体" w:eastAsia="宋体"/>
                <w:snapToGrid w:val="0"/>
                <w:color w:val="auto"/>
                <w:sz w:val="21"/>
                <w:szCs w:val="21"/>
                <w:highlight w:val="none"/>
                <w:lang w:eastAsia="zh-CN"/>
              </w:rPr>
            </w:pPr>
            <w:r>
              <w:rPr>
                <w:rFonts w:hint="eastAsia" w:ascii="宋体" w:hAnsi="宋体" w:eastAsia="宋体" w:cs="宋体"/>
                <w:color w:val="auto"/>
                <w:spacing w:val="8"/>
                <w:sz w:val="21"/>
                <w:szCs w:val="21"/>
                <w:lang w:val="zh-TW" w:eastAsia="zh-CN"/>
              </w:rPr>
              <w:t>13814785151</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7" w:hRule="atLeast"/>
          <w:jc w:val="center"/>
        </w:trPr>
        <w:tc>
          <w:tcPr>
            <w:tcW w:w="1774" w:type="dxa"/>
            <w:noWrap w:val="0"/>
            <w:vAlign w:val="center"/>
          </w:tcPr>
          <w:p>
            <w:pPr>
              <w:adjustRightInd w:val="0"/>
              <w:snapToGrid w:val="0"/>
              <w:spacing w:line="240" w:lineRule="atLeast"/>
              <w:jc w:val="center"/>
              <w:rPr>
                <w:rFonts w:ascii="宋体" w:hAnsi="宋体"/>
                <w:snapToGrid w:val="0"/>
                <w:color w:val="auto"/>
                <w:sz w:val="21"/>
                <w:szCs w:val="21"/>
                <w:highlight w:val="none"/>
              </w:rPr>
            </w:pPr>
            <w:r>
              <w:rPr>
                <w:rFonts w:hint="eastAsia" w:ascii="宋体" w:hAnsi="宋体"/>
                <w:snapToGrid w:val="0"/>
                <w:color w:val="auto"/>
                <w:sz w:val="21"/>
                <w:szCs w:val="21"/>
                <w:highlight w:val="none"/>
              </w:rPr>
              <w:t>招标方式</w:t>
            </w:r>
          </w:p>
        </w:tc>
        <w:tc>
          <w:tcPr>
            <w:tcW w:w="3218" w:type="dxa"/>
            <w:noWrap w:val="0"/>
            <w:vAlign w:val="center"/>
          </w:tcPr>
          <w:p>
            <w:pPr>
              <w:adjustRightInd w:val="0"/>
              <w:snapToGrid w:val="0"/>
              <w:spacing w:line="240" w:lineRule="atLeast"/>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公开招标</w:t>
            </w:r>
          </w:p>
        </w:tc>
        <w:tc>
          <w:tcPr>
            <w:tcW w:w="2268"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投标保证金</w:t>
            </w:r>
          </w:p>
        </w:tc>
        <w:tc>
          <w:tcPr>
            <w:tcW w:w="2241" w:type="dxa"/>
            <w:noWrap w:val="0"/>
            <w:vAlign w:val="center"/>
          </w:tcPr>
          <w:p>
            <w:pPr>
              <w:adjustRightInd w:val="0"/>
              <w:snapToGrid w:val="0"/>
              <w:spacing w:line="240" w:lineRule="atLeast"/>
              <w:rPr>
                <w:rFonts w:hint="eastAsia" w:ascii="宋体" w:hAnsi="宋体" w:eastAsia="宋体"/>
                <w:snapToGrid w:val="0"/>
                <w:color w:val="auto"/>
                <w:sz w:val="21"/>
                <w:szCs w:val="21"/>
                <w:highlight w:val="none"/>
                <w:lang w:eastAsia="zh-CN"/>
              </w:rPr>
            </w:pPr>
            <w:r>
              <w:rPr>
                <w:rFonts w:hint="eastAsia" w:ascii="宋体" w:hAnsi="宋体"/>
                <w:snapToGrid w:val="0"/>
                <w:color w:val="auto"/>
                <w:sz w:val="21"/>
                <w:szCs w:val="21"/>
                <w:highlight w:val="none"/>
                <w:lang w:val="en-US" w:eastAsia="zh-CN"/>
              </w:rPr>
              <w:t>14000.00</w:t>
            </w:r>
            <w:r>
              <w:rPr>
                <w:rFonts w:hint="eastAsia" w:ascii="宋体" w:hAnsi="宋体"/>
                <w:snapToGrid w:val="0"/>
                <w:color w:val="auto"/>
                <w:sz w:val="21"/>
                <w:szCs w:val="21"/>
                <w:highlight w:val="none"/>
                <w:lang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4"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招标范围</w:t>
            </w:r>
          </w:p>
        </w:tc>
        <w:tc>
          <w:tcPr>
            <w:tcW w:w="7727" w:type="dxa"/>
            <w:gridSpan w:val="3"/>
            <w:noWrap w:val="0"/>
            <w:vAlign w:val="center"/>
          </w:tcPr>
          <w:p>
            <w:pPr>
              <w:keepNext w:val="0"/>
              <w:keepLines w:val="0"/>
              <w:pageBreakBefore w:val="0"/>
              <w:kinsoku/>
              <w:wordWrap/>
              <w:overflowPunct/>
              <w:topLinePunct w:val="0"/>
              <w:autoSpaceDE w:val="0"/>
              <w:autoSpaceDN w:val="0"/>
              <w:bidi w:val="0"/>
              <w:adjustRightInd w:val="0"/>
              <w:spacing w:line="440" w:lineRule="exact"/>
              <w:jc w:val="left"/>
              <w:textAlignment w:val="auto"/>
              <w:rPr>
                <w:rFonts w:hint="eastAsia" w:ascii="宋体" w:hAnsi="宋体" w:eastAsia="宋体" w:cs="宋体"/>
                <w:color w:val="auto"/>
                <w:kern w:val="0"/>
                <w:sz w:val="21"/>
                <w:szCs w:val="21"/>
                <w:highlight w:val="none"/>
                <w:u w:val="none"/>
                <w:lang w:val="zh-CN"/>
              </w:rPr>
            </w:pPr>
            <w:r>
              <w:rPr>
                <w:rFonts w:hint="eastAsia" w:ascii="宋体" w:hAnsi="宋体" w:eastAsia="宋体" w:cs="宋体"/>
                <w:color w:val="000000"/>
                <w:kern w:val="0"/>
                <w:sz w:val="21"/>
                <w:szCs w:val="21"/>
                <w:u w:val="none"/>
                <w:lang w:val="en-US" w:eastAsia="zh-CN"/>
              </w:rPr>
              <w:t>对薛埠镇茅庵村友联大坝塘、八组横塘、六组大、小金塘及新河段进行整治</w:t>
            </w:r>
          </w:p>
          <w:p>
            <w:pPr>
              <w:adjustRightInd w:val="0"/>
              <w:snapToGrid w:val="0"/>
              <w:spacing w:line="240" w:lineRule="atLeast"/>
              <w:rPr>
                <w:rFonts w:hint="eastAsia" w:ascii="宋体" w:hAnsi="宋体" w:eastAsia="宋体"/>
                <w:snapToGrid w:val="0"/>
                <w:color w:val="auto"/>
                <w:sz w:val="21"/>
                <w:szCs w:val="21"/>
                <w:highlight w:val="none"/>
                <w:lang w:eastAsia="zh-CN"/>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29"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投标人资格要求</w:t>
            </w:r>
          </w:p>
        </w:tc>
        <w:tc>
          <w:tcPr>
            <w:tcW w:w="7727" w:type="dxa"/>
            <w:gridSpan w:val="3"/>
            <w:noWrap w:val="0"/>
            <w:vAlign w:val="center"/>
          </w:tcPr>
          <w:p>
            <w:pPr>
              <w:keepNext w:val="0"/>
              <w:keepLines w:val="0"/>
              <w:pageBreakBefore w:val="0"/>
              <w:kinsoku/>
              <w:wordWrap/>
              <w:overflowPunct/>
              <w:topLinePunct w:val="0"/>
              <w:autoSpaceDE w:val="0"/>
              <w:autoSpaceDN w:val="0"/>
              <w:bidi w:val="0"/>
              <w:adjustRightInd w:val="0"/>
              <w:spacing w:line="440" w:lineRule="exact"/>
              <w:jc w:val="left"/>
              <w:textAlignment w:val="auto"/>
              <w:rPr>
                <w:rFonts w:hint="eastAsia" w:ascii="宋体" w:hAnsi="宋体" w:eastAsia="宋体" w:cs="宋体"/>
                <w:color w:val="auto"/>
                <w:sz w:val="21"/>
                <w:szCs w:val="21"/>
                <w:highlight w:val="none"/>
                <w:lang w:val="zh-CN" w:eastAsia="zh-CN"/>
              </w:rPr>
            </w:pPr>
            <w:r>
              <w:rPr>
                <w:rFonts w:hint="eastAsia" w:ascii="宋体" w:hAnsi="宋体" w:eastAsia="宋体" w:cs="宋体"/>
                <w:color w:val="auto"/>
                <w:sz w:val="21"/>
                <w:szCs w:val="21"/>
                <w:highlight w:val="none"/>
                <w:lang w:val="zh-CN" w:eastAsia="zh-CN"/>
              </w:rPr>
              <w:t>企业资质：</w:t>
            </w:r>
            <w:r>
              <w:rPr>
                <w:rFonts w:hint="eastAsia" w:ascii="宋体" w:hAnsi="宋体" w:eastAsia="宋体" w:cs="宋体"/>
                <w:color w:val="auto"/>
                <w:sz w:val="21"/>
                <w:szCs w:val="21"/>
                <w:highlight w:val="none"/>
                <w:lang w:val="en-US" w:eastAsia="zh-CN"/>
              </w:rPr>
              <w:t>水利水电工程施工总承包三级及以上</w:t>
            </w:r>
            <w:r>
              <w:rPr>
                <w:rFonts w:hint="eastAsia" w:ascii="宋体" w:hAnsi="宋体" w:eastAsia="宋体" w:cs="宋体"/>
                <w:color w:val="auto"/>
                <w:sz w:val="21"/>
                <w:szCs w:val="21"/>
                <w:highlight w:val="none"/>
                <w:lang w:val="zh-CN" w:eastAsia="zh-CN"/>
              </w:rPr>
              <w:t xml:space="preserve">； </w:t>
            </w:r>
          </w:p>
          <w:p>
            <w:pPr>
              <w:adjustRightInd w:val="0"/>
              <w:snapToGrid w:val="0"/>
              <w:spacing w:line="240" w:lineRule="atLeast"/>
              <w:rPr>
                <w:rFonts w:hint="eastAsia" w:ascii="宋体" w:hAnsi="宋体"/>
                <w:snapToGrid w:val="0"/>
                <w:color w:val="auto"/>
                <w:sz w:val="21"/>
                <w:szCs w:val="21"/>
                <w:highlight w:val="none"/>
              </w:rPr>
            </w:pPr>
            <w:r>
              <w:rPr>
                <w:rFonts w:hint="eastAsia" w:ascii="宋体" w:hAnsi="宋体" w:eastAsia="宋体" w:cs="宋体"/>
                <w:color w:val="auto"/>
                <w:sz w:val="21"/>
                <w:szCs w:val="21"/>
                <w:highlight w:val="none"/>
                <w:lang w:val="zh-CN" w:eastAsia="zh-CN"/>
              </w:rPr>
              <w:t>项目负责人资质类别和等级：</w:t>
            </w:r>
            <w:r>
              <w:rPr>
                <w:rFonts w:hint="eastAsia" w:ascii="宋体" w:hAnsi="宋体" w:eastAsia="宋体" w:cs="宋体"/>
                <w:color w:val="000000"/>
                <w:kern w:val="0"/>
                <w:sz w:val="22"/>
                <w:szCs w:val="22"/>
                <w:u w:val="none"/>
                <w:lang w:val="en-US" w:eastAsia="zh-CN" w:bidi="ar-SA"/>
              </w:rPr>
              <w:t>水利水电二级建造师及以上</w:t>
            </w:r>
            <w:r>
              <w:rPr>
                <w:rFonts w:hint="eastAsia" w:ascii="宋体" w:hAnsi="宋体" w:cs="宋体"/>
                <w:color w:val="000000"/>
                <w:kern w:val="0"/>
                <w:sz w:val="22"/>
                <w:szCs w:val="22"/>
                <w:u w:val="none"/>
                <w:lang w:val="en-US" w:eastAsia="zh-CN" w:bidi="ar-SA"/>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29" w:hRule="atLeast"/>
          <w:jc w:val="center"/>
        </w:trPr>
        <w:tc>
          <w:tcPr>
            <w:tcW w:w="1774" w:type="dxa"/>
            <w:noWrap w:val="0"/>
            <w:vAlign w:val="center"/>
          </w:tcPr>
          <w:p>
            <w:pPr>
              <w:adjustRightInd w:val="0"/>
              <w:snapToGrid w:val="0"/>
              <w:spacing w:line="400" w:lineRule="exact"/>
              <w:rPr>
                <w:rFonts w:hint="eastAsia" w:ascii="宋体" w:hAnsi="宋体" w:eastAsia="宋体" w:cs="宋体"/>
                <w:sz w:val="21"/>
                <w:szCs w:val="21"/>
                <w:lang w:val="en-US" w:eastAsia="zh-CN" w:bidi="ar-SA"/>
              </w:rPr>
            </w:pPr>
            <w:r>
              <w:rPr>
                <w:rFonts w:hint="eastAsia" w:ascii="宋体" w:hAnsi="宋体" w:eastAsia="宋体" w:cs="宋体"/>
                <w:sz w:val="21"/>
                <w:szCs w:val="21"/>
                <w:highlight w:val="white"/>
              </w:rPr>
              <w:t>是否接受联合体投标</w:t>
            </w:r>
          </w:p>
        </w:tc>
        <w:tc>
          <w:tcPr>
            <w:tcW w:w="7727" w:type="dxa"/>
            <w:gridSpan w:val="3"/>
            <w:noWrap w:val="0"/>
            <w:vAlign w:val="center"/>
          </w:tcPr>
          <w:p>
            <w:pPr>
              <w:adjustRightInd w:val="0"/>
              <w:snapToGrid w:val="0"/>
              <w:spacing w:line="400" w:lineRule="exact"/>
              <w:rPr>
                <w:rFonts w:hint="eastAsia" w:ascii="宋体" w:hAnsi="宋体" w:eastAsia="宋体" w:cs="宋体"/>
                <w:sz w:val="21"/>
                <w:szCs w:val="21"/>
                <w:lang w:val="zh-CN" w:eastAsia="zh-CN" w:bidi="ar-SA"/>
              </w:rPr>
            </w:pPr>
            <w:r>
              <w:rPr>
                <w:rFonts w:hint="eastAsia" w:ascii="宋体" w:hAnsi="宋体" w:eastAsia="宋体" w:cs="宋体"/>
                <w:snapToGrid w:val="0"/>
                <w:sz w:val="21"/>
                <w:szCs w:val="21"/>
                <w:lang w:val="en-US" w:eastAsia="zh-CN"/>
              </w:rPr>
              <w:t>不接受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78"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招标控制价</w:t>
            </w:r>
          </w:p>
        </w:tc>
        <w:tc>
          <w:tcPr>
            <w:tcW w:w="7727" w:type="dxa"/>
            <w:gridSpan w:val="3"/>
            <w:noWrap w:val="0"/>
            <w:vAlign w:val="center"/>
          </w:tcPr>
          <w:p>
            <w:pPr>
              <w:adjustRightInd w:val="0"/>
              <w:snapToGrid w:val="0"/>
              <w:spacing w:line="240" w:lineRule="atLeast"/>
              <w:rPr>
                <w:rFonts w:hint="eastAsia" w:ascii="宋体" w:hAnsi="宋体"/>
                <w:snapToGrid w:val="0"/>
                <w:color w:val="auto"/>
                <w:sz w:val="21"/>
                <w:szCs w:val="21"/>
                <w:highlight w:val="none"/>
              </w:rPr>
            </w:pPr>
            <w:r>
              <w:rPr>
                <w:rFonts w:hint="eastAsia" w:ascii="宋体" w:hAnsi="宋体" w:cs="宋体"/>
                <w:sz w:val="21"/>
                <w:szCs w:val="21"/>
                <w:highlight w:val="white"/>
                <w:lang w:val="en-US" w:eastAsia="zh-CN"/>
              </w:rPr>
              <w:t>732645.72</w:t>
            </w:r>
            <w:r>
              <w:rPr>
                <w:rFonts w:hint="eastAsia" w:ascii="宋体" w:hAnsi="宋体"/>
                <w:snapToGrid w:val="0"/>
                <w:color w:val="auto"/>
                <w:sz w:val="21"/>
                <w:szCs w:val="21"/>
                <w:highlight w:val="none"/>
                <w:lang w:val="en-US" w:eastAsia="zh-CN"/>
              </w:rPr>
              <w:t>元</w:t>
            </w:r>
            <w:r>
              <w:rPr>
                <w:rFonts w:hint="eastAsia" w:ascii="宋体" w:hAnsi="宋体"/>
                <w:snapToGrid w:val="0"/>
                <w:color w:val="auto"/>
                <w:sz w:val="21"/>
                <w:szCs w:val="21"/>
                <w:highlight w:val="none"/>
              </w:rPr>
              <w:t>（投标报价超过控制总价的作废标处理）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57" w:hRule="atLeast"/>
          <w:jc w:val="center"/>
        </w:trPr>
        <w:tc>
          <w:tcPr>
            <w:tcW w:w="1774" w:type="dxa"/>
            <w:tcBorders>
              <w:bottom w:val="single" w:color="auto" w:sz="4" w:space="0"/>
            </w:tcBorders>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招标工期</w:t>
            </w:r>
          </w:p>
        </w:tc>
        <w:tc>
          <w:tcPr>
            <w:tcW w:w="3218" w:type="dxa"/>
            <w:tcBorders>
              <w:bottom w:val="single" w:color="auto" w:sz="4" w:space="0"/>
            </w:tcBorders>
            <w:noWrap w:val="0"/>
            <w:vAlign w:val="center"/>
          </w:tcPr>
          <w:p>
            <w:pPr>
              <w:adjustRightInd w:val="0"/>
              <w:snapToGrid w:val="0"/>
              <w:spacing w:line="240" w:lineRule="atLeast"/>
              <w:ind w:firstLine="0" w:firstLineChars="0"/>
              <w:rPr>
                <w:rFonts w:hint="eastAsia" w:ascii="宋体" w:hAnsi="宋体"/>
                <w:snapToGrid w:val="0"/>
                <w:color w:val="auto"/>
                <w:sz w:val="21"/>
                <w:szCs w:val="21"/>
                <w:highlight w:val="none"/>
              </w:rPr>
            </w:pPr>
            <w:r>
              <w:rPr>
                <w:rFonts w:hint="eastAsia" w:ascii="宋体" w:hAnsi="宋体"/>
                <w:snapToGrid w:val="0"/>
                <w:color w:val="auto"/>
                <w:sz w:val="21"/>
                <w:szCs w:val="21"/>
                <w:highlight w:val="none"/>
                <w:lang w:val="en-US" w:eastAsia="zh-CN"/>
              </w:rPr>
              <w:t>60日历天</w:t>
            </w:r>
          </w:p>
        </w:tc>
        <w:tc>
          <w:tcPr>
            <w:tcW w:w="2268" w:type="dxa"/>
            <w:tcBorders>
              <w:bottom w:val="single" w:color="auto" w:sz="4" w:space="0"/>
            </w:tcBorders>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质量要求</w:t>
            </w:r>
          </w:p>
        </w:tc>
        <w:tc>
          <w:tcPr>
            <w:tcW w:w="2241" w:type="dxa"/>
            <w:tcBorders>
              <w:bottom w:val="single" w:color="auto" w:sz="4" w:space="0"/>
            </w:tcBorders>
            <w:noWrap w:val="0"/>
            <w:vAlign w:val="center"/>
          </w:tcPr>
          <w:p>
            <w:pPr>
              <w:adjustRightInd w:val="0"/>
              <w:snapToGrid w:val="0"/>
              <w:spacing w:line="240" w:lineRule="atLeast"/>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合格</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78"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现场踏勘</w:t>
            </w:r>
          </w:p>
        </w:tc>
        <w:tc>
          <w:tcPr>
            <w:tcW w:w="7727" w:type="dxa"/>
            <w:gridSpan w:val="3"/>
            <w:tcBorders>
              <w:bottom w:val="single" w:color="auto" w:sz="8" w:space="0"/>
            </w:tcBorders>
            <w:noWrap w:val="0"/>
            <w:vAlign w:val="center"/>
          </w:tcPr>
          <w:p>
            <w:pPr>
              <w:adjustRightInd w:val="0"/>
              <w:snapToGrid w:val="0"/>
              <w:spacing w:line="240" w:lineRule="atLeast"/>
              <w:jc w:val="both"/>
              <w:rPr>
                <w:rFonts w:hint="default" w:ascii="宋体" w:hAnsi="宋体" w:eastAsia="宋体"/>
                <w:snapToGrid w:val="0"/>
                <w:color w:val="auto"/>
                <w:sz w:val="21"/>
                <w:szCs w:val="21"/>
                <w:highlight w:val="none"/>
                <w:lang w:val="en-US" w:eastAsia="zh-CN"/>
              </w:rPr>
            </w:pPr>
            <w:r>
              <w:rPr>
                <w:rFonts w:hint="eastAsia" w:ascii="宋体" w:hAnsi="宋体"/>
                <w:snapToGrid w:val="0"/>
                <w:color w:val="auto"/>
                <w:sz w:val="21"/>
                <w:szCs w:val="21"/>
                <w:highlight w:val="none"/>
              </w:rPr>
              <w:t>现场踏勘投标人与招标人联系后自行前往</w:t>
            </w:r>
            <w:r>
              <w:rPr>
                <w:rFonts w:hint="eastAsia" w:ascii="宋体" w:hAnsi="宋体"/>
                <w:snapToGrid w:val="0"/>
                <w:color w:val="auto"/>
                <w:sz w:val="21"/>
                <w:szCs w:val="21"/>
                <w:highlight w:val="none"/>
                <w:lang w:eastAsia="zh-CN"/>
              </w:rPr>
              <w:t>，</w:t>
            </w:r>
            <w:r>
              <w:rPr>
                <w:rFonts w:hint="eastAsia" w:ascii="宋体" w:hAnsi="宋体"/>
                <w:snapToGrid w:val="0"/>
                <w:color w:val="auto"/>
                <w:sz w:val="21"/>
                <w:szCs w:val="21"/>
                <w:highlight w:val="none"/>
                <w:lang w:val="en-US" w:eastAsia="zh-CN"/>
              </w:rPr>
              <w:t>费用自理。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25"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投标有效期</w:t>
            </w:r>
          </w:p>
        </w:tc>
        <w:tc>
          <w:tcPr>
            <w:tcW w:w="7727" w:type="dxa"/>
            <w:gridSpan w:val="3"/>
            <w:noWrap w:val="0"/>
            <w:vAlign w:val="center"/>
          </w:tcPr>
          <w:p>
            <w:pPr>
              <w:adjustRightInd w:val="0"/>
              <w:snapToGrid w:val="0"/>
              <w:spacing w:line="240" w:lineRule="atLeast"/>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投标截止日后</w:t>
            </w:r>
            <w:r>
              <w:rPr>
                <w:rFonts w:hint="eastAsia" w:ascii="宋体" w:hAnsi="宋体"/>
                <w:snapToGrid w:val="0"/>
                <w:color w:val="auto"/>
                <w:sz w:val="21"/>
                <w:szCs w:val="21"/>
                <w:highlight w:val="none"/>
                <w:u w:val="single"/>
              </w:rPr>
              <w:t xml:space="preserve"> 45 </w:t>
            </w:r>
            <w:r>
              <w:rPr>
                <w:rFonts w:hint="eastAsia" w:ascii="宋体" w:hAnsi="宋体"/>
                <w:snapToGrid w:val="0"/>
                <w:color w:val="auto"/>
                <w:sz w:val="21"/>
                <w:szCs w:val="21"/>
                <w:highlight w:val="none"/>
              </w:rPr>
              <w:t>日内有效</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2228"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投标文件份数</w:t>
            </w:r>
          </w:p>
        </w:tc>
        <w:tc>
          <w:tcPr>
            <w:tcW w:w="7727" w:type="dxa"/>
            <w:gridSpan w:val="3"/>
            <w:noWrap w:val="0"/>
            <w:vAlign w:val="center"/>
          </w:tcPr>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一式</w:t>
            </w:r>
            <w:r>
              <w:rPr>
                <w:rFonts w:hint="eastAsia" w:ascii="宋体" w:hAnsi="宋体"/>
                <w:snapToGrid w:val="0"/>
                <w:color w:val="auto"/>
                <w:sz w:val="21"/>
                <w:szCs w:val="21"/>
                <w:highlight w:val="none"/>
                <w:lang w:val="en-US" w:eastAsia="zh-CN"/>
              </w:rPr>
              <w:t>叁</w:t>
            </w:r>
            <w:r>
              <w:rPr>
                <w:rFonts w:hint="eastAsia" w:ascii="宋体" w:hAnsi="宋体"/>
                <w:snapToGrid w:val="0"/>
                <w:color w:val="auto"/>
                <w:sz w:val="21"/>
                <w:szCs w:val="21"/>
                <w:highlight w:val="none"/>
              </w:rPr>
              <w:t>份，正本壹套、副本</w:t>
            </w:r>
            <w:r>
              <w:rPr>
                <w:rFonts w:hint="eastAsia" w:ascii="宋体" w:hAnsi="宋体"/>
                <w:snapToGrid w:val="0"/>
                <w:color w:val="auto"/>
                <w:sz w:val="21"/>
                <w:szCs w:val="21"/>
                <w:highlight w:val="none"/>
                <w:lang w:val="en-US" w:eastAsia="zh-CN"/>
              </w:rPr>
              <w:t>贰</w:t>
            </w:r>
            <w:r>
              <w:rPr>
                <w:rFonts w:hint="eastAsia" w:ascii="宋体" w:hAnsi="宋体"/>
                <w:snapToGrid w:val="0"/>
                <w:color w:val="auto"/>
                <w:sz w:val="21"/>
                <w:szCs w:val="21"/>
                <w:highlight w:val="none"/>
              </w:rPr>
              <w:t>套。密封（注：密封袋骑缝处加盖</w:t>
            </w:r>
            <w:r>
              <w:rPr>
                <w:rFonts w:hint="eastAsia" w:ascii="宋体" w:hAnsi="宋体"/>
                <w:snapToGrid w:val="0"/>
                <w:color w:val="auto"/>
                <w:sz w:val="21"/>
                <w:szCs w:val="21"/>
                <w:highlight w:val="none"/>
                <w:lang w:val="en-US" w:eastAsia="zh-CN"/>
              </w:rPr>
              <w:t>投标</w:t>
            </w:r>
            <w:r>
              <w:rPr>
                <w:rFonts w:hint="eastAsia" w:ascii="宋体" w:hAnsi="宋体"/>
                <w:snapToGrid w:val="0"/>
                <w:color w:val="auto"/>
                <w:sz w:val="21"/>
                <w:szCs w:val="21"/>
                <w:highlight w:val="none"/>
              </w:rPr>
              <w:t>企业公章）、标志（注：密封袋上注明工程名称、</w:t>
            </w:r>
            <w:r>
              <w:rPr>
                <w:rFonts w:hint="eastAsia" w:ascii="宋体" w:hAnsi="宋体"/>
                <w:snapToGrid w:val="0"/>
                <w:color w:val="auto"/>
                <w:sz w:val="21"/>
                <w:szCs w:val="21"/>
                <w:highlight w:val="none"/>
                <w:lang w:val="en-US" w:eastAsia="zh-CN"/>
              </w:rPr>
              <w:t>投标</w:t>
            </w:r>
            <w:r>
              <w:rPr>
                <w:rFonts w:hint="eastAsia" w:ascii="宋体" w:hAnsi="宋体"/>
                <w:snapToGrid w:val="0"/>
                <w:color w:val="auto"/>
                <w:sz w:val="21"/>
                <w:szCs w:val="21"/>
                <w:highlight w:val="none"/>
              </w:rPr>
              <w:t>企业全称并加盖</w:t>
            </w:r>
            <w:r>
              <w:rPr>
                <w:rFonts w:hint="eastAsia" w:ascii="宋体" w:hAnsi="宋体"/>
                <w:snapToGrid w:val="0"/>
                <w:color w:val="auto"/>
                <w:sz w:val="21"/>
                <w:szCs w:val="21"/>
                <w:highlight w:val="none"/>
                <w:lang w:val="en-US" w:eastAsia="zh-CN"/>
              </w:rPr>
              <w:t>投标</w:t>
            </w:r>
            <w:r>
              <w:rPr>
                <w:rFonts w:hint="eastAsia" w:ascii="宋体" w:hAnsi="宋体"/>
                <w:snapToGrid w:val="0"/>
                <w:color w:val="auto"/>
                <w:sz w:val="21"/>
                <w:szCs w:val="21"/>
                <w:highlight w:val="none"/>
              </w:rPr>
              <w:t>企业公章和法定代表人印章）后在投标截止时间前一次性递交，投标时间截止后不再接受补充资料（未能按要求提供以上密封资料的，招标人将拒绝其参与投标）。</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1149"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投标文件递交地点及截至时间</w:t>
            </w:r>
          </w:p>
        </w:tc>
        <w:tc>
          <w:tcPr>
            <w:tcW w:w="7727" w:type="dxa"/>
            <w:gridSpan w:val="3"/>
            <w:noWrap w:val="0"/>
            <w:vAlign w:val="center"/>
          </w:tcPr>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接收人：</w:t>
            </w:r>
            <w:r>
              <w:rPr>
                <w:rFonts w:hint="eastAsia" w:ascii="宋体" w:hAnsi="宋体"/>
                <w:snapToGrid w:val="0"/>
                <w:color w:val="auto"/>
                <w:sz w:val="21"/>
                <w:szCs w:val="21"/>
                <w:highlight w:val="none"/>
                <w:lang w:eastAsia="zh-CN"/>
              </w:rPr>
              <w:t>江苏利诚全过程工程咨询有限公司</w:t>
            </w:r>
          </w:p>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地  点：常州市金坛区市民中心C栋5楼</w:t>
            </w:r>
            <w:r>
              <w:rPr>
                <w:rFonts w:hint="eastAsia" w:ascii="宋体" w:hAnsi="宋体"/>
                <w:snapToGrid w:val="0"/>
                <w:color w:val="auto"/>
                <w:sz w:val="21"/>
                <w:szCs w:val="21"/>
                <w:highlight w:val="none"/>
                <w:lang w:val="en-US" w:eastAsia="zh-CN"/>
              </w:rPr>
              <w:t>504</w:t>
            </w:r>
            <w:r>
              <w:rPr>
                <w:rFonts w:hint="eastAsia" w:ascii="宋体" w:hAnsi="宋体"/>
                <w:snapToGrid w:val="0"/>
                <w:color w:val="auto"/>
                <w:sz w:val="21"/>
                <w:szCs w:val="21"/>
                <w:highlight w:val="none"/>
              </w:rPr>
              <w:t>室（常州市金坛区金山路168号）</w:t>
            </w:r>
          </w:p>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投标截止时间：</w:t>
            </w:r>
            <w:r>
              <w:rPr>
                <w:rFonts w:hint="eastAsia" w:ascii="宋体" w:hAnsi="宋体"/>
                <w:snapToGrid w:val="0"/>
                <w:color w:val="auto"/>
                <w:sz w:val="21"/>
                <w:szCs w:val="21"/>
                <w:highlight w:val="none"/>
                <w:lang w:eastAsia="zh-CN"/>
              </w:rPr>
              <w:t>202</w:t>
            </w:r>
            <w:r>
              <w:rPr>
                <w:rFonts w:hint="eastAsia" w:ascii="宋体" w:hAnsi="宋体"/>
                <w:snapToGrid w:val="0"/>
                <w:color w:val="auto"/>
                <w:sz w:val="21"/>
                <w:szCs w:val="21"/>
                <w:highlight w:val="none"/>
                <w:lang w:val="en-US" w:eastAsia="zh-CN"/>
              </w:rPr>
              <w:t>3</w:t>
            </w:r>
            <w:r>
              <w:rPr>
                <w:rFonts w:hint="eastAsia" w:ascii="宋体" w:hAnsi="宋体"/>
                <w:snapToGrid w:val="0"/>
                <w:color w:val="auto"/>
                <w:sz w:val="21"/>
                <w:szCs w:val="21"/>
                <w:highlight w:val="none"/>
                <w:lang w:eastAsia="zh-CN"/>
              </w:rPr>
              <w:t>年</w:t>
            </w:r>
            <w:r>
              <w:rPr>
                <w:rFonts w:hint="eastAsia" w:ascii="宋体" w:hAnsi="宋体"/>
                <w:snapToGrid w:val="0"/>
                <w:color w:val="auto"/>
                <w:sz w:val="21"/>
                <w:szCs w:val="21"/>
                <w:highlight w:val="none"/>
                <w:lang w:val="en-US" w:eastAsia="zh-CN"/>
              </w:rPr>
              <w:t>4月23日上午09：30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861" w:hRule="atLeast"/>
          <w:jc w:val="center"/>
        </w:trPr>
        <w:tc>
          <w:tcPr>
            <w:tcW w:w="1774" w:type="dxa"/>
            <w:noWrap w:val="0"/>
            <w:vAlign w:val="center"/>
          </w:tcPr>
          <w:p>
            <w:pPr>
              <w:adjustRightInd w:val="0"/>
              <w:snapToGrid w:val="0"/>
              <w:spacing w:line="240" w:lineRule="atLeas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开        标</w:t>
            </w:r>
          </w:p>
        </w:tc>
        <w:tc>
          <w:tcPr>
            <w:tcW w:w="7727" w:type="dxa"/>
            <w:gridSpan w:val="3"/>
            <w:noWrap w:val="0"/>
            <w:vAlign w:val="center"/>
          </w:tcPr>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地点：常州市金坛区市民中心C栋5楼</w:t>
            </w:r>
            <w:r>
              <w:rPr>
                <w:rFonts w:hint="eastAsia" w:ascii="宋体" w:hAnsi="宋体"/>
                <w:snapToGrid w:val="0"/>
                <w:color w:val="auto"/>
                <w:sz w:val="21"/>
                <w:szCs w:val="21"/>
                <w:highlight w:val="none"/>
                <w:lang w:val="en-US" w:eastAsia="zh-CN"/>
              </w:rPr>
              <w:t>504</w:t>
            </w:r>
            <w:r>
              <w:rPr>
                <w:rFonts w:hint="eastAsia" w:ascii="宋体" w:hAnsi="宋体"/>
                <w:snapToGrid w:val="0"/>
                <w:color w:val="auto"/>
                <w:sz w:val="21"/>
                <w:szCs w:val="21"/>
                <w:highlight w:val="none"/>
              </w:rPr>
              <w:t>室（常州市金坛区金山路168号）</w:t>
            </w:r>
          </w:p>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时间：</w:t>
            </w:r>
            <w:r>
              <w:rPr>
                <w:rFonts w:hint="eastAsia" w:ascii="宋体" w:hAnsi="宋体"/>
                <w:snapToGrid w:val="0"/>
                <w:color w:val="auto"/>
                <w:sz w:val="21"/>
                <w:szCs w:val="21"/>
                <w:highlight w:val="none"/>
                <w:lang w:eastAsia="zh-CN"/>
              </w:rPr>
              <w:t>202</w:t>
            </w:r>
            <w:r>
              <w:rPr>
                <w:rFonts w:hint="eastAsia" w:ascii="宋体" w:hAnsi="宋体"/>
                <w:snapToGrid w:val="0"/>
                <w:color w:val="auto"/>
                <w:sz w:val="21"/>
                <w:szCs w:val="21"/>
                <w:highlight w:val="none"/>
                <w:lang w:val="en-US" w:eastAsia="zh-CN"/>
              </w:rPr>
              <w:t>3</w:t>
            </w:r>
            <w:r>
              <w:rPr>
                <w:rFonts w:hint="eastAsia" w:ascii="宋体" w:hAnsi="宋体"/>
                <w:snapToGrid w:val="0"/>
                <w:color w:val="auto"/>
                <w:sz w:val="21"/>
                <w:szCs w:val="21"/>
                <w:highlight w:val="none"/>
                <w:lang w:eastAsia="zh-CN"/>
              </w:rPr>
              <w:t>年</w:t>
            </w:r>
            <w:r>
              <w:rPr>
                <w:rFonts w:hint="eastAsia" w:ascii="宋体" w:hAnsi="宋体"/>
                <w:snapToGrid w:val="0"/>
                <w:color w:val="auto"/>
                <w:sz w:val="21"/>
                <w:szCs w:val="21"/>
                <w:highlight w:val="none"/>
                <w:lang w:val="en-US" w:eastAsia="zh-CN"/>
              </w:rPr>
              <w:t>4</w:t>
            </w:r>
            <w:r>
              <w:rPr>
                <w:rFonts w:hint="eastAsia" w:ascii="宋体" w:hAnsi="宋体"/>
                <w:snapToGrid w:val="0"/>
                <w:color w:val="auto"/>
                <w:sz w:val="21"/>
                <w:szCs w:val="21"/>
                <w:highlight w:val="none"/>
                <w:lang w:eastAsia="zh-CN"/>
              </w:rPr>
              <w:t>月</w:t>
            </w:r>
            <w:r>
              <w:rPr>
                <w:rFonts w:hint="eastAsia" w:ascii="宋体" w:hAnsi="宋体"/>
                <w:snapToGrid w:val="0"/>
                <w:color w:val="auto"/>
                <w:sz w:val="21"/>
                <w:szCs w:val="21"/>
                <w:highlight w:val="none"/>
                <w:lang w:val="en-US" w:eastAsia="zh-CN"/>
              </w:rPr>
              <w:t>23日上午09：30</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683" w:hRule="atLeast"/>
          <w:jc w:val="center"/>
        </w:trPr>
        <w:tc>
          <w:tcPr>
            <w:tcW w:w="1774" w:type="dxa"/>
            <w:noWrap w:val="0"/>
            <w:vAlign w:val="center"/>
          </w:tcPr>
          <w:p>
            <w:pPr>
              <w:adjustRightInd w:val="0"/>
              <w:snapToGrid w:val="0"/>
              <w:spacing w:line="300" w:lineRule="auto"/>
              <w:jc w:val="center"/>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评标办法</w:t>
            </w:r>
          </w:p>
        </w:tc>
        <w:tc>
          <w:tcPr>
            <w:tcW w:w="7727" w:type="dxa"/>
            <w:gridSpan w:val="3"/>
            <w:noWrap w:val="0"/>
            <w:vAlign w:val="center"/>
          </w:tcPr>
          <w:p>
            <w:pPr>
              <w:adjustRightInd w:val="0"/>
              <w:snapToGrid w:val="0"/>
              <w:spacing w:line="300" w:lineRule="auto"/>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详见第四章：评标细则</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5" w:hRule="atLeast"/>
          <w:jc w:val="center"/>
        </w:trPr>
        <w:tc>
          <w:tcPr>
            <w:tcW w:w="1774" w:type="dxa"/>
            <w:noWrap w:val="0"/>
            <w:vAlign w:val="center"/>
          </w:tcPr>
          <w:p>
            <w:pPr>
              <w:adjustRightInd w:val="0"/>
              <w:snapToGrid w:val="0"/>
              <w:spacing w:line="300" w:lineRule="auto"/>
              <w:jc w:val="center"/>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资格审查</w:t>
            </w:r>
          </w:p>
        </w:tc>
        <w:tc>
          <w:tcPr>
            <w:tcW w:w="7727" w:type="dxa"/>
            <w:gridSpan w:val="3"/>
            <w:noWrap w:val="0"/>
            <w:vAlign w:val="center"/>
          </w:tcPr>
          <w:p>
            <w:pPr>
              <w:adjustRightInd w:val="0"/>
              <w:snapToGrid w:val="0"/>
              <w:spacing w:line="300" w:lineRule="auto"/>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本项目采用资格后审形式，具体详见第四章。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705" w:hRule="atLeast"/>
          <w:jc w:val="center"/>
        </w:trPr>
        <w:tc>
          <w:tcPr>
            <w:tcW w:w="1774" w:type="dxa"/>
            <w:noWrap w:val="0"/>
            <w:vAlign w:val="center"/>
          </w:tcPr>
          <w:p>
            <w:pPr>
              <w:adjustRightInd w:val="0"/>
              <w:snapToGrid w:val="0"/>
              <w:spacing w:line="300" w:lineRule="auto"/>
              <w:jc w:val="center"/>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付款方式</w:t>
            </w:r>
          </w:p>
        </w:tc>
        <w:tc>
          <w:tcPr>
            <w:tcW w:w="7727" w:type="dxa"/>
            <w:gridSpan w:val="3"/>
            <w:noWrap w:val="0"/>
            <w:vAlign w:val="center"/>
          </w:tcPr>
          <w:p>
            <w:pPr>
              <w:spacing w:line="390" w:lineRule="exact"/>
              <w:rPr>
                <w:rFonts w:hint="eastAsia" w:ascii="宋体" w:hAnsi="宋体" w:eastAsia="宋体"/>
                <w:snapToGrid w:val="0"/>
                <w:color w:val="auto"/>
                <w:sz w:val="21"/>
                <w:szCs w:val="21"/>
                <w:highlight w:val="none"/>
                <w:lang w:val="en-US" w:eastAsia="zh-CN"/>
              </w:rPr>
            </w:pPr>
            <w:r>
              <w:rPr>
                <w:rFonts w:hint="eastAsia" w:ascii="宋体" w:hAnsi="宋体"/>
                <w:snapToGrid w:val="0"/>
                <w:color w:val="auto"/>
                <w:sz w:val="21"/>
                <w:szCs w:val="21"/>
                <w:highlight w:val="none"/>
              </w:rPr>
              <w:t>工程竣工验收合格后付至合同价款的50%，竣工验收合格后第二年且经审计部门审计后付至审定价款的80% ，竣工验收合格后第三年付清余款（无息）。</w:t>
            </w:r>
            <w:r>
              <w:rPr>
                <w:rFonts w:hint="eastAsia" w:ascii="宋体" w:hAnsi="宋体" w:eastAsia="宋体" w:cs="Times New Roman"/>
                <w:color w:val="auto"/>
                <w:sz w:val="21"/>
                <w:szCs w:val="21"/>
                <w:lang w:val="en-US" w:eastAsia="zh-CN"/>
              </w:rPr>
              <w:t>注：在支付上述工程款时，承包人应开具合法增值税发票（税率9%），提交给发包人。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1774" w:type="dxa"/>
            <w:noWrap w:val="0"/>
            <w:vAlign w:val="center"/>
          </w:tcPr>
          <w:p>
            <w:pPr>
              <w:adjustRightInd w:val="0"/>
              <w:snapToGrid w:val="0"/>
              <w:spacing w:line="300" w:lineRule="auto"/>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履约保证金</w:t>
            </w:r>
          </w:p>
        </w:tc>
        <w:tc>
          <w:tcPr>
            <w:tcW w:w="7727" w:type="dxa"/>
            <w:gridSpan w:val="3"/>
            <w:noWrap w:val="0"/>
            <w:vAlign w:val="center"/>
          </w:tcPr>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中标人需在签订合同前将中标价款的10%作为履约保证金；</w:t>
            </w:r>
          </w:p>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以现金或</w:t>
            </w:r>
            <w:r>
              <w:rPr>
                <w:rFonts w:hint="eastAsia" w:ascii="宋体" w:hAnsi="宋体" w:eastAsia="宋体" w:cs="Times New Roman"/>
                <w:snapToGrid w:val="0"/>
                <w:color w:val="auto"/>
                <w:sz w:val="21"/>
                <w:szCs w:val="21"/>
                <w:highlight w:val="none"/>
                <w:lang w:val="en-US" w:eastAsia="zh-CN"/>
              </w:rPr>
              <w:t>转账</w:t>
            </w:r>
            <w:r>
              <w:rPr>
                <w:rFonts w:hint="eastAsia" w:ascii="宋体" w:hAnsi="宋体" w:eastAsia="宋体" w:cs="Times New Roman"/>
                <w:snapToGrid w:val="0"/>
                <w:color w:val="auto"/>
                <w:sz w:val="21"/>
                <w:szCs w:val="21"/>
                <w:highlight w:val="none"/>
              </w:rPr>
              <w:t>的形式</w:t>
            </w:r>
            <w:r>
              <w:rPr>
                <w:rFonts w:hint="eastAsia" w:ascii="宋体" w:hAnsi="宋体" w:eastAsia="宋体" w:cs="Times New Roman"/>
                <w:snapToGrid w:val="0"/>
                <w:color w:val="auto"/>
                <w:sz w:val="21"/>
                <w:szCs w:val="21"/>
                <w:highlight w:val="none"/>
                <w:lang w:eastAsia="zh-CN"/>
              </w:rPr>
              <w:t>，</w:t>
            </w:r>
            <w:r>
              <w:rPr>
                <w:rFonts w:hint="eastAsia" w:ascii="宋体" w:hAnsi="宋体" w:eastAsia="宋体" w:cs="Times New Roman"/>
                <w:snapToGrid w:val="0"/>
                <w:color w:val="auto"/>
                <w:sz w:val="21"/>
                <w:szCs w:val="21"/>
                <w:highlight w:val="none"/>
                <w:lang w:val="en-US" w:eastAsia="zh-CN"/>
              </w:rPr>
              <w:t>工程竣工验收合格后一次性退还（不计息）</w:t>
            </w:r>
            <w:r>
              <w:rPr>
                <w:rFonts w:hint="eastAsia" w:ascii="宋体" w:hAnsi="宋体" w:eastAsia="宋体" w:cs="Times New Roman"/>
                <w:snapToGrid w:val="0"/>
                <w:color w:val="auto"/>
                <w:sz w:val="21"/>
                <w:szCs w:val="21"/>
                <w:highlight w:val="none"/>
              </w:rPr>
              <w:t>。</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cantSplit/>
          <w:trHeight w:val="563" w:hRule="atLeast"/>
          <w:jc w:val="center"/>
        </w:trPr>
        <w:tc>
          <w:tcPr>
            <w:tcW w:w="1774" w:type="dxa"/>
            <w:noWrap w:val="0"/>
            <w:vAlign w:val="center"/>
          </w:tcPr>
          <w:p>
            <w:pPr>
              <w:adjustRightInd w:val="0"/>
              <w:snapToGrid w:val="0"/>
              <w:spacing w:line="400" w:lineRule="exact"/>
              <w:jc w:val="center"/>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注意事项</w:t>
            </w:r>
          </w:p>
          <w:p>
            <w:pPr>
              <w:adjustRightInd w:val="0"/>
              <w:snapToGrid w:val="0"/>
              <w:spacing w:line="300" w:lineRule="auto"/>
              <w:jc w:val="center"/>
              <w:rPr>
                <w:rFonts w:hint="eastAsia" w:ascii="宋体" w:hAnsi="宋体"/>
                <w:snapToGrid w:val="0"/>
                <w:color w:val="auto"/>
                <w:sz w:val="21"/>
                <w:szCs w:val="21"/>
                <w:highlight w:val="none"/>
              </w:rPr>
            </w:pPr>
          </w:p>
        </w:tc>
        <w:tc>
          <w:tcPr>
            <w:tcW w:w="7727" w:type="dxa"/>
            <w:gridSpan w:val="3"/>
            <w:noWrap w:val="0"/>
            <w:vAlign w:val="center"/>
          </w:tcPr>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1、如法定代表人出席开标会，需持本人第二代身份证原件并提交法定代表人身份证明文件原件（除投标书中另外单独提供一份）进行身份核验；</w:t>
            </w:r>
          </w:p>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2、如委托代理人出席开标会，需持法定代表人授权委托书原件（除投标书中另外单独提供一份）、本人第二代身份证原件及复印件（加盖投标单位公章）进行身份核验，否则招标人将拒绝其投标。</w:t>
            </w:r>
          </w:p>
          <w:p>
            <w:pPr>
              <w:spacing w:line="380" w:lineRule="exact"/>
              <w:rPr>
                <w:rFonts w:hint="eastAsia" w:ascii="宋体" w:hAnsi="宋体" w:eastAsia="宋体" w:cs="宋体"/>
                <w:sz w:val="21"/>
                <w:szCs w:val="21"/>
                <w:shd w:val="clear" w:color="auto" w:fill="FFFFFF"/>
              </w:rPr>
            </w:pPr>
            <w:r>
              <w:rPr>
                <w:rFonts w:hint="eastAsia" w:ascii="宋体" w:hAnsi="宋体" w:eastAsia="宋体" w:cs="宋体"/>
                <w:sz w:val="21"/>
                <w:szCs w:val="21"/>
                <w:shd w:val="clear" w:color="auto" w:fill="FFFFFF"/>
                <w:lang w:val="en-US" w:eastAsia="zh-CN"/>
              </w:rPr>
              <w:t>3、</w:t>
            </w:r>
            <w:r>
              <w:rPr>
                <w:rFonts w:hint="eastAsia" w:ascii="宋体" w:hAnsi="宋体" w:eastAsia="宋体" w:cs="宋体"/>
                <w:sz w:val="21"/>
                <w:szCs w:val="21"/>
                <w:shd w:val="clear" w:color="auto" w:fill="FFFFFF"/>
              </w:rPr>
              <w:t>投标人应根据招标文件的有关要求，自行查看现场，结合施工现场实际情况及拟定的施工方案或施工组织设计，并充分考虑地块平整过程中各种措施（安全文明施工等），自主报价，确保施工顺利进行。相关费用应综合考虑在投标报价中。</w:t>
            </w:r>
          </w:p>
          <w:p>
            <w:pPr>
              <w:spacing w:line="380" w:lineRule="exact"/>
              <w:rPr>
                <w:rFonts w:hint="eastAsia" w:ascii="宋体" w:hAnsi="宋体" w:eastAsia="宋体" w:cs="宋体"/>
                <w:sz w:val="21"/>
                <w:szCs w:val="21"/>
                <w:shd w:val="clear" w:color="auto" w:fill="FFFFFF"/>
              </w:rPr>
            </w:pPr>
            <w:r>
              <w:rPr>
                <w:rFonts w:hint="eastAsia" w:ascii="宋体" w:hAnsi="宋体" w:eastAsia="宋体" w:cs="宋体"/>
                <w:sz w:val="21"/>
                <w:szCs w:val="21"/>
                <w:shd w:val="clear" w:color="auto" w:fill="FFFFFF"/>
                <w:lang w:val="en-US" w:eastAsia="zh-CN"/>
              </w:rPr>
              <w:t>4、</w:t>
            </w:r>
            <w:r>
              <w:rPr>
                <w:rFonts w:hint="eastAsia" w:ascii="宋体" w:hAnsi="宋体" w:eastAsia="宋体" w:cs="宋体"/>
                <w:sz w:val="21"/>
                <w:szCs w:val="21"/>
                <w:shd w:val="clear" w:color="auto" w:fill="FFFFFF"/>
              </w:rPr>
              <w:t>各投标单位应认真自行踏勘施工现场的地形、道路、地下和周围环境，了解一切可能影响施工、投标报价的因素，且对自行获得的资料、信息的正确性负全部责任，因此所需费用自行承担。一旦中标，不得以不完全了解施工现场为由而提出额外的赔偿、补偿、增加费用和延长工期。</w:t>
            </w:r>
          </w:p>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lang w:val="en-US" w:eastAsia="zh-CN"/>
              </w:rPr>
              <w:t>5、</w:t>
            </w:r>
            <w:r>
              <w:rPr>
                <w:rFonts w:hint="eastAsia" w:ascii="宋体" w:hAnsi="宋体"/>
                <w:snapToGrid w:val="0"/>
                <w:color w:val="auto"/>
                <w:sz w:val="21"/>
                <w:szCs w:val="21"/>
                <w:highlight w:val="none"/>
              </w:rPr>
              <w:t>关于结算审核费：本工程结算审核的核减费费率控制在8%内（含8%）。如12%≥核减费费率＞8%时，审核费用投标人必须承担一半；核减费费率＞12%时，该工程所有审计费均由投标人承担。以上费用不累进。</w:t>
            </w:r>
          </w:p>
          <w:p>
            <w:pPr>
              <w:adjustRightInd w:val="0"/>
              <w:snapToGrid w:val="0"/>
              <w:spacing w:line="300" w:lineRule="auto"/>
              <w:rPr>
                <w:rFonts w:hint="eastAsia" w:ascii="宋体" w:hAnsi="宋体"/>
                <w:snapToGrid w:val="0"/>
                <w:color w:val="auto"/>
                <w:sz w:val="21"/>
                <w:szCs w:val="21"/>
                <w:highlight w:val="none"/>
                <w:lang w:val="en-US" w:eastAsia="zh-CN"/>
              </w:rPr>
            </w:pPr>
            <w:r>
              <w:rPr>
                <w:rFonts w:hint="eastAsia" w:ascii="宋体" w:hAnsi="宋体"/>
                <w:snapToGrid w:val="0"/>
                <w:color w:val="auto"/>
                <w:sz w:val="21"/>
                <w:szCs w:val="21"/>
                <w:highlight w:val="none"/>
                <w:lang w:val="en-US" w:eastAsia="zh-CN"/>
              </w:rPr>
              <w:t>6、投标单位进入开标场所时需规范佩戴口罩（除带呼吸阀类型口罩），进场后保持安全距离，分散等候，不扎堆聚集。</w:t>
            </w:r>
          </w:p>
          <w:p>
            <w:pPr>
              <w:adjustRightInd w:val="0"/>
              <w:snapToGrid w:val="0"/>
              <w:spacing w:line="300" w:lineRule="auto"/>
              <w:rPr>
                <w:rFonts w:hint="eastAsia" w:ascii="宋体" w:hAnsi="宋体"/>
                <w:snapToGrid w:val="0"/>
                <w:color w:val="auto"/>
                <w:sz w:val="21"/>
                <w:szCs w:val="21"/>
                <w:highlight w:val="none"/>
              </w:rPr>
            </w:pPr>
            <w:r>
              <w:rPr>
                <w:rFonts w:hint="eastAsia" w:ascii="宋体" w:hAnsi="宋体"/>
                <w:snapToGrid w:val="0"/>
                <w:color w:val="auto"/>
                <w:sz w:val="21"/>
                <w:szCs w:val="21"/>
                <w:highlight w:val="none"/>
                <w:lang w:val="en-US" w:eastAsia="zh-CN"/>
              </w:rPr>
              <w:t>7、投标单位只允许一人进去开标现场。</w:t>
            </w:r>
          </w:p>
          <w:p>
            <w:pPr>
              <w:adjustRightInd w:val="0"/>
              <w:snapToGrid w:val="0"/>
              <w:spacing w:line="300" w:lineRule="auto"/>
              <w:rPr>
                <w:rFonts w:hint="eastAsia" w:ascii="宋体" w:hAnsi="宋体" w:eastAsia="宋体"/>
                <w:snapToGrid w:val="0"/>
                <w:color w:val="auto"/>
                <w:sz w:val="21"/>
                <w:szCs w:val="21"/>
                <w:highlight w:val="none"/>
                <w:lang w:val="en-US" w:eastAsia="zh-CN"/>
              </w:rPr>
            </w:pPr>
            <w:r>
              <w:rPr>
                <w:rFonts w:hint="eastAsia" w:ascii="宋体" w:hAnsi="宋体"/>
                <w:snapToGrid w:val="0"/>
                <w:color w:val="auto"/>
                <w:sz w:val="21"/>
                <w:szCs w:val="21"/>
                <w:highlight w:val="none"/>
                <w:lang w:val="en-US" w:eastAsia="zh-CN"/>
              </w:rPr>
              <w:t>8、本工程的招标代理费由中标单位支付，金额按相关文件和约定计取，请投标单位投标报价时自行考虑。中标单位在领取中标通知书时一次性现金支付给招标代理单位。</w:t>
            </w:r>
          </w:p>
        </w:tc>
      </w:tr>
    </w:tbl>
    <w:p>
      <w:pPr>
        <w:pStyle w:val="4"/>
        <w:jc w:val="center"/>
        <w:rPr>
          <w:rFonts w:hint="eastAsia" w:ascii="宋体" w:hAnsi="宋体" w:eastAsia="宋体"/>
          <w:b/>
          <w:snapToGrid w:val="0"/>
          <w:color w:val="auto"/>
          <w:sz w:val="28"/>
          <w:szCs w:val="28"/>
          <w:highlight w:val="none"/>
        </w:rPr>
      </w:pPr>
    </w:p>
    <w:p>
      <w:pPr>
        <w:pStyle w:val="4"/>
        <w:jc w:val="center"/>
        <w:rPr>
          <w:rFonts w:hint="eastAsia" w:ascii="宋体" w:hAnsi="宋体" w:eastAsia="宋体"/>
          <w:b/>
          <w:snapToGrid w:val="0"/>
          <w:color w:val="auto"/>
          <w:sz w:val="28"/>
          <w:szCs w:val="28"/>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rPr>
          <w:rFonts w:hint="eastAsia"/>
          <w:color w:val="auto"/>
          <w:highlight w:val="none"/>
        </w:rPr>
      </w:pPr>
    </w:p>
    <w:p>
      <w:pPr>
        <w:pStyle w:val="4"/>
        <w:jc w:val="center"/>
        <w:rPr>
          <w:rFonts w:hint="eastAsia" w:ascii="宋体" w:hAnsi="宋体" w:eastAsia="宋体"/>
          <w:b/>
          <w:snapToGrid w:val="0"/>
          <w:color w:val="auto"/>
          <w:sz w:val="28"/>
          <w:szCs w:val="28"/>
          <w:highlight w:val="none"/>
        </w:rPr>
      </w:pPr>
      <w:bookmarkStart w:id="2" w:name="_Toc32466"/>
      <w:bookmarkStart w:id="3" w:name="_Toc11055313"/>
      <w:r>
        <w:rPr>
          <w:rFonts w:hint="eastAsia" w:ascii="宋体" w:hAnsi="宋体" w:eastAsia="宋体"/>
          <w:b/>
          <w:snapToGrid w:val="0"/>
          <w:color w:val="auto"/>
          <w:sz w:val="28"/>
          <w:szCs w:val="28"/>
          <w:highlight w:val="none"/>
        </w:rPr>
        <w:t>一、总    则</w:t>
      </w:r>
      <w:bookmarkEnd w:id="2"/>
      <w:bookmarkEnd w:id="3"/>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（一）工程概况：</w:t>
      </w:r>
    </w:p>
    <w:p>
      <w:pPr>
        <w:adjustRightInd w:val="0"/>
        <w:snapToGrid w:val="0"/>
        <w:spacing w:line="360" w:lineRule="auto"/>
        <w:ind w:firstLine="495" w:firstLineChars="236"/>
        <w:jc w:val="both"/>
        <w:rPr>
          <w:rFonts w:hint="eastAsia" w:ascii="宋体" w:hAnsi="宋体"/>
          <w:bCs/>
          <w:snapToGrid w:val="0"/>
          <w:color w:val="auto"/>
          <w:sz w:val="21"/>
          <w:szCs w:val="21"/>
          <w:highlight w:val="none"/>
          <w:u w:val="single"/>
        </w:rPr>
      </w:pPr>
      <w:r>
        <w:rPr>
          <w:rFonts w:hint="eastAsia" w:ascii="宋体" w:hAnsi="宋体"/>
          <w:snapToGrid w:val="0"/>
          <w:color w:val="auto"/>
          <w:sz w:val="21"/>
          <w:szCs w:val="21"/>
          <w:highlight w:val="none"/>
        </w:rPr>
        <w:t>1、招标范围</w:t>
      </w:r>
    </w:p>
    <w:p>
      <w:pPr>
        <w:adjustRightInd w:val="0"/>
        <w:snapToGrid w:val="0"/>
        <w:spacing w:line="360" w:lineRule="auto"/>
        <w:ind w:left="480" w:leftChars="240" w:firstLine="441" w:firstLineChars="210"/>
        <w:jc w:val="both"/>
        <w:rPr>
          <w:rFonts w:hint="eastAsia" w:ascii="宋体" w:hAnsi="宋体"/>
          <w:bCs/>
          <w:snapToGrid w:val="0"/>
          <w:color w:val="auto"/>
          <w:sz w:val="21"/>
          <w:szCs w:val="21"/>
          <w:highlight w:val="none"/>
          <w:u w:val="single"/>
        </w:rPr>
      </w:pPr>
      <w:r>
        <w:rPr>
          <w:rFonts w:hint="eastAsia" w:ascii="宋体" w:hAnsi="宋体"/>
          <w:snapToGrid w:val="0"/>
          <w:color w:val="auto"/>
          <w:sz w:val="21"/>
          <w:szCs w:val="21"/>
          <w:highlight w:val="none"/>
          <w:u w:val="single"/>
          <w:lang w:val="en-US" w:eastAsia="zh-CN"/>
        </w:rPr>
        <w:t>图纸及</w:t>
      </w:r>
      <w:r>
        <w:rPr>
          <w:rFonts w:hint="eastAsia" w:ascii="宋体" w:hAnsi="宋体"/>
          <w:snapToGrid w:val="0"/>
          <w:color w:val="auto"/>
          <w:sz w:val="21"/>
          <w:szCs w:val="21"/>
          <w:highlight w:val="none"/>
          <w:u w:val="single"/>
        </w:rPr>
        <w:t xml:space="preserve">工程量清单范围内的全部工程 </w:t>
      </w:r>
      <w:r>
        <w:rPr>
          <w:rFonts w:hint="eastAsia" w:ascii="宋体" w:hAnsi="宋体"/>
          <w:bCs/>
          <w:snapToGrid w:val="0"/>
          <w:color w:val="auto"/>
          <w:sz w:val="21"/>
          <w:szCs w:val="21"/>
          <w:highlight w:val="none"/>
        </w:rPr>
        <w:t>。</w:t>
      </w:r>
    </w:p>
    <w:p>
      <w:pPr>
        <w:adjustRightInd w:val="0"/>
        <w:snapToGrid w:val="0"/>
        <w:spacing w:line="360" w:lineRule="auto"/>
        <w:ind w:firstLine="495" w:firstLineChars="236"/>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2、现场施工条件</w:t>
      </w:r>
    </w:p>
    <w:p>
      <w:pPr>
        <w:adjustRightInd w:val="0"/>
        <w:snapToGrid w:val="0"/>
        <w:spacing w:line="360" w:lineRule="auto"/>
        <w:rPr>
          <w:rFonts w:hint="eastAsia" w:ascii="宋体" w:hAnsi="宋体"/>
          <w:snapToGrid w:val="0"/>
          <w:color w:val="auto"/>
          <w:sz w:val="21"/>
          <w:szCs w:val="21"/>
          <w:highlight w:val="none"/>
          <w:u w:val="single"/>
        </w:rPr>
      </w:pPr>
      <w:r>
        <w:rPr>
          <w:rFonts w:ascii="宋体" w:hAnsi="宋体"/>
          <w:snapToGrid w:val="0"/>
          <w:color w:val="auto"/>
          <w:sz w:val="21"/>
          <w:szCs w:val="21"/>
          <w:highlight w:val="none"/>
        </w:rPr>
        <w:t xml:space="preserve">     </w:t>
      </w:r>
      <w:r>
        <w:rPr>
          <w:rFonts w:hint="eastAsia" w:ascii="宋体" w:hAnsi="宋体"/>
          <w:snapToGrid w:val="0"/>
          <w:color w:val="auto"/>
          <w:sz w:val="21"/>
          <w:szCs w:val="21"/>
          <w:highlight w:val="none"/>
        </w:rPr>
        <w:t xml:space="preserve"> </w:t>
      </w:r>
      <w:r>
        <w:rPr>
          <w:rFonts w:ascii="宋体" w:hAnsi="宋体"/>
          <w:snapToGrid w:val="0"/>
          <w:color w:val="auto"/>
          <w:sz w:val="21"/>
          <w:szCs w:val="21"/>
          <w:highlight w:val="none"/>
        </w:rPr>
        <w:t>(1)</w:t>
      </w:r>
      <w:r>
        <w:rPr>
          <w:rFonts w:hint="eastAsia" w:ascii="宋体" w:hAnsi="宋体"/>
          <w:snapToGrid w:val="0"/>
          <w:color w:val="auto"/>
          <w:sz w:val="21"/>
          <w:szCs w:val="21"/>
          <w:highlight w:val="none"/>
        </w:rPr>
        <w:t>建设用地面积</w:t>
      </w:r>
      <w:r>
        <w:rPr>
          <w:rFonts w:hint="eastAsia" w:ascii="宋体" w:hAnsi="宋体"/>
          <w:snapToGrid w:val="0"/>
          <w:color w:val="auto"/>
          <w:sz w:val="21"/>
          <w:szCs w:val="21"/>
          <w:highlight w:val="none"/>
          <w:u w:val="single"/>
        </w:rPr>
        <w:t xml:space="preserve">           已批准             </w:t>
      </w:r>
      <w:r>
        <w:rPr>
          <w:rFonts w:hint="eastAsia" w:ascii="宋体" w:hAnsi="宋体"/>
          <w:snapToGrid w:val="0"/>
          <w:color w:val="auto"/>
          <w:sz w:val="21"/>
          <w:szCs w:val="21"/>
          <w:highlight w:val="none"/>
        </w:rPr>
        <w:t>；</w:t>
      </w:r>
    </w:p>
    <w:p>
      <w:pPr>
        <w:adjustRightInd w:val="0"/>
        <w:snapToGrid w:val="0"/>
        <w:spacing w:line="360" w:lineRule="auto"/>
        <w:rPr>
          <w:rFonts w:hint="eastAsia" w:ascii="宋体" w:hAnsi="宋体"/>
          <w:snapToGrid w:val="0"/>
          <w:color w:val="auto"/>
          <w:sz w:val="21"/>
          <w:szCs w:val="21"/>
          <w:highlight w:val="none"/>
          <w:u w:val="single"/>
        </w:rPr>
      </w:pPr>
      <w:r>
        <w:rPr>
          <w:rFonts w:ascii="宋体" w:hAnsi="宋体"/>
          <w:snapToGrid w:val="0"/>
          <w:color w:val="auto"/>
          <w:sz w:val="21"/>
          <w:szCs w:val="21"/>
          <w:highlight w:val="none"/>
        </w:rPr>
        <w:t xml:space="preserve">     </w:t>
      </w:r>
      <w:r>
        <w:rPr>
          <w:rFonts w:hint="eastAsia" w:ascii="宋体" w:hAnsi="宋体"/>
          <w:snapToGrid w:val="0"/>
          <w:color w:val="auto"/>
          <w:sz w:val="21"/>
          <w:szCs w:val="21"/>
          <w:highlight w:val="none"/>
        </w:rPr>
        <w:t xml:space="preserve"> </w:t>
      </w:r>
      <w:r>
        <w:rPr>
          <w:rFonts w:ascii="宋体" w:hAnsi="宋体"/>
          <w:snapToGrid w:val="0"/>
          <w:color w:val="auto"/>
          <w:sz w:val="21"/>
          <w:szCs w:val="21"/>
          <w:highlight w:val="none"/>
        </w:rPr>
        <w:t>(2)</w:t>
      </w:r>
      <w:r>
        <w:rPr>
          <w:rFonts w:hint="eastAsia" w:ascii="宋体" w:hAnsi="宋体"/>
          <w:snapToGrid w:val="0"/>
          <w:color w:val="auto"/>
          <w:sz w:val="21"/>
          <w:szCs w:val="21"/>
          <w:highlight w:val="none"/>
        </w:rPr>
        <w:t>场地拆迁及平整情况</w:t>
      </w:r>
      <w:r>
        <w:rPr>
          <w:rFonts w:hint="eastAsia" w:ascii="宋体" w:hAnsi="宋体"/>
          <w:snapToGrid w:val="0"/>
          <w:color w:val="auto"/>
          <w:sz w:val="21"/>
          <w:szCs w:val="21"/>
          <w:highlight w:val="none"/>
          <w:u w:val="single"/>
        </w:rPr>
        <w:t xml:space="preserve">  已具备施工条件        </w:t>
      </w:r>
      <w:r>
        <w:rPr>
          <w:rFonts w:hint="eastAsia" w:ascii="宋体" w:hAnsi="宋体"/>
          <w:snapToGrid w:val="0"/>
          <w:color w:val="auto"/>
          <w:sz w:val="21"/>
          <w:szCs w:val="21"/>
          <w:highlight w:val="none"/>
        </w:rPr>
        <w:t>；</w:t>
      </w:r>
    </w:p>
    <w:p>
      <w:pPr>
        <w:adjustRightInd w:val="0"/>
        <w:snapToGrid w:val="0"/>
        <w:spacing w:line="360" w:lineRule="auto"/>
        <w:rPr>
          <w:rFonts w:hint="eastAsia" w:ascii="宋体" w:hAnsi="宋体"/>
          <w:snapToGrid w:val="0"/>
          <w:color w:val="auto"/>
          <w:sz w:val="21"/>
          <w:szCs w:val="21"/>
          <w:highlight w:val="none"/>
        </w:rPr>
      </w:pPr>
      <w:r>
        <w:rPr>
          <w:rFonts w:ascii="宋体" w:hAnsi="宋体"/>
          <w:snapToGrid w:val="0"/>
          <w:color w:val="auto"/>
          <w:sz w:val="21"/>
          <w:szCs w:val="21"/>
          <w:highlight w:val="none"/>
        </w:rPr>
        <w:t xml:space="preserve">    </w:t>
      </w:r>
      <w:r>
        <w:rPr>
          <w:rFonts w:hint="eastAsia" w:ascii="宋体" w:hAnsi="宋体"/>
          <w:snapToGrid w:val="0"/>
          <w:color w:val="auto"/>
          <w:sz w:val="21"/>
          <w:szCs w:val="21"/>
          <w:highlight w:val="none"/>
        </w:rPr>
        <w:t xml:space="preserve"> </w:t>
      </w:r>
      <w:r>
        <w:rPr>
          <w:rFonts w:ascii="宋体" w:hAnsi="宋体"/>
          <w:snapToGrid w:val="0"/>
          <w:color w:val="auto"/>
          <w:sz w:val="21"/>
          <w:szCs w:val="21"/>
          <w:highlight w:val="none"/>
        </w:rPr>
        <w:t xml:space="preserve"> (3)</w:t>
      </w:r>
      <w:r>
        <w:rPr>
          <w:rFonts w:hint="eastAsia" w:ascii="宋体" w:hAnsi="宋体"/>
          <w:snapToGrid w:val="0"/>
          <w:color w:val="auto"/>
          <w:sz w:val="21"/>
          <w:szCs w:val="21"/>
          <w:highlight w:val="none"/>
        </w:rPr>
        <w:t>施工用水、电</w:t>
      </w:r>
      <w:r>
        <w:rPr>
          <w:rFonts w:hint="eastAsia" w:ascii="宋体" w:hAnsi="宋体"/>
          <w:snapToGrid w:val="0"/>
          <w:color w:val="auto"/>
          <w:sz w:val="21"/>
          <w:szCs w:val="21"/>
          <w:highlight w:val="none"/>
          <w:u w:val="single"/>
        </w:rPr>
        <w:t xml:space="preserve"> 由中标单位装表计量 ，中标人按规定缴纳费用，上述费用应考虑在投标报价中</w:t>
      </w:r>
      <w:r>
        <w:rPr>
          <w:rFonts w:hint="eastAsia" w:ascii="宋体" w:hAnsi="宋体"/>
          <w:snapToGrid w:val="0"/>
          <w:color w:val="auto"/>
          <w:sz w:val="21"/>
          <w:szCs w:val="21"/>
          <w:highlight w:val="none"/>
        </w:rPr>
        <w:t>；</w:t>
      </w:r>
    </w:p>
    <w:p>
      <w:pPr>
        <w:adjustRightInd w:val="0"/>
        <w:snapToGrid w:val="0"/>
        <w:spacing w:line="360" w:lineRule="auto"/>
        <w:ind w:firstLine="567"/>
        <w:jc w:val="both"/>
        <w:rPr>
          <w:rFonts w:hint="eastAsia" w:ascii="宋体" w:hAnsi="宋体"/>
          <w:snapToGrid w:val="0"/>
          <w:color w:val="auto"/>
          <w:sz w:val="21"/>
          <w:szCs w:val="21"/>
          <w:highlight w:val="none"/>
          <w:u w:val="single"/>
        </w:rPr>
      </w:pPr>
      <w:r>
        <w:rPr>
          <w:rFonts w:hint="eastAsia" w:ascii="宋体" w:hAnsi="宋体"/>
          <w:snapToGrid w:val="0"/>
          <w:color w:val="auto"/>
          <w:sz w:val="21"/>
          <w:szCs w:val="21"/>
          <w:highlight w:val="none"/>
        </w:rPr>
        <w:t>3、工程资金来源</w:t>
      </w:r>
      <w:r>
        <w:rPr>
          <w:rFonts w:hint="eastAsia" w:ascii="宋体" w:hAnsi="宋体"/>
          <w:snapToGrid w:val="0"/>
          <w:color w:val="auto"/>
          <w:sz w:val="21"/>
          <w:szCs w:val="21"/>
          <w:highlight w:val="none"/>
          <w:u w:val="single"/>
        </w:rPr>
        <w:t xml:space="preserve">           自筹            </w:t>
      </w:r>
      <w:r>
        <w:rPr>
          <w:rFonts w:hint="eastAsia" w:ascii="宋体" w:hAnsi="宋体"/>
          <w:snapToGrid w:val="0"/>
          <w:color w:val="auto"/>
          <w:sz w:val="21"/>
          <w:szCs w:val="21"/>
          <w:highlight w:val="none"/>
        </w:rPr>
        <w:t>。</w:t>
      </w:r>
    </w:p>
    <w:p>
      <w:pPr>
        <w:adjustRightInd w:val="0"/>
        <w:snapToGrid w:val="0"/>
        <w:spacing w:line="360" w:lineRule="auto"/>
        <w:ind w:firstLine="567"/>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4、工程资金落实情况</w:t>
      </w:r>
      <w:r>
        <w:rPr>
          <w:rFonts w:hint="eastAsia" w:ascii="宋体" w:hAnsi="宋体"/>
          <w:snapToGrid w:val="0"/>
          <w:color w:val="auto"/>
          <w:sz w:val="21"/>
          <w:szCs w:val="21"/>
          <w:highlight w:val="none"/>
          <w:u w:val="single"/>
        </w:rPr>
        <w:t xml:space="preserve">       已落实          </w:t>
      </w:r>
      <w:r>
        <w:rPr>
          <w:rFonts w:hint="eastAsia" w:ascii="宋体" w:hAnsi="宋体"/>
          <w:snapToGrid w:val="0"/>
          <w:color w:val="auto"/>
          <w:sz w:val="21"/>
          <w:szCs w:val="21"/>
          <w:highlight w:val="none"/>
        </w:rPr>
        <w:t>。</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 xml:space="preserve">（二）投标费用                                                      </w:t>
      </w:r>
    </w:p>
    <w:p>
      <w:pPr>
        <w:adjustRightInd w:val="0"/>
        <w:snapToGrid w:val="0"/>
        <w:spacing w:line="360" w:lineRule="auto"/>
        <w:ind w:left="284"/>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不管投标结果如何，投标人应承担其编制投标文件与递交投标文件所涉及的一切费用。</w:t>
      </w:r>
    </w:p>
    <w:p>
      <w:pPr>
        <w:adjustRightInd w:val="0"/>
        <w:snapToGrid w:val="0"/>
        <w:spacing w:line="360" w:lineRule="auto"/>
        <w:ind w:firstLine="240"/>
        <w:jc w:val="both"/>
        <w:rPr>
          <w:rFonts w:hint="eastAsia" w:ascii="宋体" w:hAnsi="宋体"/>
          <w:snapToGrid w:val="0"/>
          <w:color w:val="auto"/>
          <w:sz w:val="21"/>
          <w:szCs w:val="21"/>
          <w:highlight w:val="none"/>
        </w:rPr>
      </w:pPr>
      <w:r>
        <w:rPr>
          <w:rFonts w:hint="eastAsia" w:ascii="宋体" w:hAnsi="宋体"/>
          <w:b/>
          <w:snapToGrid w:val="0"/>
          <w:color w:val="auto"/>
          <w:sz w:val="21"/>
          <w:szCs w:val="21"/>
          <w:highlight w:val="none"/>
        </w:rPr>
        <w:t>（三）本工程不接受联合体投标</w:t>
      </w:r>
    </w:p>
    <w:p>
      <w:pPr>
        <w:pStyle w:val="4"/>
        <w:jc w:val="center"/>
        <w:rPr>
          <w:rFonts w:hint="eastAsia" w:ascii="宋体" w:hAnsi="宋体" w:eastAsia="宋体"/>
          <w:b/>
          <w:snapToGrid w:val="0"/>
          <w:color w:val="auto"/>
          <w:sz w:val="28"/>
          <w:highlight w:val="none"/>
        </w:rPr>
      </w:pPr>
      <w:bookmarkStart w:id="4" w:name="_Toc7756"/>
      <w:bookmarkStart w:id="5" w:name="_Toc11055314"/>
      <w:r>
        <w:rPr>
          <w:rFonts w:hint="eastAsia" w:ascii="宋体" w:hAnsi="宋体" w:eastAsia="宋体"/>
          <w:b/>
          <w:snapToGrid w:val="0"/>
          <w:color w:val="auto"/>
          <w:sz w:val="28"/>
          <w:highlight w:val="none"/>
        </w:rPr>
        <w:t>二、招  标  文  件</w:t>
      </w:r>
      <w:bookmarkEnd w:id="4"/>
      <w:bookmarkEnd w:id="5"/>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（四）招标文件的组成</w:t>
      </w:r>
    </w:p>
    <w:p>
      <w:pPr>
        <w:numPr>
          <w:ilvl w:val="0"/>
          <w:numId w:val="2"/>
        </w:numPr>
        <w:tabs>
          <w:tab w:val="left" w:pos="851"/>
          <w:tab w:val="left" w:pos="993"/>
          <w:tab w:val="left" w:pos="1134"/>
        </w:tabs>
        <w:adjustRightInd w:val="0"/>
        <w:snapToGrid w:val="0"/>
        <w:spacing w:line="360" w:lineRule="auto"/>
        <w:ind w:left="0"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招标文件包括本文件及所有按第（五）、第（六）条发出的修改澄清通知。</w:t>
      </w:r>
    </w:p>
    <w:p>
      <w:pPr>
        <w:numPr>
          <w:ilvl w:val="0"/>
          <w:numId w:val="2"/>
        </w:numPr>
        <w:tabs>
          <w:tab w:val="left" w:pos="851"/>
          <w:tab w:val="left" w:pos="993"/>
          <w:tab w:val="left" w:pos="1134"/>
        </w:tabs>
        <w:adjustRightInd w:val="0"/>
        <w:snapToGrid w:val="0"/>
        <w:spacing w:line="360" w:lineRule="auto"/>
        <w:ind w:left="0"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投标人应认真审阅招标文件所有的内容，如果投标人的投标文件不能实质性地响应招标文件要求，责任由投标人自负。</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（五）招标文件的澄清</w:t>
      </w:r>
    </w:p>
    <w:p>
      <w:pPr>
        <w:tabs>
          <w:tab w:val="left" w:pos="0"/>
          <w:tab w:val="left" w:pos="993"/>
          <w:tab w:val="left" w:pos="1134"/>
        </w:tabs>
        <w:adjustRightInd w:val="0"/>
        <w:snapToGrid w:val="0"/>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1、本工程招标文件的澄清采用下列第</w:t>
      </w:r>
      <w:r>
        <w:rPr>
          <w:rFonts w:hint="eastAsia" w:ascii="宋体" w:hAnsi="宋体"/>
          <w:snapToGrid w:val="0"/>
          <w:color w:val="auto"/>
          <w:sz w:val="21"/>
          <w:szCs w:val="21"/>
          <w:highlight w:val="none"/>
          <w:u w:val="single"/>
        </w:rPr>
        <w:t>(1)</w:t>
      </w:r>
      <w:r>
        <w:rPr>
          <w:rFonts w:hint="eastAsia" w:ascii="宋体" w:hAnsi="宋体"/>
          <w:snapToGrid w:val="0"/>
          <w:color w:val="auto"/>
          <w:sz w:val="21"/>
          <w:szCs w:val="21"/>
          <w:highlight w:val="none"/>
        </w:rPr>
        <w:t>种方式：</w:t>
      </w:r>
    </w:p>
    <w:p>
      <w:pPr>
        <w:tabs>
          <w:tab w:val="left" w:pos="0"/>
          <w:tab w:val="left" w:pos="284"/>
        </w:tabs>
        <w:adjustRightInd w:val="0"/>
        <w:snapToGrid w:val="0"/>
        <w:spacing w:line="360" w:lineRule="auto"/>
        <w:ind w:left="284" w:firstLine="283"/>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 投标人在收到招标文件和踏勘现场后，若有疑问需要澄清，应于收到招标文件后</w:t>
      </w:r>
      <w:r>
        <w:rPr>
          <w:rFonts w:hint="eastAsia" w:ascii="宋体" w:hAnsi="宋体"/>
          <w:b/>
          <w:snapToGrid w:val="0"/>
          <w:color w:val="auto"/>
          <w:sz w:val="21"/>
          <w:szCs w:val="21"/>
          <w:highlight w:val="none"/>
          <w:u w:val="single"/>
        </w:rPr>
        <w:t xml:space="preserve">2 </w:t>
      </w:r>
      <w:r>
        <w:rPr>
          <w:rFonts w:hint="eastAsia" w:ascii="宋体" w:hAnsi="宋体"/>
          <w:snapToGrid w:val="0"/>
          <w:color w:val="auto"/>
          <w:sz w:val="21"/>
          <w:szCs w:val="21"/>
          <w:highlight w:val="none"/>
        </w:rPr>
        <w:t>日内以书面形式（包括书面文字、传真、电子邮件等）向招标人提出，招标人将以书面形式予以解答。</w:t>
      </w:r>
    </w:p>
    <w:p>
      <w:pPr>
        <w:tabs>
          <w:tab w:val="left" w:pos="284"/>
          <w:tab w:val="left" w:pos="993"/>
          <w:tab w:val="left" w:pos="1134"/>
        </w:tabs>
        <w:adjustRightInd w:val="0"/>
        <w:snapToGrid w:val="0"/>
        <w:spacing w:line="360" w:lineRule="auto"/>
        <w:ind w:left="284" w:leftChars="142" w:firstLine="121" w:firstLineChars="58"/>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 xml:space="preserve"> (2) 投标人在收到招标文件（含工程量清单）和踏勘现场后，若有疑问需要澄清，应于收到招标文件后</w:t>
      </w:r>
      <w:r>
        <w:rPr>
          <w:rFonts w:ascii="宋体" w:hAnsi="宋体"/>
          <w:b/>
          <w:snapToGrid w:val="0"/>
          <w:color w:val="auto"/>
          <w:sz w:val="21"/>
          <w:szCs w:val="21"/>
          <w:highlight w:val="none"/>
          <w:u w:val="single"/>
        </w:rPr>
        <w:t>_</w:t>
      </w:r>
      <w:r>
        <w:rPr>
          <w:rFonts w:hint="eastAsia" w:ascii="宋体" w:hAnsi="宋体"/>
          <w:b/>
          <w:snapToGrid w:val="0"/>
          <w:color w:val="auto"/>
          <w:sz w:val="21"/>
          <w:szCs w:val="21"/>
          <w:highlight w:val="none"/>
          <w:u w:val="single"/>
        </w:rPr>
        <w:t>2</w:t>
      </w:r>
      <w:r>
        <w:rPr>
          <w:rFonts w:ascii="宋体" w:hAnsi="宋体"/>
          <w:b/>
          <w:snapToGrid w:val="0"/>
          <w:color w:val="auto"/>
          <w:sz w:val="21"/>
          <w:szCs w:val="21"/>
          <w:highlight w:val="none"/>
          <w:u w:val="single"/>
        </w:rPr>
        <w:t>_</w:t>
      </w:r>
      <w:r>
        <w:rPr>
          <w:rFonts w:hint="eastAsia" w:ascii="宋体" w:hAnsi="宋体"/>
          <w:snapToGrid w:val="0"/>
          <w:color w:val="auto"/>
          <w:sz w:val="21"/>
          <w:szCs w:val="21"/>
          <w:highlight w:val="none"/>
        </w:rPr>
        <w:t>日内以书面形式（包括书面文字、传真等）向招标人提出，招标人将以书面形式予以解答。其中工程量清单在投标</w:t>
      </w:r>
      <w:r>
        <w:rPr>
          <w:rFonts w:hint="eastAsia" w:ascii="宋体" w:hAnsi="宋体"/>
          <w:b w:val="0"/>
          <w:bCs w:val="0"/>
          <w:snapToGrid w:val="0"/>
          <w:color w:val="auto"/>
          <w:sz w:val="21"/>
          <w:szCs w:val="21"/>
          <w:highlight w:val="none"/>
        </w:rPr>
        <w:t>截止前不需要</w:t>
      </w:r>
      <w:r>
        <w:rPr>
          <w:rFonts w:hint="eastAsia" w:ascii="宋体" w:hAnsi="宋体"/>
          <w:snapToGrid w:val="0"/>
          <w:color w:val="auto"/>
          <w:sz w:val="21"/>
          <w:szCs w:val="21"/>
          <w:highlight w:val="none"/>
        </w:rPr>
        <w:t>投标人进行澄清和修改，工程量清单数量如有误，招标人将在发出中标通知书后进行修正。</w:t>
      </w:r>
    </w:p>
    <w:p>
      <w:pPr>
        <w:tabs>
          <w:tab w:val="left" w:pos="0"/>
          <w:tab w:val="left" w:pos="284"/>
        </w:tabs>
        <w:adjustRightInd w:val="0"/>
        <w:snapToGrid w:val="0"/>
        <w:spacing w:line="360" w:lineRule="auto"/>
        <w:ind w:left="284" w:firstLine="283"/>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2、所有问题的解答，将在</w:t>
      </w:r>
      <w:r>
        <w:rPr>
          <w:rFonts w:hint="eastAsia" w:ascii="宋体" w:hAnsi="宋体"/>
          <w:b/>
          <w:snapToGrid w:val="0"/>
          <w:color w:val="auto"/>
          <w:sz w:val="21"/>
          <w:szCs w:val="21"/>
          <w:highlight w:val="none"/>
          <w:u w:val="single"/>
        </w:rPr>
        <w:t xml:space="preserve"> 2 </w:t>
      </w:r>
      <w:r>
        <w:rPr>
          <w:rFonts w:hint="eastAsia" w:ascii="宋体" w:hAnsi="宋体"/>
          <w:snapToGrid w:val="0"/>
          <w:color w:val="auto"/>
          <w:sz w:val="21"/>
          <w:szCs w:val="21"/>
          <w:highlight w:val="none"/>
        </w:rPr>
        <w:t>日内提供给所有投标人。由此而产生的对招标文件内容的修改，以修改通知的方式发出。</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（六）招标文件的修改</w:t>
      </w:r>
    </w:p>
    <w:p>
      <w:pPr>
        <w:adjustRightInd w:val="0"/>
        <w:snapToGrid w:val="0"/>
        <w:spacing w:line="360" w:lineRule="auto"/>
        <w:ind w:left="288" w:leftChars="144" w:firstLine="252" w:firstLineChars="120"/>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1、在投标截止日期</w:t>
      </w:r>
      <w:r>
        <w:rPr>
          <w:rFonts w:hint="eastAsia" w:ascii="宋体" w:hAnsi="宋体"/>
          <w:snapToGrid w:val="0"/>
          <w:color w:val="auto"/>
          <w:sz w:val="21"/>
          <w:szCs w:val="21"/>
          <w:highlight w:val="none"/>
          <w:u w:val="single"/>
        </w:rPr>
        <w:t xml:space="preserve"> 1</w:t>
      </w:r>
      <w:r>
        <w:rPr>
          <w:rFonts w:hint="eastAsia" w:ascii="宋体" w:hAnsi="宋体"/>
          <w:b/>
          <w:snapToGrid w:val="0"/>
          <w:color w:val="auto"/>
          <w:sz w:val="21"/>
          <w:szCs w:val="21"/>
          <w:highlight w:val="none"/>
          <w:u w:val="single"/>
        </w:rPr>
        <w:t xml:space="preserve"> </w:t>
      </w:r>
      <w:r>
        <w:rPr>
          <w:rFonts w:hint="eastAsia" w:ascii="宋体" w:hAnsi="宋体"/>
          <w:snapToGrid w:val="0"/>
          <w:color w:val="auto"/>
          <w:sz w:val="21"/>
          <w:szCs w:val="21"/>
          <w:highlight w:val="none"/>
        </w:rPr>
        <w:t>天前，招标人都可能会以书面通知的方式修改招标文件。修改通知作为招标文件的组成部分，对投标人起同等约束作用。</w:t>
      </w:r>
    </w:p>
    <w:p>
      <w:pPr>
        <w:tabs>
          <w:tab w:val="left" w:pos="0"/>
          <w:tab w:val="left" w:pos="1134"/>
        </w:tabs>
        <w:adjustRightInd w:val="0"/>
        <w:snapToGrid w:val="0"/>
        <w:spacing w:line="360" w:lineRule="auto"/>
        <w:ind w:firstLine="506" w:firstLineChars="241"/>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2、为使投标人在编制投标文件时把修改通知内容考虑进去，招标人可以酌情延长递交</w:t>
      </w:r>
    </w:p>
    <w:p>
      <w:pPr>
        <w:tabs>
          <w:tab w:val="left" w:pos="0"/>
        </w:tabs>
        <w:adjustRightInd w:val="0"/>
        <w:snapToGrid w:val="0"/>
        <w:spacing w:line="360" w:lineRule="auto"/>
        <w:ind w:left="288" w:leftChars="144" w:firstLine="1"/>
        <w:rPr>
          <w:rFonts w:ascii="宋体" w:hAnsi="宋体"/>
          <w:snapToGrid w:val="0"/>
          <w:color w:val="auto"/>
          <w:sz w:val="21"/>
          <w:szCs w:val="21"/>
          <w:highlight w:val="none"/>
        </w:rPr>
      </w:pPr>
      <w:r>
        <w:rPr>
          <w:rFonts w:hint="eastAsia" w:ascii="宋体" w:hAnsi="宋体"/>
          <w:snapToGrid w:val="0"/>
          <w:color w:val="auto"/>
          <w:sz w:val="21"/>
          <w:szCs w:val="21"/>
          <w:highlight w:val="none"/>
        </w:rPr>
        <w:t>投标文件的截止日期。具体时间将在修改通知中写明，修改通知将送达每一投标人。</w:t>
      </w:r>
    </w:p>
    <w:p>
      <w:pPr>
        <w:tabs>
          <w:tab w:val="left" w:pos="0"/>
          <w:tab w:val="left" w:pos="1134"/>
        </w:tabs>
        <w:adjustRightInd w:val="0"/>
        <w:snapToGrid w:val="0"/>
        <w:spacing w:line="360" w:lineRule="auto"/>
        <w:ind w:left="567"/>
        <w:rPr>
          <w:rFonts w:ascii="宋体" w:hAnsi="宋体"/>
          <w:snapToGrid w:val="0"/>
          <w:color w:val="auto"/>
          <w:sz w:val="21"/>
          <w:szCs w:val="21"/>
          <w:highlight w:val="none"/>
        </w:rPr>
      </w:pPr>
      <w:r>
        <w:rPr>
          <w:rFonts w:hint="eastAsia" w:ascii="宋体" w:hAnsi="宋体"/>
          <w:snapToGrid w:val="0"/>
          <w:color w:val="auto"/>
          <w:sz w:val="21"/>
          <w:szCs w:val="21"/>
          <w:highlight w:val="none"/>
        </w:rPr>
        <w:t>3、当招标文件、修改通知内容相互矛盾时，以后发出的通知为准。</w:t>
      </w:r>
    </w:p>
    <w:p>
      <w:pPr>
        <w:pStyle w:val="4"/>
        <w:jc w:val="center"/>
        <w:rPr>
          <w:rFonts w:hint="eastAsia" w:ascii="宋体" w:hAnsi="宋体" w:eastAsia="宋体"/>
          <w:b/>
          <w:snapToGrid w:val="0"/>
          <w:color w:val="auto"/>
          <w:sz w:val="28"/>
          <w:highlight w:val="none"/>
        </w:rPr>
      </w:pPr>
      <w:bookmarkStart w:id="6" w:name="_Toc11055315"/>
      <w:bookmarkStart w:id="7" w:name="_Toc8206"/>
      <w:r>
        <w:rPr>
          <w:rFonts w:hint="eastAsia" w:ascii="宋体" w:hAnsi="宋体" w:eastAsia="宋体"/>
          <w:b/>
          <w:snapToGrid w:val="0"/>
          <w:color w:val="auto"/>
          <w:sz w:val="28"/>
          <w:highlight w:val="none"/>
        </w:rPr>
        <w:t>三、投  标  报  价</w:t>
      </w:r>
      <w:bookmarkEnd w:id="6"/>
      <w:bookmarkEnd w:id="7"/>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（七）投标报价</w:t>
      </w:r>
    </w:p>
    <w:p>
      <w:pPr>
        <w:numPr>
          <w:ilvl w:val="0"/>
          <w:numId w:val="3"/>
        </w:numPr>
        <w:tabs>
          <w:tab w:val="left" w:pos="0"/>
          <w:tab w:val="left" w:pos="1134"/>
        </w:tabs>
        <w:adjustRightInd w:val="0"/>
        <w:snapToGrid w:val="0"/>
        <w:spacing w:line="360" w:lineRule="auto"/>
        <w:ind w:left="0" w:firstLine="567"/>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 xml:space="preserve">本工程的投标报价应该是按招标文件规定的招标范围内工程量清单所列项目的全部费用总和。 </w:t>
      </w:r>
    </w:p>
    <w:p>
      <w:pPr>
        <w:numPr>
          <w:ilvl w:val="0"/>
          <w:numId w:val="3"/>
        </w:numPr>
        <w:adjustRightInd w:val="0"/>
        <w:snapToGrid w:val="0"/>
        <w:spacing w:line="360" w:lineRule="auto"/>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本工程投标报价的编制：投标人应按照招标人提供的工程量清单填报价格。填写的项目编码、项目名称、项目特征、计量单位、工程量必须与招标人提供的一致（投标人自行补充的措施项目除外）。</w:t>
      </w:r>
    </w:p>
    <w:p>
      <w:pPr>
        <w:pStyle w:val="9"/>
        <w:numPr>
          <w:ilvl w:val="0"/>
          <w:numId w:val="3"/>
        </w:numPr>
        <w:adjustRightInd w:val="0"/>
        <w:snapToGrid w:val="0"/>
        <w:spacing w:line="360" w:lineRule="auto"/>
        <w:rPr>
          <w:rFonts w:hint="eastAsia" w:hAnsi="宋体"/>
          <w:snapToGrid w:val="0"/>
          <w:color w:val="auto"/>
          <w:sz w:val="21"/>
          <w:szCs w:val="21"/>
          <w:highlight w:val="none"/>
        </w:rPr>
      </w:pPr>
      <w:r>
        <w:rPr>
          <w:rFonts w:hint="eastAsia" w:hAnsi="宋体"/>
          <w:snapToGrid w:val="0"/>
          <w:color w:val="auto"/>
          <w:sz w:val="21"/>
          <w:szCs w:val="21"/>
          <w:highlight w:val="none"/>
        </w:rPr>
        <w:t>投标人应根据招标文件的有关要求，施工现场实际情况及拟定的施工方案或施工组织设计，依据企业定额和市场价格信息或参照建设行政主管部门发布的社会平均消耗量定额编制投标报价。</w:t>
      </w:r>
    </w:p>
    <w:p>
      <w:pPr>
        <w:pStyle w:val="9"/>
        <w:numPr>
          <w:ilvl w:val="0"/>
          <w:numId w:val="3"/>
        </w:numPr>
        <w:adjustRightInd w:val="0"/>
        <w:snapToGrid w:val="0"/>
        <w:spacing w:line="360" w:lineRule="auto"/>
        <w:rPr>
          <w:rFonts w:hint="eastAsia" w:hAnsi="宋体"/>
          <w:snapToGrid w:val="0"/>
          <w:color w:val="auto"/>
          <w:sz w:val="21"/>
          <w:szCs w:val="21"/>
          <w:highlight w:val="none"/>
        </w:rPr>
      </w:pPr>
      <w:r>
        <w:rPr>
          <w:rFonts w:hint="eastAsia" w:hAnsi="宋体"/>
          <w:snapToGrid w:val="0"/>
          <w:color w:val="auto"/>
          <w:sz w:val="21"/>
          <w:szCs w:val="21"/>
          <w:highlight w:val="none"/>
        </w:rPr>
        <w:t>投标人的分部分项工程量清单综合单价、措施项目清单金额、其他项目清单金额应详细分析和列出其所含的工程内容，并根据本企业的情况和施工方案进行确定。</w:t>
      </w:r>
    </w:p>
    <w:p>
      <w:pPr>
        <w:pStyle w:val="9"/>
        <w:numPr>
          <w:ilvl w:val="0"/>
          <w:numId w:val="3"/>
        </w:numPr>
        <w:adjustRightInd w:val="0"/>
        <w:snapToGrid w:val="0"/>
        <w:spacing w:line="360" w:lineRule="auto"/>
        <w:rPr>
          <w:rFonts w:hint="eastAsia" w:hAnsi="宋体"/>
          <w:snapToGrid w:val="0"/>
          <w:color w:val="auto"/>
          <w:sz w:val="21"/>
          <w:szCs w:val="21"/>
          <w:highlight w:val="none"/>
        </w:rPr>
      </w:pPr>
      <w:r>
        <w:rPr>
          <w:rFonts w:hint="eastAsia" w:hAnsi="宋体"/>
          <w:snapToGrid w:val="0"/>
          <w:color w:val="auto"/>
          <w:sz w:val="21"/>
          <w:szCs w:val="21"/>
          <w:highlight w:val="none"/>
        </w:rPr>
        <w:t>其他项目清单中的暂列金额等项目费均为估算、预测算，虽在投标时计入投标人的报价中，但不应视为投标人所有。</w:t>
      </w:r>
    </w:p>
    <w:p>
      <w:pPr>
        <w:tabs>
          <w:tab w:val="left" w:pos="0"/>
          <w:tab w:val="left" w:pos="1134"/>
        </w:tabs>
        <w:adjustRightInd w:val="0"/>
        <w:snapToGrid w:val="0"/>
        <w:spacing w:line="360" w:lineRule="auto"/>
        <w:ind w:left="685" w:leftChars="290" w:hanging="105" w:hangingChars="50"/>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6、 工程中的材料：①甲供材、暂定价的材料按给定的价格进行报价否则为废标。</w:t>
      </w:r>
    </w:p>
    <w:p>
      <w:pPr>
        <w:tabs>
          <w:tab w:val="left" w:pos="0"/>
          <w:tab w:val="left" w:pos="1134"/>
        </w:tabs>
        <w:adjustRightInd w:val="0"/>
        <w:snapToGrid w:val="0"/>
        <w:spacing w:line="360" w:lineRule="auto"/>
        <w:ind w:left="720" w:leftChars="360" w:firstLine="1575" w:firstLineChars="750"/>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 xml:space="preserve"> ②有指定品牌的，按其品牌进行报价。</w:t>
      </w:r>
    </w:p>
    <w:p>
      <w:pPr>
        <w:tabs>
          <w:tab w:val="left" w:pos="0"/>
          <w:tab w:val="left" w:pos="1134"/>
        </w:tabs>
        <w:adjustRightInd w:val="0"/>
        <w:snapToGrid w:val="0"/>
        <w:spacing w:line="360" w:lineRule="auto"/>
        <w:ind w:firstLine="2310" w:firstLineChars="1100"/>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 xml:space="preserve"> ③其它材料由乙方自行报价。</w:t>
      </w:r>
    </w:p>
    <w:p>
      <w:pPr>
        <w:tabs>
          <w:tab w:val="left" w:pos="0"/>
          <w:tab w:val="left" w:pos="1134"/>
        </w:tabs>
        <w:adjustRightInd w:val="0"/>
        <w:snapToGrid w:val="0"/>
        <w:spacing w:line="360" w:lineRule="auto"/>
        <w:ind w:left="690" w:leftChars="240" w:hanging="210" w:hangingChars="100"/>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 xml:space="preserve"> 7、不可竞争费的计取按常建2014第279号文件规定执行。</w:t>
      </w:r>
    </w:p>
    <w:p>
      <w:pPr>
        <w:pStyle w:val="4"/>
        <w:jc w:val="center"/>
        <w:rPr>
          <w:rFonts w:hint="eastAsia" w:ascii="宋体" w:hAnsi="宋体" w:eastAsia="宋体"/>
          <w:b/>
          <w:snapToGrid w:val="0"/>
          <w:color w:val="auto"/>
          <w:sz w:val="28"/>
          <w:highlight w:val="none"/>
        </w:rPr>
      </w:pPr>
      <w:bookmarkStart w:id="8" w:name="_Toc29608"/>
      <w:bookmarkStart w:id="9" w:name="_Toc11055316"/>
      <w:r>
        <w:rPr>
          <w:rFonts w:hint="eastAsia" w:ascii="宋体" w:hAnsi="宋体" w:eastAsia="宋体"/>
          <w:b/>
          <w:snapToGrid w:val="0"/>
          <w:color w:val="auto"/>
          <w:sz w:val="28"/>
          <w:highlight w:val="none"/>
        </w:rPr>
        <w:t>四、投标文件的编制</w:t>
      </w:r>
      <w:bookmarkEnd w:id="8"/>
      <w:bookmarkEnd w:id="9"/>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（九）投标文件的组成</w:t>
      </w:r>
    </w:p>
    <w:p>
      <w:pPr>
        <w:tabs>
          <w:tab w:val="left" w:pos="0"/>
          <w:tab w:val="left" w:pos="993"/>
          <w:tab w:val="left" w:pos="113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1、投标人应当按照招标文件、工程量清单、标前会纪要及招标文件修改通知的要求编制投标文件，投标文件应对招标文件提出的实质性要求和条件做出响应。</w:t>
      </w:r>
    </w:p>
    <w:p>
      <w:pPr>
        <w:tabs>
          <w:tab w:val="left" w:pos="0"/>
          <w:tab w:val="left" w:pos="1134"/>
        </w:tabs>
        <w:adjustRightInd w:val="0"/>
        <w:snapToGrid w:val="0"/>
        <w:spacing w:line="360" w:lineRule="auto"/>
        <w:ind w:firstLine="425"/>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2、投标人的投标文件应包括下列内容：</w:t>
      </w:r>
    </w:p>
    <w:p>
      <w:pPr>
        <w:numPr>
          <w:ilvl w:val="0"/>
          <w:numId w:val="4"/>
        </w:numPr>
        <w:tabs>
          <w:tab w:val="left" w:pos="993"/>
          <w:tab w:val="left" w:pos="1134"/>
        </w:tabs>
        <w:adjustRightInd w:val="0"/>
        <w:snapToGrid w:val="0"/>
        <w:spacing w:line="360" w:lineRule="auto"/>
        <w:ind w:firstLine="567"/>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投标函</w:t>
      </w:r>
    </w:p>
    <w:p>
      <w:pPr>
        <w:numPr>
          <w:ilvl w:val="0"/>
          <w:numId w:val="4"/>
        </w:numPr>
        <w:tabs>
          <w:tab w:val="left" w:pos="993"/>
          <w:tab w:val="left" w:pos="1134"/>
        </w:tabs>
        <w:adjustRightInd w:val="0"/>
        <w:snapToGrid w:val="0"/>
        <w:spacing w:line="360" w:lineRule="auto"/>
        <w:ind w:firstLine="567"/>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法定代表人资格证明书</w:t>
      </w:r>
    </w:p>
    <w:p>
      <w:pPr>
        <w:numPr>
          <w:ilvl w:val="0"/>
          <w:numId w:val="4"/>
        </w:numPr>
        <w:tabs>
          <w:tab w:val="left" w:pos="993"/>
          <w:tab w:val="left" w:pos="1134"/>
        </w:tabs>
        <w:adjustRightInd w:val="0"/>
        <w:snapToGrid w:val="0"/>
        <w:spacing w:line="360" w:lineRule="auto"/>
        <w:ind w:firstLine="567"/>
        <w:jc w:val="both"/>
        <w:rPr>
          <w:rFonts w:ascii="宋体" w:hAnsi="宋体"/>
          <w:bCs/>
          <w:snapToGrid w:val="0"/>
          <w:color w:val="auto"/>
          <w:sz w:val="21"/>
          <w:szCs w:val="21"/>
          <w:highlight w:val="none"/>
        </w:rPr>
      </w:pPr>
      <w:r>
        <w:rPr>
          <w:rFonts w:hint="eastAsia" w:ascii="宋体" w:hAnsi="宋体"/>
          <w:bCs/>
          <w:snapToGrid w:val="0"/>
          <w:color w:val="auto"/>
          <w:sz w:val="21"/>
          <w:szCs w:val="21"/>
          <w:highlight w:val="none"/>
        </w:rPr>
        <w:t>法定代表人委托代理人的委托书（开标时委托人另行随身携带一份原件核验身份）</w:t>
      </w:r>
    </w:p>
    <w:p>
      <w:pPr>
        <w:numPr>
          <w:ilvl w:val="0"/>
          <w:numId w:val="4"/>
        </w:numPr>
        <w:tabs>
          <w:tab w:val="left" w:pos="993"/>
          <w:tab w:val="left" w:pos="1134"/>
        </w:tabs>
        <w:adjustRightInd w:val="0"/>
        <w:snapToGrid w:val="0"/>
        <w:spacing w:line="360" w:lineRule="auto"/>
        <w:ind w:firstLine="567"/>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报价汇总表</w:t>
      </w:r>
    </w:p>
    <w:p>
      <w:pPr>
        <w:numPr>
          <w:ilvl w:val="0"/>
          <w:numId w:val="4"/>
        </w:numPr>
        <w:tabs>
          <w:tab w:val="left" w:pos="993"/>
          <w:tab w:val="left" w:pos="1134"/>
        </w:tabs>
        <w:adjustRightInd w:val="0"/>
        <w:snapToGrid w:val="0"/>
        <w:spacing w:line="360" w:lineRule="auto"/>
        <w:ind w:firstLine="567"/>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工程量清单报价表</w:t>
      </w:r>
    </w:p>
    <w:p>
      <w:pPr>
        <w:tabs>
          <w:tab w:val="left" w:pos="0"/>
          <w:tab w:val="left" w:pos="993"/>
          <w:tab w:val="left" w:pos="1134"/>
        </w:tabs>
        <w:adjustRightInd w:val="0"/>
        <w:snapToGrid w:val="0"/>
        <w:spacing w:line="360" w:lineRule="auto"/>
        <w:ind w:left="567"/>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3、投标人必须适用投标文件第五章中所提供的文件格式按规定要求填写（如不够用时，投标人可按同样格式自行编制和添补）</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（十）投标担保</w:t>
      </w:r>
    </w:p>
    <w:p>
      <w:pPr>
        <w:tabs>
          <w:tab w:val="left" w:pos="0"/>
          <w:tab w:val="left" w:pos="1134"/>
        </w:tabs>
        <w:adjustRightInd w:val="0"/>
        <w:snapToGrid w:val="0"/>
        <w:spacing w:line="360" w:lineRule="auto"/>
        <w:ind w:left="426"/>
        <w:jc w:val="both"/>
        <w:rPr>
          <w:rFonts w:hint="eastAsia" w:ascii="宋体" w:hAnsi="宋体"/>
          <w:b/>
          <w:bCs/>
          <w:snapToGrid w:val="0"/>
          <w:color w:val="auto"/>
          <w:sz w:val="21"/>
          <w:szCs w:val="21"/>
          <w:highlight w:val="none"/>
          <w:u w:val="single"/>
        </w:rPr>
      </w:pPr>
      <w:r>
        <w:rPr>
          <w:rFonts w:hint="eastAsia" w:ascii="宋体" w:hAnsi="宋体"/>
          <w:bCs/>
          <w:snapToGrid w:val="0"/>
          <w:color w:val="auto"/>
          <w:sz w:val="21"/>
          <w:szCs w:val="21"/>
          <w:highlight w:val="none"/>
        </w:rPr>
        <w:t>1、本工程投标担保方式采用:</w:t>
      </w:r>
      <w:r>
        <w:rPr>
          <w:rFonts w:hint="eastAsia" w:ascii="宋体" w:hAnsi="宋体"/>
          <w:b/>
          <w:bCs/>
          <w:snapToGrid w:val="0"/>
          <w:color w:val="auto"/>
          <w:sz w:val="21"/>
          <w:szCs w:val="21"/>
          <w:highlight w:val="none"/>
          <w:u w:val="single"/>
        </w:rPr>
        <w:t xml:space="preserve">  投标保证金 </w:t>
      </w:r>
    </w:p>
    <w:p>
      <w:pPr>
        <w:tabs>
          <w:tab w:val="left" w:pos="284"/>
          <w:tab w:val="left" w:pos="1134"/>
        </w:tabs>
        <w:adjustRightInd w:val="0"/>
        <w:snapToGrid w:val="0"/>
        <w:spacing w:line="360" w:lineRule="auto"/>
        <w:ind w:left="284" w:firstLine="126" w:firstLineChars="6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2、投标人应当按照招标文件要求的金额提交投标保证金。</w:t>
      </w:r>
    </w:p>
    <w:p>
      <w:pPr>
        <w:tabs>
          <w:tab w:val="left" w:pos="0"/>
          <w:tab w:val="left" w:pos="1134"/>
        </w:tabs>
        <w:adjustRightInd w:val="0"/>
        <w:snapToGrid w:val="0"/>
        <w:spacing w:line="360" w:lineRule="auto"/>
        <w:ind w:left="426"/>
        <w:jc w:val="both"/>
        <w:rPr>
          <w:rFonts w:hint="eastAsia" w:ascii="宋体" w:hAnsi="宋体"/>
          <w:b/>
          <w:bCs/>
          <w:snapToGrid w:val="0"/>
          <w:color w:val="auto"/>
          <w:sz w:val="21"/>
          <w:szCs w:val="21"/>
          <w:highlight w:val="none"/>
          <w:u w:val="single"/>
        </w:rPr>
      </w:pPr>
      <w:r>
        <w:rPr>
          <w:rFonts w:hint="eastAsia" w:ascii="宋体" w:hAnsi="宋体"/>
          <w:bCs/>
          <w:snapToGrid w:val="0"/>
          <w:color w:val="auto"/>
          <w:sz w:val="21"/>
          <w:szCs w:val="21"/>
          <w:highlight w:val="none"/>
        </w:rPr>
        <w:t>3、投标保证金可采用以下方式缴纳：</w:t>
      </w:r>
      <w:r>
        <w:rPr>
          <w:rFonts w:hint="eastAsia" w:ascii="宋体" w:hAnsi="宋体"/>
          <w:b/>
          <w:bCs/>
          <w:snapToGrid w:val="0"/>
          <w:color w:val="auto"/>
          <w:sz w:val="21"/>
          <w:szCs w:val="21"/>
          <w:highlight w:val="none"/>
          <w:u w:val="single"/>
        </w:rPr>
        <w:t xml:space="preserve"> </w:t>
      </w:r>
      <w:r>
        <w:rPr>
          <w:rFonts w:hint="eastAsia" w:ascii="宋体" w:hAnsi="宋体"/>
          <w:b/>
          <w:bCs/>
          <w:snapToGrid w:val="0"/>
          <w:color w:val="auto"/>
          <w:sz w:val="21"/>
          <w:szCs w:val="21"/>
          <w:highlight w:val="none"/>
          <w:u w:val="single"/>
          <w:lang w:val="en-US" w:eastAsia="zh-CN"/>
        </w:rPr>
        <w:t>银行转账</w:t>
      </w:r>
      <w:r>
        <w:rPr>
          <w:rFonts w:hint="eastAsia" w:ascii="宋体" w:hAnsi="宋体"/>
          <w:b/>
          <w:bCs/>
          <w:snapToGrid w:val="0"/>
          <w:color w:val="auto"/>
          <w:sz w:val="21"/>
          <w:szCs w:val="21"/>
          <w:highlight w:val="none"/>
          <w:u w:val="single"/>
        </w:rPr>
        <w:t xml:space="preserve"> </w:t>
      </w:r>
    </w:p>
    <w:p>
      <w:pPr>
        <w:tabs>
          <w:tab w:val="left" w:pos="0"/>
          <w:tab w:val="left" w:pos="1134"/>
        </w:tabs>
        <w:adjustRightInd w:val="0"/>
        <w:snapToGrid w:val="0"/>
        <w:spacing w:line="360" w:lineRule="auto"/>
        <w:ind w:left="426"/>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4、投标保证金不计利息。</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(十一) 勘察现场</w:t>
      </w:r>
    </w:p>
    <w:p>
      <w:pPr>
        <w:tabs>
          <w:tab w:val="left" w:pos="284"/>
        </w:tabs>
        <w:adjustRightInd w:val="0"/>
        <w:snapToGrid w:val="0"/>
        <w:spacing w:line="360" w:lineRule="auto"/>
        <w:ind w:left="426"/>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1、投标人可以对工程施工现场和周围环境进行勘察，以获取编制投标文件和签署合同所需的所有资料。勘察现场所发生的费用由投标人承担。</w:t>
      </w:r>
    </w:p>
    <w:p>
      <w:pPr>
        <w:tabs>
          <w:tab w:val="left" w:pos="0"/>
          <w:tab w:val="left" w:pos="284"/>
          <w:tab w:val="left" w:pos="1134"/>
        </w:tabs>
        <w:adjustRightInd w:val="0"/>
        <w:snapToGrid w:val="0"/>
        <w:spacing w:line="360" w:lineRule="auto"/>
        <w:ind w:left="284" w:firstLine="126" w:firstLineChars="6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2、招标人向投标人提供的有关施工现场的资料和数据是招标人现有的能使投标人利用的资料。招标人对投标人由此而做出的推论、理解和结论概不负责。</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（十二）投标文件的份数和签署</w:t>
      </w:r>
    </w:p>
    <w:p>
      <w:pPr>
        <w:tabs>
          <w:tab w:val="left" w:pos="0"/>
          <w:tab w:val="left" w:pos="1134"/>
        </w:tabs>
        <w:adjustRightInd w:val="0"/>
        <w:snapToGrid w:val="0"/>
        <w:spacing w:line="360" w:lineRule="auto"/>
        <w:ind w:left="284" w:firstLine="126" w:firstLineChars="6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1、投标人必须编制一份投标文件“正本”和前附表所要求份数的“副本”，并明确标明“正本”和“副本”。投标文件正本和副本如有不一致之处，以正本为准。</w:t>
      </w:r>
    </w:p>
    <w:p>
      <w:pPr>
        <w:tabs>
          <w:tab w:val="left" w:pos="0"/>
          <w:tab w:val="left" w:pos="851"/>
          <w:tab w:val="left" w:pos="1134"/>
        </w:tabs>
        <w:adjustRightInd w:val="0"/>
        <w:snapToGrid w:val="0"/>
        <w:spacing w:line="360" w:lineRule="auto"/>
        <w:ind w:left="284" w:firstLine="126" w:firstLineChars="6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2、投标文件正本与副本均应使用不能擦去的墨水书写或打印，由投标人加盖公章和法定代表人或法定代表人委托的代理人印鉴或签字。</w:t>
      </w:r>
    </w:p>
    <w:p>
      <w:pPr>
        <w:tabs>
          <w:tab w:val="left" w:pos="0"/>
          <w:tab w:val="left" w:pos="993"/>
          <w:tab w:val="left" w:pos="1134"/>
        </w:tabs>
        <w:adjustRightInd w:val="0"/>
        <w:snapToGrid w:val="0"/>
        <w:spacing w:line="360" w:lineRule="auto"/>
        <w:ind w:left="324" w:leftChars="162"/>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3、全套投标文件应无涂改和行间插字，除非这些删改是根据招标人的指示进行的，或者是投标人造成的必须修改的错误。修改处应由投标文件签署人加盖印鉴。</w:t>
      </w:r>
    </w:p>
    <w:p>
      <w:pPr>
        <w:pStyle w:val="4"/>
        <w:jc w:val="center"/>
        <w:rPr>
          <w:rFonts w:hint="eastAsia" w:ascii="宋体" w:hAnsi="宋体" w:eastAsia="宋体"/>
          <w:b/>
          <w:bCs/>
          <w:snapToGrid w:val="0"/>
          <w:color w:val="auto"/>
          <w:sz w:val="28"/>
          <w:szCs w:val="28"/>
          <w:highlight w:val="none"/>
        </w:rPr>
      </w:pPr>
      <w:bookmarkStart w:id="10" w:name="_Toc11055317"/>
      <w:bookmarkStart w:id="11" w:name="_Toc16872"/>
      <w:r>
        <w:rPr>
          <w:rFonts w:hint="eastAsia" w:ascii="宋体" w:hAnsi="宋体" w:eastAsia="宋体"/>
          <w:b/>
          <w:bCs/>
          <w:snapToGrid w:val="0"/>
          <w:color w:val="auto"/>
          <w:sz w:val="28"/>
          <w:szCs w:val="28"/>
          <w:highlight w:val="none"/>
        </w:rPr>
        <w:t>五、投标文件的递交</w:t>
      </w:r>
      <w:bookmarkEnd w:id="10"/>
      <w:bookmarkEnd w:id="11"/>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（十三）投标文件的密封与标志</w:t>
      </w:r>
    </w:p>
    <w:p>
      <w:pPr>
        <w:adjustRightInd w:val="0"/>
        <w:snapToGrid w:val="0"/>
        <w:spacing w:line="360" w:lineRule="auto"/>
        <w:ind w:firstLine="240"/>
        <w:jc w:val="both"/>
        <w:rPr>
          <w:rFonts w:hint="eastAsia" w:ascii="宋体" w:hAnsi="宋体"/>
          <w:snapToGrid w:val="0"/>
          <w:color w:val="auto"/>
          <w:sz w:val="21"/>
          <w:szCs w:val="21"/>
          <w:highlight w:val="none"/>
        </w:rPr>
      </w:pPr>
      <w:r>
        <w:rPr>
          <w:rFonts w:hint="eastAsia" w:ascii="宋体" w:hAnsi="宋体"/>
          <w:b/>
          <w:snapToGrid w:val="0"/>
          <w:color w:val="auto"/>
          <w:sz w:val="21"/>
          <w:szCs w:val="21"/>
          <w:highlight w:val="none"/>
        </w:rPr>
        <w:t xml:space="preserve">  </w:t>
      </w:r>
      <w:r>
        <w:rPr>
          <w:rFonts w:ascii="宋体" w:hAnsi="宋体"/>
          <w:bCs/>
          <w:snapToGrid w:val="0"/>
          <w:color w:val="auto"/>
          <w:sz w:val="21"/>
          <w:szCs w:val="21"/>
          <w:highlight w:val="none"/>
        </w:rPr>
        <w:t>1</w:t>
      </w:r>
      <w:r>
        <w:rPr>
          <w:rFonts w:hint="eastAsia" w:ascii="宋体" w:hAnsi="宋体"/>
          <w:bCs/>
          <w:snapToGrid w:val="0"/>
          <w:color w:val="auto"/>
          <w:sz w:val="21"/>
          <w:szCs w:val="21"/>
          <w:highlight w:val="none"/>
        </w:rPr>
        <w:t>、</w:t>
      </w:r>
      <w:r>
        <w:rPr>
          <w:rFonts w:hint="eastAsia" w:ascii="宋体" w:hAnsi="宋体"/>
          <w:snapToGrid w:val="0"/>
          <w:color w:val="auto"/>
          <w:sz w:val="21"/>
          <w:szCs w:val="21"/>
          <w:highlight w:val="none"/>
        </w:rPr>
        <w:t>授权委托人必须携带本人第二代居民身份证原件和法人授权委托书原件（除投标书中另外单独提供一份）准时参加开标会议，否则招标人将拒绝其投标。</w:t>
      </w:r>
    </w:p>
    <w:p>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2、密封：投标人必须按前附表要求的份数将投标文件密封提交，并在封袋骑缝密封处加盖投标人法人印章和法定代表人或其委托代理人的印章（或签字）。</w:t>
      </w:r>
    </w:p>
    <w:p>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3、标志：投标人应在投标文件封袋上正确标明“正本”或“副本”字样，所有封袋上都必须写明招标人名称、工程名称和标段名称以及投标人的名称。</w:t>
      </w:r>
    </w:p>
    <w:p>
      <w:pPr>
        <w:tabs>
          <w:tab w:val="left" w:pos="993"/>
        </w:tabs>
        <w:adjustRightInd w:val="0"/>
        <w:snapToGrid w:val="0"/>
        <w:spacing w:line="360" w:lineRule="auto"/>
        <w:ind w:firstLine="420" w:firstLineChars="20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未按上述规定编制、密封、标志、盖章、签字所递交的投标文件招标人有权拒绝接受标书。</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（十四）投标截止期</w:t>
      </w:r>
    </w:p>
    <w:p>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1、投标人应在投标须知中规定的时间之前将投标文件递交到指定地点。招标人在接到投标文件时将在投标文件上注明收到的日期和时间。</w:t>
      </w:r>
    </w:p>
    <w:p>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招标人可以按本文件第（六）条规定以修改通知的方式，酌情延长递交投标文件的截止日期。在上述情况下，招标人与投标人以前的投标截止期方面的全部权力、责任和义务，将适用于延长后新的投标截止期。</w:t>
      </w:r>
    </w:p>
    <w:p>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3、超过投标截止期送达的或者未送达指定地点的投标文件将被拒绝并原封退给投标人。</w:t>
      </w:r>
    </w:p>
    <w:p>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4、提交投标文件的投标人少于三个的，招标人将依法重新招标。</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（十五）投标文件的修改与撤回</w:t>
      </w:r>
    </w:p>
    <w:p>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1、投标人可以在递交投标文件以后，在规定的投标截止期之前，以书面形式向招标人递交补充、修改、替代或撤回其投标文件的通知。在投标截止期以后，不得更改投标文件。</w:t>
      </w:r>
    </w:p>
    <w:p>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2、投标人的补充、修改、替代或撤回通知，应按按本文件第（十四）条规定的要求编制、密封、标志和递交，密封袋上应标明“补充”、“修改”、“替代”或“撤回”字样。</w:t>
      </w:r>
    </w:p>
    <w:p>
      <w:pPr>
        <w:tabs>
          <w:tab w:val="left" w:pos="0"/>
          <w:tab w:val="left" w:pos="284"/>
        </w:tabs>
        <w:adjustRightInd w:val="0"/>
        <w:snapToGrid w:val="0"/>
        <w:spacing w:line="360" w:lineRule="auto"/>
        <w:ind w:left="284" w:firstLine="142"/>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3、投标截止以后,在投标有效期内，投标人不得撤回投标文件，否则其投标保证金将被没收。</w:t>
      </w:r>
    </w:p>
    <w:p>
      <w:pPr>
        <w:pStyle w:val="4"/>
        <w:jc w:val="center"/>
        <w:rPr>
          <w:rFonts w:hint="eastAsia" w:ascii="宋体" w:hAnsi="宋体" w:eastAsia="宋体"/>
          <w:b/>
          <w:bCs/>
          <w:snapToGrid w:val="0"/>
          <w:color w:val="auto"/>
          <w:sz w:val="28"/>
          <w:szCs w:val="28"/>
          <w:highlight w:val="none"/>
        </w:rPr>
      </w:pPr>
      <w:bookmarkStart w:id="12" w:name="_Toc16626"/>
      <w:bookmarkStart w:id="13" w:name="_Toc11055318"/>
      <w:r>
        <w:rPr>
          <w:rFonts w:hint="eastAsia" w:ascii="宋体" w:hAnsi="宋体" w:eastAsia="宋体"/>
          <w:b/>
          <w:bCs/>
          <w:snapToGrid w:val="0"/>
          <w:color w:val="auto"/>
          <w:sz w:val="28"/>
          <w:szCs w:val="28"/>
          <w:highlight w:val="none"/>
        </w:rPr>
        <w:t>六、开    标</w:t>
      </w:r>
      <w:bookmarkEnd w:id="12"/>
      <w:bookmarkEnd w:id="13"/>
    </w:p>
    <w:p>
      <w:pPr>
        <w:adjustRightInd w:val="0"/>
        <w:snapToGrid w:val="0"/>
        <w:spacing w:line="360" w:lineRule="auto"/>
        <w:ind w:firstLine="240"/>
        <w:jc w:val="both"/>
        <w:rPr>
          <w:rFonts w:ascii="宋体" w:hAnsi="宋体"/>
          <w:b/>
          <w:snapToGrid w:val="0"/>
          <w:color w:val="auto"/>
          <w:sz w:val="21"/>
          <w:szCs w:val="21"/>
          <w:highlight w:val="none"/>
        </w:rPr>
      </w:pPr>
      <w:r>
        <w:rPr>
          <w:rFonts w:hint="eastAsia" w:ascii="宋体" w:hAnsi="宋体"/>
          <w:b/>
          <w:snapToGrid w:val="0"/>
          <w:color w:val="auto"/>
          <w:sz w:val="21"/>
          <w:szCs w:val="21"/>
          <w:highlight w:val="none"/>
        </w:rPr>
        <w:t>（十六）开标</w:t>
      </w:r>
    </w:p>
    <w:p>
      <w:pPr>
        <w:tabs>
          <w:tab w:val="left" w:pos="0"/>
          <w:tab w:val="left" w:pos="993"/>
          <w:tab w:val="left" w:pos="1134"/>
        </w:tabs>
        <w:adjustRightInd w:val="0"/>
        <w:snapToGrid w:val="0"/>
        <w:spacing w:line="360" w:lineRule="auto"/>
        <w:ind w:firstLine="560"/>
        <w:jc w:val="both"/>
        <w:rPr>
          <w:rFonts w:hint="eastAsia" w:ascii="宋体" w:hAnsi="宋体"/>
          <w:bCs/>
          <w:snapToGrid w:val="0"/>
          <w:color w:val="auto"/>
          <w:sz w:val="21"/>
          <w:szCs w:val="21"/>
          <w:highlight w:val="none"/>
        </w:rPr>
      </w:pPr>
      <w:r>
        <w:rPr>
          <w:rFonts w:ascii="宋体" w:hAnsi="宋体"/>
          <w:bCs/>
          <w:snapToGrid w:val="0"/>
          <w:color w:val="auto"/>
          <w:sz w:val="21"/>
          <w:szCs w:val="21"/>
          <w:highlight w:val="none"/>
        </w:rPr>
        <w:t>1</w:t>
      </w:r>
      <w:r>
        <w:rPr>
          <w:rFonts w:hint="eastAsia" w:ascii="宋体" w:hAnsi="宋体"/>
          <w:bCs/>
          <w:snapToGrid w:val="0"/>
          <w:color w:val="auto"/>
          <w:sz w:val="21"/>
          <w:szCs w:val="21"/>
          <w:highlight w:val="none"/>
        </w:rPr>
        <w:t>、开标时间和地点见前附表。</w:t>
      </w:r>
    </w:p>
    <w:p>
      <w:pPr>
        <w:tabs>
          <w:tab w:val="left" w:pos="0"/>
          <w:tab w:val="left" w:pos="993"/>
          <w:tab w:val="left" w:pos="1134"/>
        </w:tabs>
        <w:adjustRightInd w:val="0"/>
        <w:snapToGrid w:val="0"/>
        <w:spacing w:line="360" w:lineRule="auto"/>
        <w:ind w:firstLine="56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2、</w:t>
      </w:r>
      <w:r>
        <w:rPr>
          <w:rFonts w:hint="eastAsia" w:ascii="宋体" w:hAnsi="宋体"/>
          <w:snapToGrid w:val="0"/>
          <w:color w:val="auto"/>
          <w:sz w:val="21"/>
          <w:szCs w:val="21"/>
          <w:highlight w:val="none"/>
        </w:rPr>
        <w:t>开标由招标人或其委托的招标代理机构人员主持，邀请所有投标人参加。</w:t>
      </w:r>
    </w:p>
    <w:p>
      <w:pPr>
        <w:tabs>
          <w:tab w:val="left" w:pos="142"/>
          <w:tab w:val="left" w:pos="993"/>
          <w:tab w:val="left" w:pos="1134"/>
        </w:tabs>
        <w:adjustRightInd w:val="0"/>
        <w:snapToGrid w:val="0"/>
        <w:spacing w:line="360" w:lineRule="auto"/>
        <w:ind w:left="288" w:leftChars="144" w:firstLine="284"/>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3、开标时，由投标人推选的代表或招标人委托的公证机构检查投标文件的密封情况，投标</w:t>
      </w:r>
      <w:r>
        <w:rPr>
          <w:rFonts w:ascii="宋体" w:hAnsi="宋体"/>
          <w:bCs/>
          <w:snapToGrid w:val="0"/>
          <w:color w:val="auto"/>
          <w:sz w:val="21"/>
          <w:szCs w:val="21"/>
          <w:highlight w:val="none"/>
        </w:rPr>
        <w:t>文件未按照招标文件的要求予以密封的，</w:t>
      </w:r>
      <w:r>
        <w:rPr>
          <w:rFonts w:hint="eastAsia" w:ascii="宋体" w:hAnsi="宋体"/>
          <w:bCs/>
          <w:snapToGrid w:val="0"/>
          <w:color w:val="auto"/>
          <w:sz w:val="21"/>
          <w:szCs w:val="21"/>
          <w:highlight w:val="none"/>
        </w:rPr>
        <w:t>将</w:t>
      </w:r>
      <w:r>
        <w:rPr>
          <w:rFonts w:ascii="宋体" w:hAnsi="宋体"/>
          <w:bCs/>
          <w:snapToGrid w:val="0"/>
          <w:color w:val="auto"/>
          <w:sz w:val="21"/>
          <w:szCs w:val="21"/>
          <w:highlight w:val="none"/>
        </w:rPr>
        <w:t>作为无效投标文件，</w:t>
      </w:r>
      <w:r>
        <w:rPr>
          <w:rFonts w:hint="eastAsia" w:ascii="宋体" w:hAnsi="宋体"/>
          <w:bCs/>
          <w:snapToGrid w:val="0"/>
          <w:color w:val="auto"/>
          <w:sz w:val="21"/>
          <w:szCs w:val="21"/>
          <w:highlight w:val="none"/>
        </w:rPr>
        <w:t>退回投标人。经确认无误后，由工作人员当众拆封，投标单位的授权委托人宣读投标人名称、投标价格和其他招标人认为有必要的内容。</w:t>
      </w:r>
    </w:p>
    <w:p>
      <w:pPr>
        <w:tabs>
          <w:tab w:val="left" w:pos="0"/>
          <w:tab w:val="left" w:pos="284"/>
        </w:tabs>
        <w:adjustRightInd w:val="0"/>
        <w:snapToGrid w:val="0"/>
        <w:spacing w:line="360" w:lineRule="auto"/>
        <w:ind w:left="284" w:firstLine="252" w:firstLineChars="12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4、唱标顺序按各投标人送达投标文件时间先后的逆顺序进行。</w:t>
      </w:r>
    </w:p>
    <w:p>
      <w:pPr>
        <w:tabs>
          <w:tab w:val="left" w:pos="0"/>
          <w:tab w:val="left" w:pos="1134"/>
        </w:tabs>
        <w:adjustRightInd w:val="0"/>
        <w:snapToGrid w:val="0"/>
        <w:spacing w:line="360" w:lineRule="auto"/>
        <w:ind w:left="567"/>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5、投标人或其委托代理人必须在</w:t>
      </w:r>
      <w:r>
        <w:rPr>
          <w:rFonts w:hint="eastAsia" w:ascii="宋体" w:hAnsi="宋体"/>
          <w:bCs/>
          <w:snapToGrid w:val="0"/>
          <w:color w:val="auto"/>
          <w:sz w:val="21"/>
          <w:szCs w:val="21"/>
          <w:highlight w:val="none"/>
          <w:lang w:val="en-US" w:eastAsia="zh-CN"/>
        </w:rPr>
        <w:t>会议</w:t>
      </w:r>
      <w:r>
        <w:rPr>
          <w:rFonts w:hint="eastAsia" w:ascii="宋体" w:hAnsi="宋体"/>
          <w:bCs/>
          <w:snapToGrid w:val="0"/>
          <w:color w:val="auto"/>
          <w:sz w:val="21"/>
          <w:szCs w:val="21"/>
          <w:highlight w:val="none"/>
        </w:rPr>
        <w:t>签到薄签名。</w:t>
      </w:r>
    </w:p>
    <w:p>
      <w:pPr>
        <w:tabs>
          <w:tab w:val="left" w:pos="0"/>
          <w:tab w:val="left" w:pos="1134"/>
        </w:tabs>
        <w:adjustRightInd w:val="0"/>
        <w:snapToGrid w:val="0"/>
        <w:spacing w:line="360" w:lineRule="auto"/>
        <w:ind w:left="567"/>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6、投标人或其委托代理人必须参加</w:t>
      </w:r>
      <w:r>
        <w:rPr>
          <w:rFonts w:hint="eastAsia" w:ascii="宋体" w:hAnsi="宋体"/>
          <w:bCs/>
          <w:snapToGrid w:val="0"/>
          <w:color w:val="auto"/>
          <w:sz w:val="21"/>
          <w:szCs w:val="21"/>
          <w:highlight w:val="none"/>
          <w:lang w:val="en-US" w:eastAsia="zh-CN"/>
        </w:rPr>
        <w:t>开</w:t>
      </w:r>
      <w:r>
        <w:rPr>
          <w:rFonts w:hint="eastAsia" w:ascii="宋体" w:hAnsi="宋体"/>
          <w:bCs/>
          <w:snapToGrid w:val="0"/>
          <w:color w:val="auto"/>
          <w:sz w:val="21"/>
          <w:szCs w:val="21"/>
          <w:highlight w:val="none"/>
        </w:rPr>
        <w:t>标，</w:t>
      </w:r>
      <w:r>
        <w:rPr>
          <w:rFonts w:hint="eastAsia" w:ascii="宋体" w:hAnsi="宋体"/>
          <w:bCs/>
          <w:snapToGrid w:val="0"/>
          <w:color w:val="auto"/>
          <w:sz w:val="21"/>
          <w:szCs w:val="21"/>
          <w:highlight w:val="none"/>
          <w:lang w:val="en-US" w:eastAsia="zh-CN"/>
        </w:rPr>
        <w:t>在投标时间截止前</w:t>
      </w:r>
      <w:r>
        <w:rPr>
          <w:rFonts w:hint="eastAsia" w:ascii="宋体" w:hAnsi="宋体"/>
          <w:bCs/>
          <w:snapToGrid w:val="0"/>
          <w:color w:val="auto"/>
          <w:sz w:val="21"/>
          <w:szCs w:val="21"/>
          <w:highlight w:val="none"/>
        </w:rPr>
        <w:t>必须到达</w:t>
      </w:r>
      <w:r>
        <w:rPr>
          <w:rFonts w:hint="eastAsia" w:ascii="宋体" w:hAnsi="宋体"/>
          <w:bCs/>
          <w:snapToGrid w:val="0"/>
          <w:color w:val="auto"/>
          <w:sz w:val="21"/>
          <w:szCs w:val="21"/>
          <w:highlight w:val="none"/>
          <w:lang w:val="en-US" w:eastAsia="zh-CN"/>
        </w:rPr>
        <w:t>开</w:t>
      </w:r>
      <w:r>
        <w:rPr>
          <w:rFonts w:hint="eastAsia" w:ascii="宋体" w:hAnsi="宋体"/>
          <w:bCs/>
          <w:snapToGrid w:val="0"/>
          <w:color w:val="auto"/>
          <w:sz w:val="21"/>
          <w:szCs w:val="21"/>
          <w:highlight w:val="none"/>
        </w:rPr>
        <w:t>标现场，否则招标人不予受理。</w:t>
      </w:r>
    </w:p>
    <w:p>
      <w:pPr>
        <w:tabs>
          <w:tab w:val="left" w:pos="0"/>
          <w:tab w:val="left" w:pos="993"/>
          <w:tab w:val="left" w:pos="1134"/>
        </w:tabs>
        <w:adjustRightInd w:val="0"/>
        <w:snapToGrid w:val="0"/>
        <w:spacing w:line="360" w:lineRule="auto"/>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5、开标时，投标文件出现下列情形之一的，招标人不予受理：</w:t>
      </w:r>
    </w:p>
    <w:p>
      <w:pPr>
        <w:numPr>
          <w:ilvl w:val="0"/>
          <w:numId w:val="5"/>
        </w:numPr>
        <w:adjustRightInd w:val="0"/>
        <w:snapToGrid w:val="0"/>
        <w:spacing w:line="360" w:lineRule="auto"/>
        <w:ind w:left="566" w:leftChars="283" w:firstLine="0"/>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逾期送达或未送达指定地点的；</w:t>
      </w:r>
    </w:p>
    <w:p>
      <w:pPr>
        <w:numPr>
          <w:ilvl w:val="0"/>
          <w:numId w:val="5"/>
        </w:numPr>
        <w:tabs>
          <w:tab w:val="left" w:pos="0"/>
          <w:tab w:val="left" w:pos="993"/>
          <w:tab w:val="left" w:pos="1134"/>
        </w:tabs>
        <w:adjustRightInd w:val="0"/>
        <w:snapToGrid w:val="0"/>
        <w:spacing w:line="360" w:lineRule="auto"/>
        <w:ind w:left="538" w:leftChars="269"/>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 xml:space="preserve">  未按照招标文件的要求予以密封的；</w:t>
      </w:r>
    </w:p>
    <w:p>
      <w:pPr>
        <w:numPr>
          <w:ilvl w:val="0"/>
          <w:numId w:val="5"/>
        </w:numPr>
        <w:tabs>
          <w:tab w:val="left" w:pos="0"/>
          <w:tab w:val="left" w:pos="993"/>
          <w:tab w:val="left" w:pos="1134"/>
        </w:tabs>
        <w:adjustRightInd w:val="0"/>
        <w:snapToGrid w:val="0"/>
        <w:spacing w:line="360" w:lineRule="auto"/>
        <w:ind w:left="538" w:leftChars="269"/>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 xml:space="preserve">  未按照招标文件的要求提供投标保证金或投标保函的；</w:t>
      </w:r>
    </w:p>
    <w:p>
      <w:pPr>
        <w:numPr>
          <w:ilvl w:val="0"/>
          <w:numId w:val="5"/>
        </w:numPr>
        <w:tabs>
          <w:tab w:val="left" w:pos="0"/>
          <w:tab w:val="left" w:pos="993"/>
          <w:tab w:val="left" w:pos="1134"/>
        </w:tabs>
        <w:adjustRightInd w:val="0"/>
        <w:snapToGrid w:val="0"/>
        <w:spacing w:line="360" w:lineRule="auto"/>
        <w:ind w:left="538" w:leftChars="269"/>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 xml:space="preserve">  未提供法人证明和有效身份证明的；</w:t>
      </w:r>
    </w:p>
    <w:p>
      <w:pPr>
        <w:numPr>
          <w:ilvl w:val="0"/>
          <w:numId w:val="5"/>
        </w:numPr>
        <w:tabs>
          <w:tab w:val="left" w:pos="0"/>
          <w:tab w:val="left" w:pos="993"/>
          <w:tab w:val="left" w:pos="1134"/>
        </w:tabs>
        <w:adjustRightInd w:val="0"/>
        <w:snapToGrid w:val="0"/>
        <w:spacing w:line="360" w:lineRule="auto"/>
        <w:ind w:left="538" w:leftChars="269"/>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 xml:space="preserve">  未提供授权委托书和委托人身份证明（第二代身份证原件）的；</w:t>
      </w:r>
    </w:p>
    <w:p>
      <w:pPr>
        <w:numPr>
          <w:ilvl w:val="0"/>
          <w:numId w:val="5"/>
        </w:numPr>
        <w:tabs>
          <w:tab w:val="left" w:pos="0"/>
          <w:tab w:val="left" w:pos="993"/>
          <w:tab w:val="left" w:pos="1134"/>
        </w:tabs>
        <w:adjustRightInd w:val="0"/>
        <w:snapToGrid w:val="0"/>
        <w:spacing w:line="360" w:lineRule="auto"/>
        <w:ind w:left="538" w:leftChars="269"/>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 xml:space="preserve">  未参加开标会议的；</w:t>
      </w:r>
    </w:p>
    <w:p>
      <w:pPr>
        <w:numPr>
          <w:ilvl w:val="0"/>
          <w:numId w:val="5"/>
        </w:numPr>
        <w:tabs>
          <w:tab w:val="left" w:pos="0"/>
          <w:tab w:val="left" w:pos="993"/>
          <w:tab w:val="left" w:pos="1134"/>
        </w:tabs>
        <w:adjustRightInd w:val="0"/>
        <w:snapToGrid w:val="0"/>
        <w:spacing w:line="360" w:lineRule="auto"/>
        <w:ind w:left="538" w:leftChars="269"/>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 xml:space="preserve">  提供材料有瑕疵的。</w:t>
      </w:r>
    </w:p>
    <w:p>
      <w:pPr>
        <w:pStyle w:val="4"/>
        <w:jc w:val="center"/>
        <w:rPr>
          <w:rFonts w:hint="eastAsia" w:ascii="宋体" w:hAnsi="宋体" w:eastAsia="宋体"/>
          <w:b/>
          <w:snapToGrid w:val="0"/>
          <w:color w:val="auto"/>
          <w:sz w:val="28"/>
          <w:szCs w:val="28"/>
          <w:highlight w:val="none"/>
        </w:rPr>
      </w:pPr>
      <w:bookmarkStart w:id="14" w:name="_Toc11055319"/>
      <w:bookmarkStart w:id="15" w:name="_Toc30627"/>
      <w:r>
        <w:rPr>
          <w:rFonts w:hint="eastAsia" w:ascii="宋体" w:hAnsi="宋体" w:eastAsia="宋体"/>
          <w:b/>
          <w:snapToGrid w:val="0"/>
          <w:color w:val="auto"/>
          <w:sz w:val="28"/>
          <w:szCs w:val="28"/>
          <w:highlight w:val="none"/>
        </w:rPr>
        <w:t>七、评   标</w:t>
      </w:r>
      <w:bookmarkEnd w:id="14"/>
      <w:bookmarkEnd w:id="15"/>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（十七）评标</w:t>
      </w:r>
    </w:p>
    <w:p>
      <w:pPr>
        <w:tabs>
          <w:tab w:val="left" w:pos="0"/>
          <w:tab w:val="left" w:pos="993"/>
          <w:tab w:val="left" w:pos="1134"/>
        </w:tabs>
        <w:adjustRightInd w:val="0"/>
        <w:snapToGrid w:val="0"/>
        <w:spacing w:line="360" w:lineRule="auto"/>
        <w:ind w:firstLine="566"/>
        <w:jc w:val="both"/>
        <w:rPr>
          <w:rFonts w:hint="eastAsia" w:ascii="宋体" w:hAnsi="宋体"/>
          <w:color w:val="auto"/>
          <w:sz w:val="21"/>
          <w:szCs w:val="21"/>
          <w:highlight w:val="none"/>
        </w:rPr>
      </w:pPr>
      <w:r>
        <w:rPr>
          <w:rFonts w:hint="eastAsia" w:ascii="宋体" w:hAnsi="宋体"/>
          <w:color w:val="auto"/>
          <w:sz w:val="21"/>
          <w:szCs w:val="21"/>
          <w:highlight w:val="none"/>
        </w:rPr>
        <w:t>1、评标按照下列程序进行：</w:t>
      </w:r>
    </w:p>
    <w:p>
      <w:pPr>
        <w:tabs>
          <w:tab w:val="left" w:pos="0"/>
          <w:tab w:val="left" w:pos="993"/>
          <w:tab w:val="left" w:pos="1134"/>
        </w:tabs>
        <w:adjustRightInd w:val="0"/>
        <w:snapToGrid w:val="0"/>
        <w:spacing w:line="360" w:lineRule="auto"/>
        <w:ind w:left="284" w:firstLine="283"/>
        <w:jc w:val="both"/>
        <w:rPr>
          <w:rFonts w:hint="eastAsia" w:ascii="宋体" w:hAnsi="宋体"/>
          <w:color w:val="auto"/>
          <w:sz w:val="21"/>
          <w:szCs w:val="21"/>
          <w:highlight w:val="none"/>
        </w:rPr>
      </w:pPr>
      <w:r>
        <w:rPr>
          <w:rFonts w:hint="eastAsia" w:ascii="宋体" w:hAnsi="宋体"/>
          <w:color w:val="auto"/>
          <w:sz w:val="21"/>
          <w:szCs w:val="21"/>
          <w:highlight w:val="none"/>
        </w:rPr>
        <w:t>（1）组建评标委员会和清标工作组；</w:t>
      </w:r>
    </w:p>
    <w:p>
      <w:pPr>
        <w:tabs>
          <w:tab w:val="left" w:pos="0"/>
          <w:tab w:val="left" w:pos="993"/>
          <w:tab w:val="left" w:pos="1134"/>
        </w:tabs>
        <w:adjustRightInd w:val="0"/>
        <w:snapToGrid w:val="0"/>
        <w:spacing w:line="360" w:lineRule="auto"/>
        <w:ind w:left="284" w:firstLine="283"/>
        <w:jc w:val="both"/>
        <w:rPr>
          <w:rFonts w:hint="eastAsia" w:ascii="宋体" w:hAnsi="宋体"/>
          <w:color w:val="auto"/>
          <w:sz w:val="21"/>
          <w:szCs w:val="21"/>
          <w:highlight w:val="none"/>
        </w:rPr>
      </w:pPr>
      <w:r>
        <w:rPr>
          <w:rFonts w:hint="eastAsia" w:ascii="宋体" w:hAnsi="宋体"/>
          <w:color w:val="auto"/>
          <w:sz w:val="21"/>
          <w:szCs w:val="21"/>
          <w:highlight w:val="none"/>
        </w:rPr>
        <w:t>（2）评标准备及清标；</w:t>
      </w:r>
    </w:p>
    <w:p>
      <w:pPr>
        <w:tabs>
          <w:tab w:val="left" w:pos="0"/>
          <w:tab w:val="left" w:pos="993"/>
          <w:tab w:val="left" w:pos="1134"/>
        </w:tabs>
        <w:adjustRightInd w:val="0"/>
        <w:snapToGrid w:val="0"/>
        <w:spacing w:line="360" w:lineRule="auto"/>
        <w:ind w:left="284" w:firstLine="283"/>
        <w:jc w:val="both"/>
        <w:rPr>
          <w:rFonts w:hint="eastAsia" w:ascii="宋体" w:hAnsi="宋体"/>
          <w:color w:val="auto"/>
          <w:sz w:val="21"/>
          <w:szCs w:val="21"/>
          <w:highlight w:val="none"/>
        </w:rPr>
      </w:pPr>
      <w:r>
        <w:rPr>
          <w:rFonts w:hint="eastAsia" w:ascii="宋体" w:hAnsi="宋体"/>
          <w:color w:val="auto"/>
          <w:sz w:val="21"/>
          <w:szCs w:val="21"/>
          <w:highlight w:val="none"/>
        </w:rPr>
        <w:t>（3）初步评审；</w:t>
      </w:r>
    </w:p>
    <w:p>
      <w:pPr>
        <w:tabs>
          <w:tab w:val="left" w:pos="0"/>
          <w:tab w:val="left" w:pos="993"/>
          <w:tab w:val="left" w:pos="1134"/>
        </w:tabs>
        <w:adjustRightInd w:val="0"/>
        <w:snapToGrid w:val="0"/>
        <w:spacing w:line="360" w:lineRule="auto"/>
        <w:ind w:left="284" w:firstLine="283"/>
        <w:jc w:val="both"/>
        <w:rPr>
          <w:rFonts w:hint="eastAsia" w:ascii="宋体" w:hAnsi="宋体"/>
          <w:color w:val="auto"/>
          <w:sz w:val="21"/>
          <w:szCs w:val="21"/>
          <w:highlight w:val="none"/>
        </w:rPr>
      </w:pPr>
      <w:r>
        <w:rPr>
          <w:rFonts w:hint="eastAsia" w:ascii="宋体" w:hAnsi="宋体"/>
          <w:color w:val="auto"/>
          <w:sz w:val="21"/>
          <w:szCs w:val="21"/>
          <w:highlight w:val="none"/>
        </w:rPr>
        <w:t>（4）详细评审</w:t>
      </w:r>
    </w:p>
    <w:p>
      <w:pPr>
        <w:tabs>
          <w:tab w:val="left" w:pos="0"/>
          <w:tab w:val="left" w:pos="993"/>
          <w:tab w:val="left" w:pos="1134"/>
        </w:tabs>
        <w:adjustRightInd w:val="0"/>
        <w:snapToGrid w:val="0"/>
        <w:spacing w:line="360" w:lineRule="auto"/>
        <w:ind w:left="284" w:firstLine="283"/>
        <w:jc w:val="both"/>
        <w:rPr>
          <w:rFonts w:hint="eastAsia" w:ascii="宋体" w:hAnsi="宋体"/>
          <w:color w:val="auto"/>
          <w:sz w:val="21"/>
          <w:szCs w:val="21"/>
          <w:highlight w:val="none"/>
        </w:rPr>
      </w:pPr>
      <w:r>
        <w:rPr>
          <w:rFonts w:hint="eastAsia" w:ascii="宋体" w:hAnsi="宋体"/>
          <w:color w:val="auto"/>
          <w:sz w:val="21"/>
          <w:szCs w:val="21"/>
          <w:highlight w:val="none"/>
        </w:rPr>
        <w:t>（5）推荐中标候选人，撰写评标报告</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（十八）清标</w:t>
      </w:r>
    </w:p>
    <w:p>
      <w:pPr>
        <w:tabs>
          <w:tab w:val="left" w:pos="0"/>
          <w:tab w:val="left" w:pos="993"/>
          <w:tab w:val="left" w:pos="1134"/>
        </w:tabs>
        <w:adjustRightInd w:val="0"/>
        <w:snapToGrid w:val="0"/>
        <w:spacing w:line="360" w:lineRule="auto"/>
        <w:ind w:firstLine="566"/>
        <w:jc w:val="both"/>
        <w:rPr>
          <w:rFonts w:hint="eastAsia" w:ascii="宋体" w:hAnsi="宋体"/>
          <w:color w:val="auto"/>
          <w:sz w:val="21"/>
          <w:szCs w:val="21"/>
          <w:highlight w:val="none"/>
        </w:rPr>
      </w:pPr>
      <w:r>
        <w:rPr>
          <w:rFonts w:hint="eastAsia" w:ascii="宋体" w:hAnsi="宋体"/>
          <w:color w:val="auto"/>
          <w:sz w:val="21"/>
          <w:szCs w:val="21"/>
          <w:highlight w:val="none"/>
        </w:rPr>
        <w:t>1、组建清标工作组</w:t>
      </w:r>
    </w:p>
    <w:p>
      <w:pPr>
        <w:tabs>
          <w:tab w:val="left" w:pos="0"/>
          <w:tab w:val="left" w:pos="993"/>
          <w:tab w:val="left" w:pos="1134"/>
        </w:tabs>
        <w:adjustRightInd w:val="0"/>
        <w:snapToGrid w:val="0"/>
        <w:spacing w:line="360" w:lineRule="auto"/>
        <w:ind w:left="284" w:firstLine="283"/>
        <w:jc w:val="both"/>
        <w:rPr>
          <w:rFonts w:hint="eastAsia" w:ascii="宋体" w:hAnsi="宋体"/>
          <w:color w:val="auto"/>
          <w:sz w:val="21"/>
          <w:szCs w:val="21"/>
          <w:highlight w:val="none"/>
        </w:rPr>
      </w:pPr>
      <w:r>
        <w:rPr>
          <w:rFonts w:hint="eastAsia" w:ascii="宋体" w:hAnsi="宋体"/>
          <w:color w:val="auto"/>
          <w:sz w:val="21"/>
          <w:szCs w:val="21"/>
          <w:highlight w:val="none"/>
        </w:rPr>
        <w:t>（1）清标工作组由</w:t>
      </w:r>
      <w:r>
        <w:rPr>
          <w:rFonts w:hint="eastAsia" w:ascii="宋体" w:hAnsi="宋体"/>
          <w:snapToGrid w:val="0"/>
          <w:color w:val="auto"/>
          <w:sz w:val="21"/>
          <w:szCs w:val="21"/>
          <w:highlight w:val="none"/>
        </w:rPr>
        <w:t>建设单位确定</w:t>
      </w:r>
      <w:r>
        <w:rPr>
          <w:rFonts w:hint="eastAsia" w:ascii="宋体" w:hAnsi="宋体"/>
          <w:color w:val="auto"/>
          <w:sz w:val="21"/>
          <w:szCs w:val="21"/>
          <w:highlight w:val="none"/>
        </w:rPr>
        <w:t>的本工程评标委员会经济类、技术类专家组成。</w:t>
      </w:r>
    </w:p>
    <w:p>
      <w:pPr>
        <w:tabs>
          <w:tab w:val="left" w:pos="284"/>
          <w:tab w:val="left" w:pos="993"/>
          <w:tab w:val="left" w:pos="1134"/>
        </w:tabs>
        <w:adjustRightInd w:val="0"/>
        <w:snapToGrid w:val="0"/>
        <w:spacing w:line="360" w:lineRule="auto"/>
        <w:ind w:left="288" w:leftChars="144" w:firstLine="284"/>
        <w:jc w:val="both"/>
        <w:rPr>
          <w:rFonts w:hint="eastAsia" w:ascii="宋体" w:hAnsi="宋体"/>
          <w:color w:val="auto"/>
          <w:sz w:val="21"/>
          <w:szCs w:val="21"/>
          <w:highlight w:val="none"/>
        </w:rPr>
      </w:pPr>
      <w:r>
        <w:rPr>
          <w:rFonts w:hint="eastAsia" w:ascii="宋体" w:hAnsi="宋体"/>
          <w:snapToGrid w:val="0"/>
          <w:color w:val="auto"/>
          <w:sz w:val="21"/>
          <w:szCs w:val="21"/>
          <w:highlight w:val="none"/>
        </w:rPr>
        <w:t>（2）</w:t>
      </w:r>
      <w:r>
        <w:rPr>
          <w:rFonts w:hint="eastAsia" w:ascii="宋体" w:hAnsi="宋体"/>
          <w:color w:val="auto"/>
          <w:sz w:val="21"/>
          <w:szCs w:val="21"/>
          <w:highlight w:val="none"/>
        </w:rPr>
        <w:t>清标工作组应当遵守法律、法规、规章关于评标工作原则、评标保密和回避的规定。</w:t>
      </w:r>
    </w:p>
    <w:p>
      <w:pPr>
        <w:tabs>
          <w:tab w:val="left" w:pos="0"/>
          <w:tab w:val="left" w:pos="993"/>
          <w:tab w:val="left" w:pos="1134"/>
        </w:tabs>
        <w:adjustRightInd w:val="0"/>
        <w:snapToGrid w:val="0"/>
        <w:spacing w:line="360" w:lineRule="auto"/>
        <w:ind w:firstLine="566"/>
        <w:jc w:val="both"/>
        <w:rPr>
          <w:rFonts w:hint="eastAsia" w:ascii="宋体" w:hAnsi="宋体"/>
          <w:color w:val="auto"/>
          <w:sz w:val="21"/>
          <w:szCs w:val="21"/>
          <w:highlight w:val="none"/>
        </w:rPr>
      </w:pPr>
      <w:r>
        <w:rPr>
          <w:rFonts w:hint="eastAsia" w:ascii="宋体" w:hAnsi="宋体"/>
          <w:snapToGrid w:val="0"/>
          <w:color w:val="auto"/>
          <w:sz w:val="21"/>
          <w:szCs w:val="21"/>
          <w:highlight w:val="none"/>
        </w:rPr>
        <w:t>2、</w:t>
      </w:r>
      <w:r>
        <w:rPr>
          <w:rFonts w:hint="eastAsia" w:ascii="宋体" w:hAnsi="宋体"/>
          <w:color w:val="auto"/>
          <w:sz w:val="21"/>
          <w:szCs w:val="21"/>
          <w:highlight w:val="none"/>
        </w:rPr>
        <w:t>清标工作的主要内容包括：</w:t>
      </w:r>
    </w:p>
    <w:p>
      <w:pPr>
        <w:spacing w:line="360" w:lineRule="auto"/>
        <w:ind w:left="1284" w:hanging="720"/>
        <w:rPr>
          <w:rFonts w:hint="eastAsia" w:ascii="宋体" w:hAnsi="宋体"/>
          <w:color w:val="auto"/>
          <w:sz w:val="21"/>
          <w:szCs w:val="21"/>
          <w:highlight w:val="none"/>
        </w:rPr>
      </w:pPr>
      <w:r>
        <w:rPr>
          <w:rFonts w:hint="eastAsia" w:ascii="宋体" w:hAnsi="宋体"/>
          <w:color w:val="auto"/>
          <w:sz w:val="21"/>
          <w:szCs w:val="21"/>
          <w:highlight w:val="none"/>
        </w:rPr>
        <w:t>（1）按照投标总价的高低，对投标文件进行排序；</w:t>
      </w:r>
    </w:p>
    <w:p>
      <w:pPr>
        <w:spacing w:line="360" w:lineRule="auto"/>
        <w:ind w:left="284" w:firstLine="280"/>
        <w:rPr>
          <w:rFonts w:hint="eastAsia" w:ascii="宋体" w:hAnsi="宋体"/>
          <w:color w:val="auto"/>
          <w:sz w:val="21"/>
          <w:szCs w:val="21"/>
          <w:highlight w:val="none"/>
        </w:rPr>
      </w:pPr>
      <w:r>
        <w:rPr>
          <w:rFonts w:hint="eastAsia" w:ascii="宋体" w:hAnsi="宋体"/>
          <w:color w:val="auto"/>
          <w:sz w:val="21"/>
          <w:szCs w:val="21"/>
          <w:highlight w:val="none"/>
        </w:rPr>
        <w:t>（2）根据招标文件的规定，对所有投标文件进行全面的审查，列出投标文件在符合性、响应性和技术方法、技术措施、技术标准等方面存在的所有偏差；</w:t>
      </w:r>
    </w:p>
    <w:p>
      <w:pPr>
        <w:spacing w:line="360" w:lineRule="auto"/>
        <w:ind w:firstLine="566"/>
        <w:rPr>
          <w:rFonts w:hint="eastAsia" w:ascii="宋体" w:hAnsi="宋体"/>
          <w:color w:val="auto"/>
          <w:sz w:val="21"/>
          <w:szCs w:val="21"/>
          <w:highlight w:val="none"/>
        </w:rPr>
      </w:pPr>
      <w:r>
        <w:rPr>
          <w:rFonts w:hint="eastAsia" w:ascii="宋体" w:hAnsi="宋体"/>
          <w:color w:val="auto"/>
          <w:sz w:val="21"/>
          <w:szCs w:val="21"/>
          <w:highlight w:val="none"/>
        </w:rPr>
        <w:t xml:space="preserve">（3）按照招标文件的规定的方法和标准，对投标报价进行换算； </w:t>
      </w:r>
    </w:p>
    <w:p>
      <w:pPr>
        <w:spacing w:line="360" w:lineRule="auto"/>
        <w:ind w:firstLine="566"/>
        <w:rPr>
          <w:rFonts w:hint="eastAsia" w:ascii="宋体" w:hAnsi="宋体"/>
          <w:color w:val="auto"/>
          <w:sz w:val="21"/>
          <w:szCs w:val="21"/>
          <w:highlight w:val="none"/>
        </w:rPr>
      </w:pPr>
      <w:r>
        <w:rPr>
          <w:rFonts w:hint="eastAsia" w:ascii="宋体" w:hAnsi="宋体"/>
          <w:color w:val="auto"/>
          <w:sz w:val="21"/>
          <w:szCs w:val="21"/>
          <w:highlight w:val="none"/>
        </w:rPr>
        <w:t>（4）对投标报价进行校核，列出投标文件存在的算术计算错误；</w:t>
      </w:r>
    </w:p>
    <w:p>
      <w:pPr>
        <w:spacing w:line="360" w:lineRule="auto"/>
        <w:ind w:firstLine="566"/>
        <w:rPr>
          <w:rFonts w:hint="eastAsia" w:ascii="宋体" w:hAnsi="宋体"/>
          <w:color w:val="auto"/>
          <w:sz w:val="21"/>
          <w:szCs w:val="21"/>
          <w:highlight w:val="none"/>
        </w:rPr>
      </w:pPr>
      <w:r>
        <w:rPr>
          <w:rFonts w:hint="eastAsia" w:ascii="宋体" w:hAnsi="宋体"/>
          <w:color w:val="auto"/>
          <w:sz w:val="21"/>
          <w:szCs w:val="21"/>
          <w:highlight w:val="none"/>
        </w:rPr>
        <w:t>（5）根据本招标文件规定的标准，审查并列出过高和过低的投标价格；</w:t>
      </w:r>
    </w:p>
    <w:p>
      <w:pPr>
        <w:tabs>
          <w:tab w:val="left" w:pos="0"/>
          <w:tab w:val="left" w:pos="993"/>
          <w:tab w:val="left" w:pos="1134"/>
        </w:tabs>
        <w:adjustRightInd w:val="0"/>
        <w:snapToGrid w:val="0"/>
        <w:spacing w:line="360" w:lineRule="auto"/>
        <w:ind w:firstLine="566"/>
        <w:jc w:val="both"/>
        <w:rPr>
          <w:rFonts w:hint="eastAsia" w:ascii="宋体" w:hAnsi="宋体"/>
          <w:color w:val="auto"/>
          <w:sz w:val="21"/>
          <w:szCs w:val="21"/>
          <w:highlight w:val="none"/>
        </w:rPr>
      </w:pPr>
      <w:r>
        <w:rPr>
          <w:rFonts w:hint="eastAsia" w:ascii="宋体" w:hAnsi="宋体"/>
          <w:color w:val="auto"/>
          <w:sz w:val="21"/>
          <w:szCs w:val="21"/>
          <w:highlight w:val="none"/>
        </w:rPr>
        <w:t>（6）形成书面的清标情况报告。</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（十九）评标活动</w:t>
      </w:r>
    </w:p>
    <w:p>
      <w:pPr>
        <w:tabs>
          <w:tab w:val="left" w:pos="0"/>
          <w:tab w:val="left" w:pos="993"/>
          <w:tab w:val="left" w:pos="1134"/>
        </w:tabs>
        <w:adjustRightInd w:val="0"/>
        <w:snapToGrid w:val="0"/>
        <w:spacing w:line="360" w:lineRule="auto"/>
        <w:ind w:firstLine="566"/>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1、评标活动在有关行政监督管理部门的监督下，由评标委员会组织进行。</w:t>
      </w:r>
    </w:p>
    <w:p>
      <w:pPr>
        <w:tabs>
          <w:tab w:val="left" w:pos="0"/>
          <w:tab w:val="left" w:pos="993"/>
          <w:tab w:val="left" w:pos="1134"/>
        </w:tabs>
        <w:adjustRightInd w:val="0"/>
        <w:snapToGrid w:val="0"/>
        <w:spacing w:line="360" w:lineRule="auto"/>
        <w:ind w:firstLine="566"/>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 xml:space="preserve">2、本工程采用下列第 </w:t>
      </w:r>
      <w:r>
        <w:rPr>
          <w:rFonts w:hint="eastAsia" w:ascii="宋体" w:hAnsi="宋体"/>
          <w:snapToGrid w:val="0"/>
          <w:color w:val="auto"/>
          <w:sz w:val="21"/>
          <w:szCs w:val="21"/>
          <w:highlight w:val="none"/>
          <w:u w:val="single"/>
        </w:rPr>
        <w:t xml:space="preserve">     （3）    </w:t>
      </w:r>
      <w:r>
        <w:rPr>
          <w:rFonts w:hint="eastAsia" w:ascii="宋体" w:hAnsi="宋体"/>
          <w:snapToGrid w:val="0"/>
          <w:color w:val="auto"/>
          <w:sz w:val="21"/>
          <w:szCs w:val="21"/>
          <w:highlight w:val="none"/>
        </w:rPr>
        <w:t xml:space="preserve"> 种方式进行评标。</w:t>
      </w:r>
    </w:p>
    <w:p>
      <w:pPr>
        <w:tabs>
          <w:tab w:val="left" w:pos="0"/>
          <w:tab w:val="left" w:pos="993"/>
          <w:tab w:val="left" w:pos="1134"/>
        </w:tabs>
        <w:adjustRightInd w:val="0"/>
        <w:snapToGrid w:val="0"/>
        <w:spacing w:line="360" w:lineRule="auto"/>
        <w:ind w:left="284" w:firstLine="280"/>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w:t>
      </w:r>
      <w:r>
        <w:rPr>
          <w:rFonts w:ascii="宋体" w:hAnsi="宋体"/>
          <w:snapToGrid w:val="0"/>
          <w:color w:val="auto"/>
          <w:sz w:val="21"/>
          <w:szCs w:val="21"/>
          <w:highlight w:val="none"/>
        </w:rPr>
        <w:t>经评审的最低投标价法</w:t>
      </w:r>
      <w:r>
        <w:rPr>
          <w:rFonts w:hint="eastAsia" w:ascii="宋体" w:hAnsi="宋体"/>
          <w:snapToGrid w:val="0"/>
          <w:color w:val="auto"/>
          <w:sz w:val="21"/>
          <w:szCs w:val="21"/>
          <w:highlight w:val="none"/>
        </w:rPr>
        <w:t>：是指</w:t>
      </w:r>
      <w:r>
        <w:rPr>
          <w:rFonts w:ascii="宋体" w:hAnsi="宋体"/>
          <w:snapToGrid w:val="0"/>
          <w:color w:val="auto"/>
          <w:sz w:val="21"/>
          <w:szCs w:val="21"/>
          <w:highlight w:val="none"/>
        </w:rPr>
        <w:t>在投标文件能够满足招标文件实质性要求的投标人中，评审出投标价格最低的投标人，但投标价格低于其企业成本的除外。</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w:t>
      </w:r>
      <w:r>
        <w:rPr>
          <w:rFonts w:ascii="宋体" w:hAnsi="宋体"/>
          <w:snapToGrid w:val="0"/>
          <w:color w:val="auto"/>
          <w:sz w:val="21"/>
          <w:szCs w:val="21"/>
          <w:highlight w:val="none"/>
        </w:rPr>
        <w:t>综合评</w:t>
      </w:r>
      <w:r>
        <w:rPr>
          <w:rFonts w:hint="eastAsia" w:ascii="宋体" w:hAnsi="宋体"/>
          <w:snapToGrid w:val="0"/>
          <w:color w:val="auto"/>
          <w:sz w:val="21"/>
          <w:szCs w:val="21"/>
          <w:highlight w:val="none"/>
        </w:rPr>
        <w:t>分</w:t>
      </w:r>
      <w:r>
        <w:rPr>
          <w:rFonts w:ascii="宋体" w:hAnsi="宋体"/>
          <w:snapToGrid w:val="0"/>
          <w:color w:val="auto"/>
          <w:sz w:val="21"/>
          <w:szCs w:val="21"/>
          <w:highlight w:val="none"/>
        </w:rPr>
        <w:t>法</w:t>
      </w:r>
      <w:r>
        <w:rPr>
          <w:rFonts w:hint="eastAsia" w:ascii="宋体" w:hAnsi="宋体"/>
          <w:snapToGrid w:val="0"/>
          <w:color w:val="auto"/>
          <w:sz w:val="21"/>
          <w:szCs w:val="21"/>
          <w:highlight w:val="none"/>
        </w:rPr>
        <w:t>：是指</w:t>
      </w:r>
      <w:r>
        <w:rPr>
          <w:rFonts w:ascii="宋体" w:hAnsi="宋体"/>
          <w:snapToGrid w:val="0"/>
          <w:color w:val="auto"/>
          <w:sz w:val="21"/>
          <w:szCs w:val="21"/>
          <w:highlight w:val="none"/>
        </w:rPr>
        <w:t>对投标文件提出的工程质量、施工工期、投标价格、施工组织设计或者施工方案、投标人及项目经理业绩等，能否最大限度地满足招标文件中规定的各项要求和评价标准进行评审和比较</w:t>
      </w:r>
      <w:r>
        <w:rPr>
          <w:rFonts w:hint="eastAsia" w:ascii="宋体" w:hAnsi="宋体"/>
          <w:snapToGrid w:val="0"/>
          <w:color w:val="auto"/>
          <w:sz w:val="21"/>
          <w:szCs w:val="21"/>
          <w:highlight w:val="none"/>
        </w:rPr>
        <w:t>，择优选定中标单位</w:t>
      </w:r>
      <w:r>
        <w:rPr>
          <w:rFonts w:ascii="宋体" w:hAnsi="宋体"/>
          <w:snapToGrid w:val="0"/>
          <w:color w:val="auto"/>
          <w:sz w:val="21"/>
          <w:szCs w:val="21"/>
          <w:highlight w:val="none"/>
        </w:rPr>
        <w:t>。</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（3）具体细则为：详见第四章评标细则。</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3、本工程过高或者过低的投标价格的具体标准为下列第</w:t>
      </w:r>
      <w:r>
        <w:rPr>
          <w:rFonts w:hint="eastAsia" w:ascii="宋体" w:hAnsi="宋体"/>
          <w:snapToGrid w:val="0"/>
          <w:color w:val="auto"/>
          <w:sz w:val="21"/>
          <w:szCs w:val="21"/>
          <w:highlight w:val="none"/>
          <w:u w:val="single"/>
        </w:rPr>
        <w:t xml:space="preserve">  （3） </w:t>
      </w:r>
      <w:r>
        <w:rPr>
          <w:rFonts w:hint="eastAsia" w:ascii="宋体" w:hAnsi="宋体"/>
          <w:snapToGrid w:val="0"/>
          <w:color w:val="auto"/>
          <w:sz w:val="21"/>
          <w:szCs w:val="21"/>
          <w:highlight w:val="none"/>
        </w:rPr>
        <w:t>种方式：</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（1）以招标人设定的招标控制价为标准；</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（2）以建设行政主管部门或者有关行业协会公布的信息指导价的一定幅度为标准；</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（3）以投标人投标价格的平均值的一定幅度为标准；</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4、过低的投标价格，评标委员会应当对与该价格相关的下类因素进行重点分析：</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(1）工程内容是否完整；</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(2）施工方法是否正确；</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(3）施工组织和技术处理是否合理、可行；</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(4）综合单价和单项费用金额的组成、工料机消耗及确定的费用、利润是否合理；</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(5）是否满足招标文件对主要材料的规格、型号等的特殊要求，确定的价格材料是否合理；</w:t>
      </w:r>
    </w:p>
    <w:p>
      <w:pPr>
        <w:tabs>
          <w:tab w:val="left" w:pos="0"/>
          <w:tab w:val="left" w:pos="993"/>
          <w:tab w:val="left" w:pos="1134"/>
        </w:tabs>
        <w:adjustRightInd w:val="0"/>
        <w:snapToGrid w:val="0"/>
        <w:spacing w:line="360" w:lineRule="auto"/>
        <w:ind w:left="284" w:firstLine="283"/>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(6）投标人对澄清要求所作的说明是否合理，提供的相关证明材料是否具有说服力</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投标人不能合理说明或者不能提供相关证明材料，或者不能提供相关证明材料，或者评标委员会有充分理由认定上述因素不能支持投标价格成立的，应当在评标报告中详细记录认定的理由和依据。</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5、评标委员会应当根据经评审不能成立的过低的投标价格与下列相应价格中的最高价之间的价差和招标文件规定的工程数量，计算出合价差或者单项费用差：</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(1）建设行政主管部门或者有关行业协会公布的信息指导价；</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(2）所有投标人相应投标价格中的平均价；</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所有合价差和单项费用差的总计金额大于投标文件列明的利润总额的，评标委员会应当认定该投标人以低于成本的价格投标，其投标文件无效。</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评标委员会不应当因为投标文件的部分项目存在不能成立的过低的投标价格而认定投标文件无效。</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7、评标过程中，数据和评分的计算过程和计算结果均保留两位小数，小数点后的第三位四舍五入。</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8、在评标过程中，评标委员会成员对同一问题意见不一致的，按照少数服从多数的原则形成评标结论。</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评标委员会完成评标后，应当拟订一份“标价比较表”或者“综合评估比较表”，连同书面清标情况报告和评标报告提交招标人，并抄送监督机构。</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评标报告由评标委员会全体成员签字。对评标结论持有异议的评标委员会成员可以以书面方式阐述其不同意见和理由。评标委员会成员拒绝在评标报告上签字且不陈述其不同意见和理由的，视为同意评标结论。评标委员会应当对此做出说明并记录在案。</w:t>
      </w:r>
    </w:p>
    <w:p>
      <w:pPr>
        <w:spacing w:line="360" w:lineRule="auto"/>
        <w:ind w:firstLine="567"/>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9、评标委员会应当依据法律、法规、规章和招标文件的规定认定重大偏差，不得随意确认无效投标文件。法律、法规、规章和招标文件未规定作为重大偏差的，一律作为细微偏差，评标委员会应当在初步评审中要求投标人补正。</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（二十）投标文件的澄清</w:t>
      </w:r>
    </w:p>
    <w:p>
      <w:pPr>
        <w:pStyle w:val="9"/>
        <w:tabs>
          <w:tab w:val="left" w:pos="284"/>
          <w:tab w:val="clear" w:pos="993"/>
          <w:tab w:val="clear" w:pos="1134"/>
        </w:tabs>
        <w:adjustRightInd w:val="0"/>
        <w:snapToGrid w:val="0"/>
        <w:spacing w:line="360" w:lineRule="auto"/>
        <w:ind w:left="284" w:firstLine="283"/>
        <w:rPr>
          <w:rFonts w:hint="eastAsia" w:hAnsi="宋体"/>
          <w:snapToGrid w:val="0"/>
          <w:color w:val="auto"/>
          <w:sz w:val="21"/>
          <w:szCs w:val="21"/>
          <w:highlight w:val="none"/>
        </w:rPr>
      </w:pPr>
      <w:r>
        <w:rPr>
          <w:rFonts w:hint="eastAsia" w:hAnsi="宋体"/>
          <w:snapToGrid w:val="0"/>
          <w:color w:val="auto"/>
          <w:sz w:val="21"/>
          <w:szCs w:val="21"/>
          <w:highlight w:val="none"/>
        </w:rPr>
        <w:t>1、为了有助于投标文件的审查、评价和比较，评标委员会可以书面方式要求投标人对投标文件中含义不明确、对同类问题表述不一致或者有明显文字和计算错误的内容作必要的澄清、说明或者补正。投标人的澄清、说明或者补正应以书面方式进行并不得超出投标文件的范围或者改变投标文件的实质性内容。</w:t>
      </w:r>
    </w:p>
    <w:p>
      <w:pPr>
        <w:pStyle w:val="9"/>
        <w:tabs>
          <w:tab w:val="left" w:pos="284"/>
          <w:tab w:val="clear" w:pos="993"/>
          <w:tab w:val="clear" w:pos="1134"/>
        </w:tabs>
        <w:adjustRightInd w:val="0"/>
        <w:snapToGrid w:val="0"/>
        <w:spacing w:line="360" w:lineRule="auto"/>
        <w:ind w:left="284" w:firstLine="280"/>
        <w:rPr>
          <w:rFonts w:hAnsi="宋体"/>
          <w:snapToGrid w:val="0"/>
          <w:color w:val="auto"/>
          <w:sz w:val="21"/>
          <w:szCs w:val="21"/>
          <w:highlight w:val="none"/>
        </w:rPr>
      </w:pPr>
      <w:r>
        <w:rPr>
          <w:rFonts w:hint="eastAsia" w:hAnsi="宋体"/>
          <w:snapToGrid w:val="0"/>
          <w:color w:val="auto"/>
          <w:sz w:val="21"/>
          <w:szCs w:val="21"/>
          <w:highlight w:val="none"/>
        </w:rPr>
        <w:t>2、评标委员会在评审过程中将对投标报价进行校核，并对有算术上的和累加运算上又差错给予修正。修正的原则如下：</w:t>
      </w:r>
    </w:p>
    <w:p>
      <w:pPr>
        <w:pStyle w:val="9"/>
        <w:adjustRightInd w:val="0"/>
        <w:snapToGrid w:val="0"/>
        <w:spacing w:line="360" w:lineRule="auto"/>
        <w:rPr>
          <w:rFonts w:hAnsi="宋体"/>
          <w:snapToGrid w:val="0"/>
          <w:color w:val="auto"/>
          <w:sz w:val="21"/>
          <w:szCs w:val="21"/>
          <w:highlight w:val="none"/>
        </w:rPr>
      </w:pPr>
      <w:r>
        <w:rPr>
          <w:rFonts w:hint="eastAsia" w:hAnsi="宋体"/>
          <w:snapToGrid w:val="0"/>
          <w:color w:val="auto"/>
          <w:sz w:val="21"/>
          <w:szCs w:val="21"/>
          <w:highlight w:val="none"/>
        </w:rPr>
        <w:t>（1）当用数字表示的数额与用文字表示的数额不一致时，以文字表示的数额为准；</w:t>
      </w:r>
    </w:p>
    <w:p>
      <w:pPr>
        <w:pStyle w:val="9"/>
        <w:adjustRightInd w:val="0"/>
        <w:snapToGrid w:val="0"/>
        <w:spacing w:line="360" w:lineRule="auto"/>
        <w:ind w:left="284" w:firstLine="283"/>
        <w:rPr>
          <w:rFonts w:hint="eastAsia" w:hAnsi="宋体"/>
          <w:snapToGrid w:val="0"/>
          <w:color w:val="auto"/>
          <w:sz w:val="21"/>
          <w:szCs w:val="21"/>
          <w:highlight w:val="none"/>
        </w:rPr>
      </w:pPr>
      <w:r>
        <w:rPr>
          <w:rFonts w:hint="eastAsia" w:hAnsi="宋体"/>
          <w:snapToGrid w:val="0"/>
          <w:color w:val="auto"/>
          <w:sz w:val="21"/>
          <w:szCs w:val="21"/>
          <w:highlight w:val="none"/>
        </w:rPr>
        <w:t>（2）当综合单价与工程量的乘积与总价之间不一致时，以综合单价为准。若单价有明显的小数点错位，应以标出的总价为准，并同时对综合单价予以修正。</w:t>
      </w:r>
    </w:p>
    <w:p>
      <w:pPr>
        <w:pStyle w:val="9"/>
        <w:adjustRightInd w:val="0"/>
        <w:snapToGrid w:val="0"/>
        <w:spacing w:line="360" w:lineRule="auto"/>
        <w:ind w:left="284" w:firstLine="283"/>
        <w:rPr>
          <w:rFonts w:hAnsi="宋体"/>
          <w:snapToGrid w:val="0"/>
          <w:color w:val="auto"/>
          <w:sz w:val="21"/>
          <w:szCs w:val="21"/>
          <w:highlight w:val="none"/>
        </w:rPr>
      </w:pPr>
      <w:r>
        <w:rPr>
          <w:rFonts w:hint="eastAsia" w:hAnsi="宋体"/>
          <w:snapToGrid w:val="0"/>
          <w:color w:val="auto"/>
          <w:sz w:val="21"/>
          <w:szCs w:val="21"/>
          <w:highlight w:val="none"/>
        </w:rPr>
        <w:t>（3）当各细目的合价累计不等于总价时，应以各细目合价累计数为准，修正总价。</w:t>
      </w:r>
    </w:p>
    <w:p>
      <w:pPr>
        <w:pStyle w:val="9"/>
        <w:adjustRightInd w:val="0"/>
        <w:snapToGrid w:val="0"/>
        <w:spacing w:line="360" w:lineRule="auto"/>
        <w:ind w:left="284" w:firstLine="280"/>
        <w:rPr>
          <w:rFonts w:hint="eastAsia" w:hAnsi="宋体"/>
          <w:snapToGrid w:val="0"/>
          <w:color w:val="auto"/>
          <w:sz w:val="21"/>
          <w:szCs w:val="21"/>
          <w:highlight w:val="none"/>
        </w:rPr>
      </w:pPr>
      <w:r>
        <w:rPr>
          <w:rFonts w:hint="eastAsia" w:hAnsi="宋体"/>
          <w:snapToGrid w:val="0"/>
          <w:color w:val="auto"/>
          <w:sz w:val="21"/>
          <w:szCs w:val="21"/>
          <w:highlight w:val="none"/>
        </w:rPr>
        <w:t>（4）工程量清单计价格式中列明的所有需要填报的单价和合价，投标人均应填报，未填报的单价和合价，视为此项费用已包含在工程量清单的其他单价和合价中。</w:t>
      </w:r>
    </w:p>
    <w:p>
      <w:pPr>
        <w:pStyle w:val="9"/>
        <w:adjustRightInd w:val="0"/>
        <w:snapToGrid w:val="0"/>
        <w:spacing w:line="360" w:lineRule="auto"/>
        <w:ind w:firstLine="564"/>
        <w:rPr>
          <w:rFonts w:hAnsi="宋体"/>
          <w:snapToGrid w:val="0"/>
          <w:color w:val="auto"/>
          <w:sz w:val="21"/>
          <w:szCs w:val="21"/>
          <w:highlight w:val="none"/>
        </w:rPr>
      </w:pPr>
      <w:r>
        <w:rPr>
          <w:rFonts w:hint="eastAsia" w:hAnsi="宋体"/>
          <w:snapToGrid w:val="0"/>
          <w:color w:val="auto"/>
          <w:sz w:val="21"/>
          <w:szCs w:val="21"/>
          <w:highlight w:val="none"/>
        </w:rPr>
        <w:t>（5）按前款规定调整后的报价经投标人</w:t>
      </w:r>
      <w:r>
        <w:rPr>
          <w:rFonts w:hint="eastAsia" w:hAnsi="宋体"/>
          <w:bCs/>
          <w:snapToGrid w:val="0"/>
          <w:color w:val="auto"/>
          <w:sz w:val="21"/>
          <w:szCs w:val="21"/>
          <w:highlight w:val="none"/>
        </w:rPr>
        <w:t>确认</w:t>
      </w:r>
      <w:r>
        <w:rPr>
          <w:rFonts w:hint="eastAsia" w:hAnsi="宋体"/>
          <w:snapToGrid w:val="0"/>
          <w:color w:val="auto"/>
          <w:sz w:val="21"/>
          <w:szCs w:val="21"/>
          <w:highlight w:val="none"/>
        </w:rPr>
        <w:t>后产生约束力。</w:t>
      </w:r>
    </w:p>
    <w:p>
      <w:pPr>
        <w:pStyle w:val="9"/>
        <w:adjustRightInd w:val="0"/>
        <w:snapToGrid w:val="0"/>
        <w:spacing w:line="360" w:lineRule="auto"/>
        <w:ind w:left="284" w:firstLine="280"/>
        <w:rPr>
          <w:rFonts w:hint="eastAsia" w:hAnsi="宋体"/>
          <w:snapToGrid w:val="0"/>
          <w:color w:val="auto"/>
          <w:sz w:val="21"/>
          <w:szCs w:val="21"/>
          <w:highlight w:val="none"/>
        </w:rPr>
      </w:pPr>
      <w:r>
        <w:rPr>
          <w:rFonts w:hint="eastAsia" w:hAnsi="宋体"/>
          <w:snapToGrid w:val="0"/>
          <w:color w:val="auto"/>
          <w:sz w:val="21"/>
          <w:szCs w:val="21"/>
          <w:highlight w:val="none"/>
        </w:rPr>
        <w:t>3、评标委员会按照上述规定的原则，要求投标人对相关内容进行澄清、说明或者补正、修正的，投标人应当按照要求进行澄清、说明或者补正、修正；投标人拒绝的，评标委员会可以否决其投标。</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（二十一）投标人资格条件不符合国家有关规定和招标文件要求的，或者拒不按照要求对投标文件进行澄清、说明或者补正的，评标委员会可以否决其投标。</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（二十二）在评标过程中，废标的认定：</w:t>
      </w:r>
    </w:p>
    <w:p>
      <w:pPr>
        <w:pStyle w:val="9"/>
        <w:adjustRightInd w:val="0"/>
        <w:snapToGrid w:val="0"/>
        <w:spacing w:line="360" w:lineRule="auto"/>
        <w:ind w:left="284" w:firstLine="280"/>
        <w:rPr>
          <w:rFonts w:hint="eastAsia" w:hAnsi="宋体"/>
          <w:snapToGrid w:val="0"/>
          <w:color w:val="auto"/>
          <w:sz w:val="21"/>
          <w:szCs w:val="21"/>
          <w:highlight w:val="none"/>
        </w:rPr>
      </w:pPr>
      <w:r>
        <w:rPr>
          <w:rFonts w:hint="eastAsia" w:hAnsi="宋体"/>
          <w:snapToGrid w:val="0"/>
          <w:color w:val="auto"/>
          <w:sz w:val="21"/>
          <w:szCs w:val="21"/>
          <w:highlight w:val="none"/>
        </w:rPr>
        <w:t>1、在评标过程中，评标委员会若发现投标人以他人的名义投标、串通投标、以行贿手段谋取中标或者以其他弄虚作假方式投标的，该投标人的投标将作废标处理。</w:t>
      </w:r>
    </w:p>
    <w:p>
      <w:pPr>
        <w:pStyle w:val="9"/>
        <w:adjustRightInd w:val="0"/>
        <w:snapToGrid w:val="0"/>
        <w:spacing w:line="360" w:lineRule="auto"/>
        <w:ind w:left="284" w:firstLine="280"/>
        <w:rPr>
          <w:rFonts w:hint="eastAsia" w:hAnsi="宋体"/>
          <w:snapToGrid w:val="0"/>
          <w:color w:val="auto"/>
          <w:sz w:val="21"/>
          <w:szCs w:val="21"/>
          <w:highlight w:val="none"/>
        </w:rPr>
      </w:pPr>
      <w:r>
        <w:rPr>
          <w:rFonts w:hint="eastAsia" w:hAnsi="宋体"/>
          <w:snapToGrid w:val="0"/>
          <w:color w:val="auto"/>
          <w:sz w:val="21"/>
          <w:szCs w:val="21"/>
          <w:highlight w:val="none"/>
        </w:rPr>
        <w:t>2、在评标过程中，评标委员会若发现投标人的报价明显低于其他投标报价或者明显低于标底，使得其投标报价可能低于其个别成本的，将要求该投标人作出书面说明并提供相关证明材料。投标人不能合理说明或者不能提供相关证明材料的，由评标委员会认定该投标人以低于成本报价竞标，其投标将作废标处理。</w:t>
      </w:r>
    </w:p>
    <w:p>
      <w:pPr>
        <w:pStyle w:val="9"/>
        <w:adjustRightInd w:val="0"/>
        <w:snapToGrid w:val="0"/>
        <w:spacing w:line="360" w:lineRule="auto"/>
        <w:ind w:left="284" w:firstLine="280"/>
        <w:rPr>
          <w:rFonts w:hint="eastAsia" w:hAnsi="宋体"/>
          <w:snapToGrid w:val="0"/>
          <w:color w:val="auto"/>
          <w:sz w:val="21"/>
          <w:szCs w:val="21"/>
          <w:highlight w:val="none"/>
        </w:rPr>
      </w:pPr>
      <w:r>
        <w:rPr>
          <w:rFonts w:hint="eastAsia" w:hAnsi="宋体"/>
          <w:snapToGrid w:val="0"/>
          <w:color w:val="auto"/>
          <w:sz w:val="21"/>
          <w:szCs w:val="21"/>
          <w:highlight w:val="none"/>
        </w:rPr>
        <w:t>3、评标委员会将审查每一投标文件是否对招标文件提出的所有实质性要求和条件作出响应。未能在实质上响应的投标，将作废标处理</w:t>
      </w:r>
    </w:p>
    <w:p>
      <w:pPr>
        <w:adjustRightInd w:val="0"/>
        <w:snapToGrid w:val="0"/>
        <w:spacing w:line="360" w:lineRule="auto"/>
        <w:ind w:firstLine="240"/>
        <w:jc w:val="both"/>
        <w:rPr>
          <w:rFonts w:hint="eastAsia" w:ascii="宋体" w:hAnsi="宋体"/>
          <w:b/>
          <w:snapToGrid w:val="0"/>
          <w:color w:val="auto"/>
          <w:sz w:val="21"/>
          <w:szCs w:val="21"/>
          <w:highlight w:val="none"/>
        </w:rPr>
      </w:pPr>
      <w:r>
        <w:rPr>
          <w:rFonts w:hint="eastAsia" w:ascii="宋体" w:hAnsi="宋体"/>
          <w:b/>
          <w:snapToGrid w:val="0"/>
          <w:color w:val="auto"/>
          <w:sz w:val="21"/>
          <w:szCs w:val="21"/>
          <w:highlight w:val="none"/>
        </w:rPr>
        <w:t>（二十三）投标文件有下述情形之一的，属于重大偏差，视为未能对招标文件作出实质性响应，并按前条规定作废标处理：</w:t>
      </w:r>
    </w:p>
    <w:p>
      <w:pPr>
        <w:pStyle w:val="9"/>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1．投标文件中的投标函未加盖投标人的公章及企业法定代表人印章的，或者企业法定代表人委托代理人没有合法、有效的委托书（原件）及委托代理人印章的；</w:t>
      </w:r>
    </w:p>
    <w:p>
      <w:pPr>
        <w:pStyle w:val="9"/>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2．未按招标文件要求提供投标保证金的；</w:t>
      </w:r>
      <w:r>
        <w:rPr>
          <w:rFonts w:hAnsi="宋体"/>
          <w:snapToGrid w:val="0"/>
          <w:color w:val="auto"/>
          <w:sz w:val="21"/>
          <w:szCs w:val="21"/>
          <w:highlight w:val="none"/>
        </w:rPr>
        <w:t xml:space="preserve"> </w:t>
      </w:r>
    </w:p>
    <w:p>
      <w:pPr>
        <w:pStyle w:val="9"/>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3．未按招标文件规定的格式填写，内容不全或关键字迹模糊、无法辨认的；</w:t>
      </w:r>
      <w:r>
        <w:rPr>
          <w:rFonts w:hAnsi="宋体"/>
          <w:snapToGrid w:val="0"/>
          <w:color w:val="auto"/>
          <w:sz w:val="21"/>
          <w:szCs w:val="21"/>
          <w:highlight w:val="none"/>
        </w:rPr>
        <w:t xml:space="preserve"> </w:t>
      </w:r>
    </w:p>
    <w:p>
      <w:pPr>
        <w:pStyle w:val="9"/>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4．投标人递交两份或多份内容不同的投标文件，或在一份投标文件中对同一招标项目报有两个或多个报价，且未声明哪一个有效，按招标文件规定提交备选投标方案的除外；</w:t>
      </w:r>
      <w:r>
        <w:rPr>
          <w:rFonts w:hAnsi="宋体"/>
          <w:snapToGrid w:val="0"/>
          <w:color w:val="auto"/>
          <w:sz w:val="21"/>
          <w:szCs w:val="21"/>
          <w:highlight w:val="none"/>
        </w:rPr>
        <w:t xml:space="preserve"> </w:t>
      </w:r>
    </w:p>
    <w:p>
      <w:pPr>
        <w:pStyle w:val="9"/>
        <w:adjustRightInd w:val="0"/>
        <w:snapToGrid w:val="0"/>
        <w:spacing w:line="360" w:lineRule="auto"/>
        <w:ind w:firstLine="0"/>
        <w:rPr>
          <w:rFonts w:hint="eastAsia" w:hAnsi="宋体"/>
          <w:bCs/>
          <w:snapToGrid w:val="0"/>
          <w:color w:val="auto"/>
          <w:sz w:val="21"/>
          <w:szCs w:val="21"/>
          <w:highlight w:val="none"/>
        </w:rPr>
      </w:pPr>
      <w:r>
        <w:rPr>
          <w:rFonts w:hint="eastAsia" w:hAnsi="宋体"/>
          <w:snapToGrid w:val="0"/>
          <w:color w:val="auto"/>
          <w:sz w:val="21"/>
          <w:szCs w:val="21"/>
          <w:highlight w:val="none"/>
        </w:rPr>
        <w:t>5．</w:t>
      </w:r>
      <w:r>
        <w:rPr>
          <w:rFonts w:hint="eastAsia" w:hAnsi="宋体"/>
          <w:bCs/>
          <w:snapToGrid w:val="0"/>
          <w:color w:val="auto"/>
          <w:sz w:val="21"/>
          <w:szCs w:val="21"/>
          <w:highlight w:val="none"/>
        </w:rPr>
        <w:t>投标人名称或组织结构与资格预审时不一致的；</w:t>
      </w:r>
    </w:p>
    <w:p>
      <w:pPr>
        <w:pStyle w:val="9"/>
        <w:adjustRightInd w:val="0"/>
        <w:snapToGrid w:val="0"/>
        <w:spacing w:line="360" w:lineRule="auto"/>
        <w:ind w:firstLine="0"/>
        <w:rPr>
          <w:rFonts w:hint="eastAsia" w:hAnsi="宋体"/>
          <w:bCs/>
          <w:snapToGrid w:val="0"/>
          <w:color w:val="auto"/>
          <w:sz w:val="21"/>
          <w:szCs w:val="21"/>
          <w:highlight w:val="none"/>
        </w:rPr>
      </w:pPr>
      <w:r>
        <w:rPr>
          <w:rFonts w:hint="eastAsia" w:hAnsi="宋体"/>
          <w:bCs/>
          <w:snapToGrid w:val="0"/>
          <w:color w:val="auto"/>
          <w:sz w:val="21"/>
          <w:szCs w:val="21"/>
          <w:highlight w:val="none"/>
        </w:rPr>
        <w:t>6.除在投标文件截止时间前经招标人书面同意外，项目经理与投标报名时不一致的；</w:t>
      </w:r>
    </w:p>
    <w:p>
      <w:pPr>
        <w:pStyle w:val="9"/>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7.投标人资格条件不符合国家有关规定或招标文件要求的；</w:t>
      </w:r>
    </w:p>
    <w:p>
      <w:pPr>
        <w:pStyle w:val="9"/>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8．投标文件载明的招标项目完成期限超过招标文件规定的期限；</w:t>
      </w:r>
      <w:r>
        <w:rPr>
          <w:rFonts w:hAnsi="宋体"/>
          <w:snapToGrid w:val="0"/>
          <w:color w:val="auto"/>
          <w:sz w:val="21"/>
          <w:szCs w:val="21"/>
          <w:highlight w:val="none"/>
        </w:rPr>
        <w:t xml:space="preserve"> </w:t>
      </w:r>
    </w:p>
    <w:p>
      <w:pPr>
        <w:pStyle w:val="9"/>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9．明显不符合技术规范、技术标准的要求；</w:t>
      </w:r>
      <w:r>
        <w:rPr>
          <w:rFonts w:hAnsi="宋体"/>
          <w:snapToGrid w:val="0"/>
          <w:color w:val="auto"/>
          <w:sz w:val="21"/>
          <w:szCs w:val="21"/>
          <w:highlight w:val="none"/>
        </w:rPr>
        <w:t xml:space="preserve"> </w:t>
      </w:r>
    </w:p>
    <w:p>
      <w:pPr>
        <w:pStyle w:val="9"/>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10．投标报价超过招标文件规定的最高限价的；</w:t>
      </w:r>
    </w:p>
    <w:p>
      <w:pPr>
        <w:pStyle w:val="9"/>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11．不同投标人的投标文件出现了评标委员会认为不应当雷同的情况；</w:t>
      </w:r>
    </w:p>
    <w:p>
      <w:pPr>
        <w:pStyle w:val="9"/>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12．改变招标文件提供的工程量清单中的项目编码、项目名称、项目特征、计量单位、工程数量；</w:t>
      </w:r>
    </w:p>
    <w:p>
      <w:pPr>
        <w:pStyle w:val="9"/>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13．改变招标文件规定的暂估价、暂列金额或不可竞争费用的； </w:t>
      </w:r>
      <w:r>
        <w:rPr>
          <w:rFonts w:hAnsi="宋体"/>
          <w:snapToGrid w:val="0"/>
          <w:color w:val="auto"/>
          <w:sz w:val="21"/>
          <w:szCs w:val="21"/>
          <w:highlight w:val="none"/>
        </w:rPr>
        <w:t xml:space="preserve"> </w:t>
      </w:r>
    </w:p>
    <w:p>
      <w:pPr>
        <w:pStyle w:val="9"/>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14．投标文件载明的货物包装方式、检验标准和方法等不符合招标文件的要求；</w:t>
      </w:r>
      <w:r>
        <w:rPr>
          <w:rFonts w:hAnsi="宋体"/>
          <w:snapToGrid w:val="0"/>
          <w:color w:val="auto"/>
          <w:sz w:val="21"/>
          <w:szCs w:val="21"/>
          <w:highlight w:val="none"/>
        </w:rPr>
        <w:t xml:space="preserve"> </w:t>
      </w:r>
    </w:p>
    <w:p>
      <w:pPr>
        <w:pStyle w:val="9"/>
        <w:adjustRightInd w:val="0"/>
        <w:snapToGrid w:val="0"/>
        <w:spacing w:line="360" w:lineRule="auto"/>
        <w:ind w:firstLine="0"/>
        <w:rPr>
          <w:rFonts w:hAnsi="宋体"/>
          <w:snapToGrid w:val="0"/>
          <w:color w:val="auto"/>
          <w:sz w:val="21"/>
          <w:szCs w:val="21"/>
          <w:highlight w:val="none"/>
        </w:rPr>
      </w:pPr>
      <w:r>
        <w:rPr>
          <w:rFonts w:hint="eastAsia" w:hAnsi="宋体"/>
          <w:snapToGrid w:val="0"/>
          <w:color w:val="auto"/>
          <w:sz w:val="21"/>
          <w:szCs w:val="21"/>
          <w:highlight w:val="none"/>
        </w:rPr>
        <w:t>15．投标文件提出了不能满足招标文件要求或招标人不能接受的工程验收、计量、价款结算支付办法；</w:t>
      </w:r>
      <w:r>
        <w:rPr>
          <w:rFonts w:hAnsi="宋体"/>
          <w:snapToGrid w:val="0"/>
          <w:color w:val="auto"/>
          <w:sz w:val="21"/>
          <w:szCs w:val="21"/>
          <w:highlight w:val="none"/>
        </w:rPr>
        <w:t xml:space="preserve"> </w:t>
      </w:r>
    </w:p>
    <w:p>
      <w:pPr>
        <w:pStyle w:val="9"/>
        <w:adjustRightInd w:val="0"/>
        <w:snapToGrid w:val="0"/>
        <w:spacing w:line="360" w:lineRule="auto"/>
        <w:ind w:firstLine="0"/>
        <w:rPr>
          <w:rFonts w:hint="eastAsia" w:hAnsi="宋体"/>
          <w:snapToGrid w:val="0"/>
          <w:color w:val="auto"/>
          <w:sz w:val="21"/>
          <w:szCs w:val="21"/>
          <w:highlight w:val="none"/>
        </w:rPr>
      </w:pPr>
      <w:r>
        <w:rPr>
          <w:rFonts w:hint="eastAsia" w:hAnsi="宋体"/>
          <w:snapToGrid w:val="0"/>
          <w:color w:val="auto"/>
          <w:sz w:val="21"/>
          <w:szCs w:val="21"/>
          <w:highlight w:val="none"/>
        </w:rPr>
        <w:t>16．以他人的名义投标、串通投标、以行贿手段谋取中标或者以其他弄虚作假方式投标的；</w:t>
      </w:r>
    </w:p>
    <w:p>
      <w:pPr>
        <w:pStyle w:val="9"/>
        <w:adjustRightInd w:val="0"/>
        <w:snapToGrid w:val="0"/>
        <w:spacing w:line="360" w:lineRule="auto"/>
        <w:ind w:firstLine="0"/>
        <w:rPr>
          <w:rFonts w:hint="eastAsia" w:hAnsi="宋体"/>
          <w:snapToGrid w:val="0"/>
          <w:color w:val="auto"/>
          <w:sz w:val="21"/>
          <w:szCs w:val="21"/>
          <w:highlight w:val="none"/>
        </w:rPr>
      </w:pPr>
      <w:r>
        <w:rPr>
          <w:rFonts w:hint="eastAsia" w:hAnsi="宋体"/>
          <w:snapToGrid w:val="0"/>
          <w:color w:val="auto"/>
          <w:sz w:val="21"/>
          <w:szCs w:val="21"/>
          <w:highlight w:val="none"/>
        </w:rPr>
        <w:t>17．经评标委员会认定投标人的投标报价低于成本价的；</w:t>
      </w:r>
    </w:p>
    <w:p>
      <w:pPr>
        <w:pStyle w:val="9"/>
        <w:adjustRightInd w:val="0"/>
        <w:snapToGrid w:val="0"/>
        <w:spacing w:line="360" w:lineRule="auto"/>
        <w:ind w:firstLine="0"/>
        <w:rPr>
          <w:rFonts w:hint="eastAsia" w:hAnsi="宋体"/>
          <w:snapToGrid w:val="0"/>
          <w:color w:val="auto"/>
          <w:sz w:val="21"/>
          <w:szCs w:val="21"/>
          <w:highlight w:val="none"/>
        </w:rPr>
      </w:pPr>
      <w:r>
        <w:rPr>
          <w:rFonts w:hint="eastAsia" w:hAnsi="宋体"/>
          <w:snapToGrid w:val="0"/>
          <w:color w:val="auto"/>
          <w:sz w:val="21"/>
          <w:szCs w:val="21"/>
          <w:highlight w:val="none"/>
        </w:rPr>
        <w:t>18. 组成联合体投标的，投标文件未附联合体各方共同投标协议的。</w:t>
      </w:r>
    </w:p>
    <w:p>
      <w:pPr>
        <w:pStyle w:val="9"/>
        <w:adjustRightInd w:val="0"/>
        <w:snapToGrid w:val="0"/>
        <w:spacing w:line="360" w:lineRule="auto"/>
        <w:ind w:firstLine="0"/>
        <w:rPr>
          <w:rFonts w:hint="eastAsia" w:hAnsi="宋体"/>
          <w:snapToGrid w:val="0"/>
          <w:color w:val="auto"/>
          <w:sz w:val="21"/>
          <w:szCs w:val="21"/>
          <w:highlight w:val="none"/>
        </w:rPr>
      </w:pPr>
      <w:r>
        <w:rPr>
          <w:rFonts w:hint="eastAsia" w:hAnsi="宋体"/>
          <w:snapToGrid w:val="0"/>
          <w:color w:val="auto"/>
          <w:sz w:val="21"/>
          <w:szCs w:val="21"/>
          <w:highlight w:val="none"/>
        </w:rPr>
        <w:t>19. 法律、法规规定的其他废标情形或本招标文件规定的其他废标情形。</w:t>
      </w:r>
    </w:p>
    <w:p>
      <w:pPr>
        <w:pStyle w:val="9"/>
        <w:adjustRightInd w:val="0"/>
        <w:snapToGrid w:val="0"/>
        <w:spacing w:line="360" w:lineRule="auto"/>
        <w:ind w:firstLine="371" w:firstLineChars="177"/>
        <w:rPr>
          <w:rFonts w:hint="eastAsia" w:hAnsi="宋体"/>
          <w:snapToGrid w:val="0"/>
          <w:color w:val="auto"/>
          <w:sz w:val="21"/>
          <w:szCs w:val="21"/>
          <w:highlight w:val="none"/>
        </w:rPr>
      </w:pPr>
      <w:r>
        <w:rPr>
          <w:rFonts w:hint="eastAsia" w:hAnsi="宋体"/>
          <w:snapToGrid w:val="0"/>
          <w:color w:val="auto"/>
          <w:sz w:val="21"/>
          <w:szCs w:val="21"/>
          <w:highlight w:val="none"/>
        </w:rPr>
        <w:t>评标委员会根据规定否决不合格投标或者界定为废标后，因有效投标不足三个使得投标明显缺乏竞争的，评标委员会可以否决全部投标。所有投标被否决的，招标人依法重新招标。</w:t>
      </w:r>
    </w:p>
    <w:p>
      <w:pPr>
        <w:pStyle w:val="9"/>
        <w:adjustRightInd w:val="0"/>
        <w:snapToGrid w:val="0"/>
        <w:spacing w:line="360" w:lineRule="auto"/>
        <w:ind w:firstLine="371" w:firstLineChars="177"/>
        <w:rPr>
          <w:rFonts w:hAnsi="宋体"/>
          <w:snapToGrid w:val="0"/>
          <w:color w:val="auto"/>
          <w:sz w:val="21"/>
          <w:szCs w:val="21"/>
          <w:highlight w:val="none"/>
        </w:rPr>
      </w:pPr>
      <w:r>
        <w:rPr>
          <w:rFonts w:hint="eastAsia" w:hAnsi="宋体"/>
          <w:snapToGrid w:val="0"/>
          <w:color w:val="auto"/>
          <w:sz w:val="21"/>
          <w:szCs w:val="21"/>
          <w:highlight w:val="none"/>
        </w:rPr>
        <w:t>评标委员会应当依据法律、法规和招标文件的规定认定重大偏差，不得随意确认无效投标文件。法律、法规招标文件未规定作为重大偏差的，一律作为细微偏差，评标委员会应当在初步评审中要求投标人补正。</w:t>
      </w:r>
    </w:p>
    <w:p>
      <w:pPr>
        <w:adjustRightInd w:val="0"/>
        <w:snapToGrid w:val="0"/>
        <w:spacing w:line="360" w:lineRule="auto"/>
        <w:ind w:firstLine="240"/>
        <w:jc w:val="both"/>
        <w:rPr>
          <w:rFonts w:hint="eastAsia" w:ascii="宋体" w:hAnsi="宋体"/>
          <w:bCs/>
          <w:snapToGrid w:val="0"/>
          <w:color w:val="auto"/>
          <w:sz w:val="21"/>
          <w:szCs w:val="21"/>
          <w:highlight w:val="none"/>
        </w:rPr>
      </w:pPr>
      <w:r>
        <w:rPr>
          <w:rFonts w:hint="eastAsia" w:ascii="宋体" w:hAnsi="宋体"/>
          <w:bCs/>
          <w:snapToGrid w:val="0"/>
          <w:color w:val="auto"/>
          <w:sz w:val="21"/>
          <w:szCs w:val="21"/>
          <w:highlight w:val="none"/>
        </w:rPr>
        <w:t>（二十四）评标和定标将在投标有效期结束日30</w:t>
      </w:r>
      <w:r>
        <w:rPr>
          <w:rFonts w:ascii="宋体" w:hAnsi="宋体"/>
          <w:bCs/>
          <w:snapToGrid w:val="0"/>
          <w:color w:val="auto"/>
          <w:sz w:val="21"/>
          <w:szCs w:val="21"/>
          <w:highlight w:val="none"/>
        </w:rPr>
        <w:t>个工作日前完成。不能在投标有效期结束日</w:t>
      </w:r>
      <w:r>
        <w:rPr>
          <w:rFonts w:hint="eastAsia" w:ascii="宋体" w:hAnsi="宋体"/>
          <w:bCs/>
          <w:snapToGrid w:val="0"/>
          <w:color w:val="auto"/>
          <w:sz w:val="21"/>
          <w:szCs w:val="21"/>
          <w:highlight w:val="none"/>
        </w:rPr>
        <w:t>30</w:t>
      </w:r>
      <w:r>
        <w:rPr>
          <w:rFonts w:ascii="宋体" w:hAnsi="宋体"/>
          <w:bCs/>
          <w:snapToGrid w:val="0"/>
          <w:color w:val="auto"/>
          <w:sz w:val="21"/>
          <w:szCs w:val="21"/>
          <w:highlight w:val="none"/>
        </w:rPr>
        <w:t>个工作日前完成评标和定标的，招标人</w:t>
      </w:r>
      <w:r>
        <w:rPr>
          <w:rFonts w:hint="eastAsia" w:ascii="宋体" w:hAnsi="宋体"/>
          <w:bCs/>
          <w:snapToGrid w:val="0"/>
          <w:color w:val="auto"/>
          <w:sz w:val="21"/>
          <w:szCs w:val="21"/>
          <w:highlight w:val="none"/>
        </w:rPr>
        <w:t>将</w:t>
      </w:r>
      <w:r>
        <w:rPr>
          <w:rFonts w:ascii="宋体" w:hAnsi="宋体"/>
          <w:bCs/>
          <w:snapToGrid w:val="0"/>
          <w:color w:val="auto"/>
          <w:sz w:val="21"/>
          <w:szCs w:val="21"/>
          <w:highlight w:val="none"/>
        </w:rPr>
        <w:t>通知所有投标人延长投标有效期。拒绝延长投标有效期的投标人有权收回投标保证金。同意延长投标有效期的投标人应当相应延长其投标担保的有效期，但不得修改投标文件的实质性内容。因延长投标有效期造成投标人损失的，招标人</w:t>
      </w:r>
      <w:r>
        <w:rPr>
          <w:rFonts w:hint="eastAsia" w:ascii="宋体" w:hAnsi="宋体"/>
          <w:bCs/>
          <w:snapToGrid w:val="0"/>
          <w:color w:val="auto"/>
          <w:sz w:val="21"/>
          <w:szCs w:val="21"/>
          <w:highlight w:val="none"/>
        </w:rPr>
        <w:t>将</w:t>
      </w:r>
      <w:r>
        <w:rPr>
          <w:rFonts w:ascii="宋体" w:hAnsi="宋体"/>
          <w:bCs/>
          <w:snapToGrid w:val="0"/>
          <w:color w:val="auto"/>
          <w:sz w:val="21"/>
          <w:szCs w:val="21"/>
          <w:highlight w:val="none"/>
        </w:rPr>
        <w:t>给予补偿，但因不可抗力需延长投标有效期的除外。</w:t>
      </w:r>
    </w:p>
    <w:p>
      <w:pPr>
        <w:pStyle w:val="4"/>
        <w:jc w:val="center"/>
        <w:rPr>
          <w:rFonts w:hint="eastAsia" w:ascii="宋体" w:hAnsi="宋体" w:eastAsia="宋体"/>
          <w:b/>
          <w:snapToGrid w:val="0"/>
          <w:color w:val="auto"/>
          <w:sz w:val="28"/>
          <w:szCs w:val="28"/>
          <w:highlight w:val="none"/>
        </w:rPr>
      </w:pPr>
      <w:bookmarkStart w:id="16" w:name="_Toc9360"/>
      <w:bookmarkStart w:id="17" w:name="_Toc11055320"/>
      <w:r>
        <w:rPr>
          <w:rFonts w:hint="eastAsia" w:ascii="宋体" w:hAnsi="宋体" w:eastAsia="宋体"/>
          <w:b/>
          <w:snapToGrid w:val="0"/>
          <w:color w:val="auto"/>
          <w:sz w:val="28"/>
          <w:szCs w:val="28"/>
          <w:highlight w:val="none"/>
        </w:rPr>
        <w:t>八、授  予  合  同</w:t>
      </w:r>
      <w:bookmarkEnd w:id="16"/>
      <w:bookmarkEnd w:id="17"/>
    </w:p>
    <w:p>
      <w:pPr>
        <w:tabs>
          <w:tab w:val="left" w:pos="0"/>
          <w:tab w:val="left" w:pos="993"/>
          <w:tab w:val="left" w:pos="1134"/>
        </w:tabs>
        <w:adjustRightInd w:val="0"/>
        <w:snapToGrid w:val="0"/>
        <w:spacing w:line="360" w:lineRule="auto"/>
        <w:ind w:firstLine="333" w:firstLineChars="159"/>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（二十二）中标</w:t>
      </w:r>
    </w:p>
    <w:p>
      <w:pPr>
        <w:numPr>
          <w:ilvl w:val="0"/>
          <w:numId w:val="6"/>
        </w:numPr>
        <w:tabs>
          <w:tab w:val="left" w:pos="0"/>
          <w:tab w:val="left" w:pos="1134"/>
        </w:tabs>
        <w:adjustRightInd w:val="0"/>
        <w:snapToGrid w:val="0"/>
        <w:spacing w:line="360" w:lineRule="auto"/>
        <w:ind w:left="0" w:firstLine="567"/>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确定中标单位后，招标人将进行中标公示，公示</w:t>
      </w:r>
      <w:r>
        <w:rPr>
          <w:rFonts w:hint="eastAsia" w:ascii="宋体" w:hAnsi="宋体"/>
          <w:snapToGrid w:val="0"/>
          <w:color w:val="auto"/>
          <w:sz w:val="21"/>
          <w:szCs w:val="21"/>
          <w:highlight w:val="none"/>
          <w:lang w:eastAsia="zh-CN"/>
        </w:rPr>
        <w:t>三</w:t>
      </w:r>
      <w:r>
        <w:rPr>
          <w:rFonts w:hint="eastAsia" w:ascii="宋体" w:hAnsi="宋体"/>
          <w:snapToGrid w:val="0"/>
          <w:color w:val="auto"/>
          <w:sz w:val="21"/>
          <w:szCs w:val="21"/>
          <w:highlight w:val="none"/>
        </w:rPr>
        <w:t>天，如无异议，招标人向中标单位发出中标通知书，并同时将中标结果通知所有未中标的投标人。中标通知书将成为合同的组成部分。</w:t>
      </w:r>
    </w:p>
    <w:p>
      <w:pPr>
        <w:numPr>
          <w:ilvl w:val="0"/>
          <w:numId w:val="6"/>
        </w:numPr>
        <w:tabs>
          <w:tab w:val="left" w:pos="0"/>
          <w:tab w:val="left" w:pos="1134"/>
        </w:tabs>
        <w:adjustRightInd w:val="0"/>
        <w:snapToGrid w:val="0"/>
        <w:spacing w:line="360" w:lineRule="auto"/>
        <w:ind w:left="0" w:firstLine="567"/>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中标单位收到中标通知书后，应在</w:t>
      </w:r>
      <w:r>
        <w:rPr>
          <w:rFonts w:hint="eastAsia" w:ascii="宋体" w:hAnsi="宋体"/>
          <w:snapToGrid w:val="0"/>
          <w:color w:val="auto"/>
          <w:sz w:val="21"/>
          <w:szCs w:val="21"/>
          <w:highlight w:val="none"/>
          <w:lang w:val="en-US" w:eastAsia="zh-CN"/>
        </w:rPr>
        <w:t>30</w:t>
      </w:r>
      <w:r>
        <w:rPr>
          <w:rFonts w:hint="eastAsia" w:ascii="宋体" w:hAnsi="宋体"/>
          <w:snapToGrid w:val="0"/>
          <w:color w:val="auto"/>
          <w:sz w:val="21"/>
          <w:szCs w:val="21"/>
          <w:highlight w:val="none"/>
        </w:rPr>
        <w:t>日内与招标人签订施工合同。中标人不与招标人订立合同的，投标保证金不予退还并取消其中标资格，给招标人造成的损失超过投标保证金数额的，应当对超过部分予以赔偿。</w:t>
      </w:r>
    </w:p>
    <w:p>
      <w:pPr>
        <w:tabs>
          <w:tab w:val="left" w:pos="0"/>
          <w:tab w:val="left" w:pos="993"/>
          <w:tab w:val="left" w:pos="1134"/>
        </w:tabs>
        <w:adjustRightInd w:val="0"/>
        <w:snapToGrid w:val="0"/>
        <w:spacing w:line="360" w:lineRule="auto"/>
        <w:ind w:firstLine="333" w:firstLineChars="159"/>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（二十三）合同签订</w:t>
      </w:r>
    </w:p>
    <w:p>
      <w:pPr>
        <w:numPr>
          <w:ilvl w:val="0"/>
          <w:numId w:val="7"/>
        </w:numPr>
        <w:tabs>
          <w:tab w:val="left" w:pos="0"/>
          <w:tab w:val="left" w:pos="1002"/>
          <w:tab w:val="left" w:pos="1134"/>
        </w:tabs>
        <w:adjustRightInd w:val="0"/>
        <w:snapToGrid w:val="0"/>
        <w:spacing w:line="360" w:lineRule="auto"/>
        <w:ind w:left="0" w:firstLine="567"/>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招标人与中标人将根据《中华人民共和国</w:t>
      </w:r>
      <w:r>
        <w:rPr>
          <w:rFonts w:hint="eastAsia" w:ascii="宋体" w:hAnsi="宋体"/>
          <w:snapToGrid w:val="0"/>
          <w:color w:val="auto"/>
          <w:sz w:val="21"/>
          <w:szCs w:val="21"/>
          <w:highlight w:val="none"/>
          <w:lang w:eastAsia="zh-CN"/>
        </w:rPr>
        <w:t>民法典</w:t>
      </w:r>
      <w:r>
        <w:rPr>
          <w:rFonts w:hint="eastAsia" w:ascii="宋体" w:hAnsi="宋体"/>
          <w:snapToGrid w:val="0"/>
          <w:color w:val="auto"/>
          <w:sz w:val="21"/>
          <w:szCs w:val="21"/>
          <w:highlight w:val="none"/>
        </w:rPr>
        <w:t>》的规定，依据招标文件和投标文件签订施工合同。</w:t>
      </w:r>
    </w:p>
    <w:p>
      <w:pPr>
        <w:numPr>
          <w:ilvl w:val="0"/>
          <w:numId w:val="7"/>
        </w:numPr>
        <w:tabs>
          <w:tab w:val="left" w:pos="0"/>
          <w:tab w:val="left" w:pos="1002"/>
          <w:tab w:val="left" w:pos="1134"/>
        </w:tabs>
        <w:adjustRightInd w:val="0"/>
        <w:snapToGrid w:val="0"/>
        <w:spacing w:line="360" w:lineRule="auto"/>
        <w:ind w:left="0" w:firstLine="567"/>
        <w:jc w:val="both"/>
        <w:rPr>
          <w:rFonts w:hint="eastAsia" w:ascii="宋体" w:hAnsi="宋体"/>
          <w:snapToGrid w:val="0"/>
          <w:color w:val="auto"/>
          <w:sz w:val="21"/>
          <w:szCs w:val="21"/>
          <w:highlight w:val="none"/>
        </w:rPr>
      </w:pPr>
      <w:r>
        <w:rPr>
          <w:rFonts w:hint="eastAsia" w:ascii="宋体" w:hAnsi="宋体"/>
          <w:snapToGrid w:val="0"/>
          <w:color w:val="auto"/>
          <w:sz w:val="21"/>
          <w:szCs w:val="21"/>
          <w:highlight w:val="none"/>
        </w:rPr>
        <w:t>开标结束后，中标单位在签订合同前需缴纳履约保证金为合同价的10%，竣工验收合格后无息退还。</w:t>
      </w:r>
    </w:p>
    <w:p>
      <w:pPr>
        <w:tabs>
          <w:tab w:val="left" w:pos="0"/>
          <w:tab w:val="left" w:pos="993"/>
          <w:tab w:val="left" w:pos="1134"/>
        </w:tabs>
        <w:adjustRightInd w:val="0"/>
        <w:snapToGrid w:val="0"/>
        <w:spacing w:line="360" w:lineRule="auto"/>
        <w:ind w:right="-246" w:rightChars="-123"/>
        <w:jc w:val="both"/>
        <w:outlineLvl w:val="0"/>
        <w:rPr>
          <w:rFonts w:hint="eastAsia" w:ascii="宋体" w:hAnsi="宋体"/>
          <w:snapToGrid w:val="0"/>
          <w:color w:val="auto"/>
          <w:sz w:val="21"/>
          <w:szCs w:val="21"/>
          <w:highlight w:val="none"/>
        </w:rPr>
      </w:pPr>
    </w:p>
    <w:p>
      <w:pPr>
        <w:tabs>
          <w:tab w:val="left" w:pos="0"/>
          <w:tab w:val="left" w:pos="993"/>
          <w:tab w:val="left" w:pos="1134"/>
        </w:tabs>
        <w:adjustRightInd w:val="0"/>
        <w:snapToGrid w:val="0"/>
        <w:spacing w:line="360" w:lineRule="auto"/>
        <w:ind w:right="-246" w:rightChars="-123"/>
        <w:jc w:val="both"/>
        <w:outlineLvl w:val="0"/>
        <w:rPr>
          <w:rFonts w:hint="eastAsia" w:ascii="宋体" w:hAnsi="宋体"/>
          <w:snapToGrid w:val="0"/>
          <w:color w:val="auto"/>
          <w:sz w:val="21"/>
          <w:szCs w:val="21"/>
          <w:highlight w:val="none"/>
        </w:rPr>
      </w:pPr>
    </w:p>
    <w:p>
      <w:pPr>
        <w:tabs>
          <w:tab w:val="left" w:pos="0"/>
          <w:tab w:val="left" w:pos="993"/>
          <w:tab w:val="left" w:pos="1134"/>
        </w:tabs>
        <w:adjustRightInd w:val="0"/>
        <w:snapToGrid w:val="0"/>
        <w:spacing w:line="360" w:lineRule="auto"/>
        <w:ind w:right="-246" w:rightChars="-123"/>
        <w:jc w:val="both"/>
        <w:outlineLvl w:val="0"/>
        <w:rPr>
          <w:rFonts w:hint="eastAsia" w:ascii="宋体" w:hAnsi="宋体"/>
          <w:snapToGrid w:val="0"/>
          <w:color w:val="auto"/>
          <w:sz w:val="21"/>
          <w:szCs w:val="21"/>
          <w:highlight w:val="none"/>
        </w:rPr>
      </w:pPr>
    </w:p>
    <w:p>
      <w:pPr>
        <w:tabs>
          <w:tab w:val="left" w:pos="0"/>
          <w:tab w:val="left" w:pos="993"/>
          <w:tab w:val="left" w:pos="1134"/>
        </w:tabs>
        <w:adjustRightInd w:val="0"/>
        <w:snapToGrid w:val="0"/>
        <w:spacing w:line="360" w:lineRule="auto"/>
        <w:ind w:right="-246" w:rightChars="-123"/>
        <w:jc w:val="both"/>
        <w:outlineLvl w:val="0"/>
        <w:rPr>
          <w:rFonts w:hint="eastAsia" w:ascii="宋体" w:hAnsi="宋体"/>
          <w:snapToGrid w:val="0"/>
          <w:color w:val="auto"/>
          <w:sz w:val="21"/>
          <w:szCs w:val="21"/>
          <w:highlight w:val="none"/>
        </w:rPr>
      </w:pPr>
    </w:p>
    <w:p>
      <w:pPr>
        <w:tabs>
          <w:tab w:val="left" w:pos="0"/>
          <w:tab w:val="left" w:pos="993"/>
          <w:tab w:val="left" w:pos="1134"/>
        </w:tabs>
        <w:adjustRightInd w:val="0"/>
        <w:snapToGrid w:val="0"/>
        <w:spacing w:line="360" w:lineRule="auto"/>
        <w:ind w:right="-246" w:rightChars="-123"/>
        <w:jc w:val="center"/>
        <w:outlineLvl w:val="0"/>
        <w:rPr>
          <w:rFonts w:hint="eastAsia" w:ascii="宋体" w:hAnsi="宋体"/>
          <w:b/>
          <w:color w:val="auto"/>
          <w:sz w:val="30"/>
          <w:szCs w:val="30"/>
          <w:highlight w:val="none"/>
        </w:rPr>
      </w:pPr>
    </w:p>
    <w:p>
      <w:pPr>
        <w:tabs>
          <w:tab w:val="left" w:pos="0"/>
          <w:tab w:val="left" w:pos="993"/>
          <w:tab w:val="left" w:pos="1134"/>
        </w:tabs>
        <w:adjustRightInd w:val="0"/>
        <w:snapToGrid w:val="0"/>
        <w:spacing w:line="360" w:lineRule="auto"/>
        <w:ind w:right="-246" w:rightChars="-123"/>
        <w:jc w:val="center"/>
        <w:outlineLvl w:val="0"/>
        <w:rPr>
          <w:rFonts w:hint="eastAsia" w:ascii="宋体" w:hAnsi="宋体"/>
          <w:b/>
          <w:color w:val="auto"/>
          <w:sz w:val="30"/>
          <w:szCs w:val="30"/>
          <w:highlight w:val="none"/>
        </w:rPr>
      </w:pPr>
    </w:p>
    <w:p>
      <w:pPr>
        <w:tabs>
          <w:tab w:val="left" w:pos="0"/>
          <w:tab w:val="left" w:pos="993"/>
          <w:tab w:val="left" w:pos="1134"/>
        </w:tabs>
        <w:adjustRightInd w:val="0"/>
        <w:snapToGrid w:val="0"/>
        <w:spacing w:line="360" w:lineRule="auto"/>
        <w:ind w:right="-246" w:rightChars="-123"/>
        <w:jc w:val="center"/>
        <w:outlineLvl w:val="0"/>
        <w:rPr>
          <w:rFonts w:hint="eastAsia" w:ascii="宋体" w:hAnsi="宋体"/>
          <w:b/>
          <w:color w:val="auto"/>
          <w:sz w:val="30"/>
          <w:szCs w:val="30"/>
          <w:highlight w:val="none"/>
        </w:rPr>
      </w:pPr>
    </w:p>
    <w:p>
      <w:pPr>
        <w:tabs>
          <w:tab w:val="left" w:pos="0"/>
          <w:tab w:val="left" w:pos="993"/>
          <w:tab w:val="left" w:pos="1134"/>
        </w:tabs>
        <w:adjustRightInd w:val="0"/>
        <w:snapToGrid w:val="0"/>
        <w:spacing w:line="360" w:lineRule="auto"/>
        <w:ind w:right="-246" w:rightChars="-123"/>
        <w:jc w:val="center"/>
        <w:outlineLvl w:val="0"/>
        <w:rPr>
          <w:rFonts w:hint="eastAsia" w:ascii="宋体" w:hAnsi="宋体"/>
          <w:b/>
          <w:color w:val="auto"/>
          <w:sz w:val="30"/>
          <w:szCs w:val="30"/>
          <w:highlight w:val="none"/>
        </w:rPr>
      </w:pPr>
    </w:p>
    <w:p>
      <w:pPr>
        <w:tabs>
          <w:tab w:val="left" w:pos="0"/>
          <w:tab w:val="left" w:pos="993"/>
          <w:tab w:val="left" w:pos="1134"/>
        </w:tabs>
        <w:adjustRightInd w:val="0"/>
        <w:snapToGrid w:val="0"/>
        <w:spacing w:line="360" w:lineRule="auto"/>
        <w:ind w:right="-246" w:rightChars="-123"/>
        <w:jc w:val="center"/>
        <w:outlineLvl w:val="0"/>
        <w:rPr>
          <w:rFonts w:hint="eastAsia" w:ascii="宋体" w:hAnsi="宋体"/>
          <w:b/>
          <w:color w:val="auto"/>
          <w:sz w:val="30"/>
          <w:szCs w:val="30"/>
          <w:highlight w:val="none"/>
        </w:rPr>
      </w:pPr>
    </w:p>
    <w:p>
      <w:pPr>
        <w:tabs>
          <w:tab w:val="left" w:pos="0"/>
          <w:tab w:val="left" w:pos="993"/>
          <w:tab w:val="left" w:pos="1134"/>
        </w:tabs>
        <w:adjustRightInd w:val="0"/>
        <w:snapToGrid w:val="0"/>
        <w:spacing w:line="360" w:lineRule="auto"/>
        <w:ind w:right="-246" w:rightChars="-123"/>
        <w:jc w:val="center"/>
        <w:outlineLvl w:val="0"/>
        <w:rPr>
          <w:rFonts w:hint="eastAsia" w:ascii="宋体" w:hAnsi="宋体"/>
          <w:b/>
          <w:color w:val="auto"/>
          <w:sz w:val="30"/>
          <w:szCs w:val="30"/>
          <w:highlight w:val="none"/>
        </w:rPr>
      </w:pPr>
    </w:p>
    <w:p>
      <w:pPr>
        <w:tabs>
          <w:tab w:val="left" w:pos="0"/>
          <w:tab w:val="left" w:pos="993"/>
          <w:tab w:val="left" w:pos="1134"/>
        </w:tabs>
        <w:adjustRightInd w:val="0"/>
        <w:snapToGrid w:val="0"/>
        <w:spacing w:line="360" w:lineRule="auto"/>
        <w:ind w:right="-246" w:rightChars="-123"/>
        <w:jc w:val="center"/>
        <w:outlineLvl w:val="0"/>
        <w:rPr>
          <w:rFonts w:ascii="宋体" w:hAnsi="宋体"/>
          <w:b/>
          <w:color w:val="auto"/>
          <w:sz w:val="30"/>
          <w:szCs w:val="30"/>
          <w:highlight w:val="none"/>
        </w:rPr>
        <w:sectPr>
          <w:pgSz w:w="11907" w:h="16840"/>
          <w:pgMar w:top="1440" w:right="1800" w:bottom="1440" w:left="1800" w:header="1077" w:footer="964" w:gutter="0"/>
          <w:pgNumType w:start="3"/>
          <w:cols w:space="720" w:num="1"/>
        </w:sectPr>
      </w:pPr>
    </w:p>
    <w:p>
      <w:pPr>
        <w:pStyle w:val="3"/>
        <w:numPr>
          <w:ilvl w:val="0"/>
          <w:numId w:val="0"/>
        </w:numPr>
        <w:jc w:val="center"/>
        <w:rPr>
          <w:rFonts w:hint="eastAsia" w:ascii="宋体" w:hAnsi="宋体" w:eastAsia="宋体" w:cs="宋体"/>
          <w:snapToGrid w:val="0"/>
          <w:color w:val="auto"/>
          <w:sz w:val="21"/>
          <w:szCs w:val="21"/>
          <w:highlight w:val="none"/>
        </w:rPr>
      </w:pPr>
      <w:bookmarkStart w:id="18" w:name="_Toc14912"/>
      <w:bookmarkStart w:id="19" w:name="_Toc9595"/>
      <w:r>
        <w:rPr>
          <w:rFonts w:hint="eastAsia" w:ascii="宋体" w:hAnsi="宋体" w:eastAsia="宋体" w:cs="宋体"/>
          <w:b/>
          <w:color w:val="auto"/>
          <w:sz w:val="21"/>
          <w:szCs w:val="21"/>
          <w:highlight w:val="none"/>
        </w:rPr>
        <w:t>第三章 合同（格式）</w:t>
      </w:r>
      <w:bookmarkEnd w:id="18"/>
      <w:bookmarkEnd w:id="19"/>
    </w:p>
    <w:p>
      <w:pPr>
        <w:pStyle w:val="6"/>
        <w:rPr>
          <w:rFonts w:hint="eastAsia" w:ascii="宋体" w:hAnsi="宋体" w:eastAsia="宋体" w:cs="宋体"/>
          <w:snapToGrid w:val="0"/>
          <w:sz w:val="21"/>
          <w:szCs w:val="21"/>
        </w:rPr>
      </w:pPr>
    </w:p>
    <w:p>
      <w:pPr>
        <w:jc w:val="center"/>
        <w:rPr>
          <w:rFonts w:hint="eastAsia" w:ascii="宋体" w:hAnsi="宋体" w:eastAsia="宋体" w:cs="宋体"/>
          <w:b/>
          <w:sz w:val="48"/>
          <w:szCs w:val="48"/>
          <w:highlight w:val="white"/>
        </w:rPr>
      </w:pPr>
    </w:p>
    <w:p>
      <w:pPr>
        <w:jc w:val="center"/>
        <w:rPr>
          <w:rFonts w:hint="eastAsia" w:ascii="宋体" w:hAnsi="宋体" w:eastAsia="宋体" w:cs="宋体"/>
          <w:b/>
          <w:sz w:val="48"/>
          <w:szCs w:val="48"/>
          <w:highlight w:val="white"/>
        </w:rPr>
      </w:pPr>
    </w:p>
    <w:p>
      <w:pPr>
        <w:pStyle w:val="2"/>
        <w:rPr>
          <w:rFonts w:hint="eastAsia"/>
        </w:rPr>
      </w:pPr>
    </w:p>
    <w:p>
      <w:pPr>
        <w:pStyle w:val="2"/>
        <w:rPr>
          <w:rFonts w:hint="eastAsia"/>
        </w:rPr>
      </w:pPr>
    </w:p>
    <w:tbl>
      <w:tblPr>
        <w:tblStyle w:val="20"/>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98"/>
        <w:gridCol w:w="545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2598"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b/>
                <w:sz w:val="24"/>
              </w:rPr>
            </w:pPr>
            <w:r>
              <w:rPr>
                <w:rFonts w:hint="eastAsia" w:ascii="宋体" w:hAnsi="宋体"/>
                <w:b/>
                <w:sz w:val="24"/>
              </w:rPr>
              <w:t>工程名称</w:t>
            </w:r>
          </w:p>
        </w:tc>
        <w:tc>
          <w:tcPr>
            <w:tcW w:w="545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259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b/>
                <w:sz w:val="24"/>
              </w:rPr>
            </w:pPr>
            <w:r>
              <w:rPr>
                <w:rFonts w:hint="eastAsia" w:ascii="宋体" w:hAnsi="宋体"/>
                <w:b/>
                <w:sz w:val="24"/>
                <w:lang w:val="en-US" w:eastAsia="zh-CN"/>
              </w:rPr>
              <w:t>施工</w:t>
            </w:r>
            <w:r>
              <w:rPr>
                <w:rFonts w:hint="eastAsia" w:ascii="宋体" w:hAnsi="宋体"/>
                <w:b/>
                <w:sz w:val="24"/>
              </w:rPr>
              <w:t>单位名称</w:t>
            </w:r>
          </w:p>
        </w:tc>
        <w:tc>
          <w:tcPr>
            <w:tcW w:w="545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2598"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b/>
                <w:sz w:val="24"/>
              </w:rPr>
            </w:pPr>
            <w:r>
              <w:rPr>
                <w:rFonts w:hint="eastAsia" w:ascii="宋体" w:hAnsi="宋体"/>
                <w:b/>
                <w:sz w:val="24"/>
              </w:rPr>
              <w:t>项目负责人</w:t>
            </w:r>
          </w:p>
        </w:tc>
        <w:tc>
          <w:tcPr>
            <w:tcW w:w="545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259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b/>
                <w:sz w:val="24"/>
              </w:rPr>
            </w:pPr>
            <w:r>
              <w:rPr>
                <w:rFonts w:hint="eastAsia" w:ascii="宋体" w:hAnsi="宋体"/>
                <w:b/>
                <w:sz w:val="24"/>
              </w:rPr>
              <w:t>施工工期</w:t>
            </w:r>
          </w:p>
        </w:tc>
        <w:tc>
          <w:tcPr>
            <w:tcW w:w="545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1" w:hRule="atLeast"/>
          <w:jc w:val="center"/>
        </w:trPr>
        <w:tc>
          <w:tcPr>
            <w:tcW w:w="2598" w:type="dxa"/>
            <w:tcBorders>
              <w:top w:val="single" w:color="auto" w:sz="4" w:space="0"/>
              <w:left w:val="single" w:color="auto" w:sz="4" w:space="0"/>
              <w:bottom w:val="single" w:color="auto" w:sz="4" w:space="0"/>
              <w:right w:val="single" w:color="auto" w:sz="4" w:space="0"/>
            </w:tcBorders>
            <w:noWrap w:val="0"/>
            <w:vAlign w:val="center"/>
          </w:tcPr>
          <w:p>
            <w:pPr>
              <w:jc w:val="center"/>
              <w:rPr>
                <w:rFonts w:hint="eastAsia" w:ascii="宋体" w:hAnsi="宋体"/>
                <w:b/>
                <w:sz w:val="24"/>
              </w:rPr>
            </w:pPr>
            <w:r>
              <w:rPr>
                <w:rFonts w:hint="eastAsia" w:ascii="宋体" w:hAnsi="宋体"/>
                <w:b/>
                <w:sz w:val="24"/>
              </w:rPr>
              <w:t>工程地点</w:t>
            </w:r>
          </w:p>
        </w:tc>
        <w:tc>
          <w:tcPr>
            <w:tcW w:w="5455" w:type="dxa"/>
            <w:tcBorders>
              <w:top w:val="single" w:color="auto" w:sz="4" w:space="0"/>
              <w:left w:val="single" w:color="auto" w:sz="4" w:space="0"/>
              <w:bottom w:val="single" w:color="auto" w:sz="4" w:space="0"/>
              <w:right w:val="single" w:color="auto" w:sz="4" w:space="0"/>
            </w:tcBorders>
            <w:noWrap w:val="0"/>
            <w:vAlign w:val="center"/>
          </w:tcPr>
          <w:p>
            <w:pPr>
              <w:jc w:val="center"/>
              <w:rPr>
                <w:rFonts w:ascii="宋体" w:hAnsi="宋体"/>
                <w:b/>
                <w:sz w:val="24"/>
              </w:rPr>
            </w:pPr>
          </w:p>
        </w:tc>
      </w:tr>
    </w:tbl>
    <w:p>
      <w:pPr>
        <w:rPr>
          <w:rFonts w:hint="eastAsia" w:ascii="宋体" w:hAnsi="宋体"/>
        </w:rPr>
      </w:pPr>
    </w:p>
    <w:p>
      <w:pPr>
        <w:rPr>
          <w:rFonts w:hint="eastAsia" w:ascii="宋体" w:hAnsi="宋体"/>
        </w:rPr>
      </w:pPr>
    </w:p>
    <w:p>
      <w:pPr>
        <w:rPr>
          <w:rFonts w:hint="eastAsia" w:ascii="宋体" w:hAnsi="宋体"/>
        </w:rPr>
      </w:pPr>
    </w:p>
    <w:p>
      <w:pPr>
        <w:jc w:val="center"/>
        <w:rPr>
          <w:rFonts w:hint="eastAsia" w:ascii="宋体" w:hAnsi="宋体"/>
          <w:b/>
          <w:bCs/>
          <w:sz w:val="28"/>
          <w:szCs w:val="28"/>
        </w:rPr>
      </w:pPr>
    </w:p>
    <w:p>
      <w:pPr>
        <w:jc w:val="center"/>
        <w:rPr>
          <w:rFonts w:hint="eastAsia" w:ascii="宋体" w:hAnsi="宋体"/>
          <w:b/>
          <w:bCs/>
          <w:sz w:val="28"/>
          <w:szCs w:val="28"/>
        </w:rPr>
      </w:pPr>
    </w:p>
    <w:p>
      <w:pPr>
        <w:jc w:val="center"/>
        <w:rPr>
          <w:rFonts w:ascii="宋体" w:hAnsi="宋体"/>
          <w:b/>
          <w:bCs/>
          <w:sz w:val="28"/>
          <w:szCs w:val="28"/>
        </w:rPr>
      </w:pPr>
    </w:p>
    <w:p>
      <w:pPr>
        <w:pStyle w:val="2"/>
      </w:pPr>
    </w:p>
    <w:p>
      <w:pPr>
        <w:pStyle w:val="2"/>
        <w:rPr>
          <w:rFonts w:hint="eastAsia"/>
        </w:rPr>
      </w:pPr>
    </w:p>
    <w:p>
      <w:pPr>
        <w:rPr>
          <w:rFonts w:hint="eastAsia"/>
        </w:rPr>
      </w:pPr>
    </w:p>
    <w:p>
      <w:pPr>
        <w:pStyle w:val="6"/>
        <w:rPr>
          <w:rFonts w:hint="eastAsia"/>
        </w:rPr>
      </w:pPr>
    </w:p>
    <w:p>
      <w:pPr>
        <w:snapToGrid w:val="0"/>
        <w:spacing w:line="360" w:lineRule="auto"/>
        <w:jc w:val="center"/>
        <w:outlineLvl w:val="0"/>
        <w:rPr>
          <w:rFonts w:hint="eastAsia" w:ascii="宋体" w:hAnsi="宋体" w:eastAsia="宋体" w:cs="Times New Roman"/>
          <w:b/>
          <w:sz w:val="21"/>
          <w:szCs w:val="21"/>
          <w:lang w:val="en-US" w:eastAsia="zh-CN"/>
        </w:rPr>
      </w:pPr>
    </w:p>
    <w:p>
      <w:pPr>
        <w:snapToGrid w:val="0"/>
        <w:spacing w:line="360" w:lineRule="auto"/>
        <w:jc w:val="center"/>
        <w:outlineLvl w:val="0"/>
        <w:rPr>
          <w:rFonts w:hint="eastAsia" w:ascii="宋体" w:hAnsi="宋体" w:eastAsia="宋体" w:cs="Times New Roman"/>
          <w:b/>
          <w:sz w:val="21"/>
          <w:szCs w:val="21"/>
          <w:lang w:val="en-US" w:eastAsia="zh-CN"/>
        </w:rPr>
      </w:pPr>
    </w:p>
    <w:p>
      <w:pPr>
        <w:snapToGrid w:val="0"/>
        <w:spacing w:line="360" w:lineRule="auto"/>
        <w:jc w:val="center"/>
        <w:outlineLvl w:val="0"/>
        <w:rPr>
          <w:rFonts w:hint="eastAsia" w:ascii="宋体" w:hAnsi="宋体"/>
          <w:b/>
          <w:sz w:val="21"/>
          <w:szCs w:val="21"/>
        </w:rPr>
      </w:pPr>
      <w:r>
        <w:rPr>
          <w:rFonts w:hint="eastAsia" w:ascii="宋体" w:hAnsi="宋体" w:eastAsia="宋体" w:cs="Times New Roman"/>
          <w:b/>
          <w:sz w:val="21"/>
          <w:szCs w:val="21"/>
          <w:lang w:val="en-US" w:eastAsia="zh-CN"/>
        </w:rPr>
        <w:t xml:space="preserve">第1节  </w:t>
      </w:r>
      <w:r>
        <w:rPr>
          <w:rFonts w:hint="eastAsia" w:ascii="宋体" w:hAnsi="宋体" w:eastAsia="宋体" w:cs="Times New Roman"/>
          <w:b/>
          <w:sz w:val="21"/>
          <w:szCs w:val="21"/>
        </w:rPr>
        <w:t>通用合同条款</w:t>
      </w:r>
      <w:r>
        <w:rPr>
          <w:rFonts w:hint="eastAsia" w:ascii="宋体" w:hAnsi="宋体" w:eastAsia="宋体" w:cs="Times New Roman"/>
          <w:b/>
          <w:sz w:val="21"/>
          <w:szCs w:val="21"/>
          <w:lang w:eastAsia="zh-CN"/>
        </w:rPr>
        <w:t>（</w:t>
      </w:r>
      <w:r>
        <w:rPr>
          <w:rFonts w:hint="eastAsia" w:ascii="宋体" w:hAnsi="宋体" w:eastAsia="宋体" w:cs="Times New Roman"/>
          <w:b/>
          <w:sz w:val="21"/>
          <w:szCs w:val="21"/>
          <w:lang w:val="en-US" w:eastAsia="zh-CN"/>
        </w:rPr>
        <w:t>略）</w:t>
      </w:r>
      <w:bookmarkStart w:id="20" w:name="第04章合同条款及格式0101"/>
      <w:bookmarkEnd w:id="20"/>
      <w:bookmarkStart w:id="21" w:name="_Toc496171389"/>
      <w:bookmarkStart w:id="22" w:name="_Toc15050"/>
      <w:bookmarkStart w:id="23" w:name="_Toc21827"/>
      <w:bookmarkStart w:id="24" w:name="_Toc18684"/>
      <w:bookmarkStart w:id="25" w:name="_Toc23339"/>
      <w:bookmarkStart w:id="26" w:name="_Toc28173"/>
      <w:bookmarkStart w:id="27" w:name="_Toc13232"/>
      <w:bookmarkStart w:id="28" w:name="_Toc340483304"/>
      <w:bookmarkStart w:id="29" w:name="_Toc340483322"/>
      <w:bookmarkStart w:id="30" w:name="_Toc15615"/>
    </w:p>
    <w:p>
      <w:pPr>
        <w:snapToGrid w:val="0"/>
        <w:spacing w:line="360" w:lineRule="auto"/>
        <w:jc w:val="center"/>
        <w:outlineLvl w:val="0"/>
        <w:rPr>
          <w:rFonts w:ascii="宋体" w:hAnsi="宋体"/>
          <w:b/>
          <w:sz w:val="21"/>
          <w:szCs w:val="21"/>
        </w:rPr>
      </w:pPr>
      <w:r>
        <w:rPr>
          <w:rFonts w:hint="eastAsia" w:ascii="宋体" w:hAnsi="宋体"/>
          <w:b/>
          <w:sz w:val="21"/>
          <w:szCs w:val="21"/>
        </w:rPr>
        <w:t>第2节　专用合同条款</w:t>
      </w:r>
      <w:bookmarkEnd w:id="21"/>
      <w:bookmarkEnd w:id="22"/>
      <w:bookmarkEnd w:id="23"/>
      <w:bookmarkEnd w:id="24"/>
      <w:bookmarkEnd w:id="25"/>
      <w:bookmarkEnd w:id="26"/>
      <w:bookmarkEnd w:id="27"/>
      <w:bookmarkEnd w:id="28"/>
    </w:p>
    <w:p>
      <w:pPr>
        <w:spacing w:line="360" w:lineRule="exact"/>
        <w:outlineLvl w:val="1"/>
        <w:rPr>
          <w:rFonts w:ascii="宋体" w:hAnsi="宋体"/>
          <w:b/>
          <w:sz w:val="21"/>
          <w:szCs w:val="21"/>
        </w:rPr>
      </w:pPr>
      <w:bookmarkStart w:id="31" w:name="第04章合同条款及格式0201"/>
      <w:bookmarkEnd w:id="31"/>
      <w:bookmarkStart w:id="32" w:name="_Toc2444"/>
      <w:bookmarkStart w:id="33" w:name="_Toc14526"/>
      <w:bookmarkStart w:id="34" w:name="_Toc522970354"/>
      <w:bookmarkStart w:id="35" w:name="_Toc943961"/>
      <w:bookmarkStart w:id="36" w:name="_Toc525977317"/>
      <w:bookmarkStart w:id="37" w:name="_Toc10464"/>
      <w:bookmarkStart w:id="38" w:name="_Toc340483305"/>
      <w:bookmarkStart w:id="39" w:name="_Toc646"/>
      <w:bookmarkStart w:id="40" w:name="_Toc4154"/>
      <w:bookmarkStart w:id="41" w:name="_Toc496171407"/>
      <w:r>
        <w:rPr>
          <w:rFonts w:hint="eastAsia" w:ascii="宋体" w:hAnsi="宋体"/>
          <w:b/>
          <w:sz w:val="21"/>
          <w:szCs w:val="21"/>
        </w:rPr>
        <w:t>1　一般约定</w:t>
      </w:r>
      <w:bookmarkEnd w:id="32"/>
      <w:bookmarkEnd w:id="33"/>
      <w:bookmarkEnd w:id="34"/>
      <w:bookmarkEnd w:id="35"/>
      <w:bookmarkEnd w:id="36"/>
      <w:bookmarkEnd w:id="37"/>
      <w:bookmarkEnd w:id="38"/>
    </w:p>
    <w:p>
      <w:pPr>
        <w:spacing w:line="360" w:lineRule="exact"/>
        <w:rPr>
          <w:rFonts w:ascii="宋体" w:hAnsi="宋体"/>
          <w:sz w:val="21"/>
          <w:szCs w:val="21"/>
        </w:rPr>
      </w:pPr>
      <w:r>
        <w:rPr>
          <w:rFonts w:hint="eastAsia" w:ascii="宋体" w:hAnsi="宋体"/>
          <w:sz w:val="21"/>
          <w:szCs w:val="21"/>
        </w:rPr>
        <w:t>　</w:t>
      </w:r>
      <w:r>
        <w:rPr>
          <w:rFonts w:ascii="宋体" w:hAnsi="宋体"/>
          <w:sz w:val="21"/>
          <w:szCs w:val="21"/>
        </w:rPr>
        <w:t>1.1</w:t>
      </w:r>
      <w:r>
        <w:rPr>
          <w:rFonts w:hint="eastAsia" w:ascii="宋体" w:hAnsi="宋体"/>
          <w:sz w:val="21"/>
          <w:szCs w:val="21"/>
        </w:rPr>
        <w:t>　词语定义</w:t>
      </w:r>
    </w:p>
    <w:p>
      <w:pPr>
        <w:spacing w:line="360" w:lineRule="exact"/>
        <w:rPr>
          <w:rFonts w:ascii="宋体" w:hAnsi="宋体"/>
          <w:sz w:val="21"/>
          <w:szCs w:val="21"/>
        </w:rPr>
      </w:pPr>
      <w:r>
        <w:rPr>
          <w:rFonts w:hint="eastAsia" w:ascii="宋体" w:hAnsi="宋体"/>
          <w:sz w:val="21"/>
          <w:szCs w:val="21"/>
        </w:rPr>
        <w:t>　　</w:t>
      </w:r>
      <w:r>
        <w:rPr>
          <w:rFonts w:ascii="宋体" w:hAnsi="宋体"/>
          <w:sz w:val="21"/>
          <w:szCs w:val="21"/>
        </w:rPr>
        <w:t>1.1.2</w:t>
      </w:r>
      <w:r>
        <w:rPr>
          <w:rFonts w:hint="eastAsia" w:ascii="宋体" w:hAnsi="宋体"/>
          <w:sz w:val="21"/>
          <w:szCs w:val="21"/>
        </w:rPr>
        <w:t>　合同当事人和人员</w:t>
      </w:r>
    </w:p>
    <w:p>
      <w:pPr>
        <w:spacing w:line="360" w:lineRule="exact"/>
        <w:ind w:firstLine="420" w:firstLineChars="200"/>
        <w:rPr>
          <w:rFonts w:ascii="宋体" w:hAnsi="宋体"/>
          <w:sz w:val="21"/>
          <w:szCs w:val="21"/>
          <w:u w:val="single"/>
        </w:rPr>
      </w:pPr>
      <w:r>
        <w:rPr>
          <w:rFonts w:hint="eastAsia" w:ascii="宋体" w:hAnsi="宋体"/>
          <w:sz w:val="21"/>
          <w:szCs w:val="21"/>
        </w:rPr>
        <w:t>1</w:t>
      </w:r>
      <w:r>
        <w:rPr>
          <w:rFonts w:ascii="宋体" w:hAnsi="宋体"/>
          <w:sz w:val="21"/>
          <w:szCs w:val="21"/>
        </w:rPr>
        <w:t>.1.2.2</w:t>
      </w:r>
      <w:r>
        <w:rPr>
          <w:rFonts w:hint="eastAsia" w:ascii="宋体" w:hAnsi="宋体"/>
          <w:sz w:val="21"/>
          <w:szCs w:val="21"/>
        </w:rPr>
        <w:t>　发包人：</w:t>
      </w:r>
      <w:r>
        <w:rPr>
          <w:rFonts w:hint="eastAsia" w:ascii="宋体" w:hAnsi="宋体" w:eastAsia="宋体" w:cs="宋体"/>
          <w:b/>
          <w:bCs/>
          <w:color w:val="000000"/>
          <w:kern w:val="0"/>
          <w:sz w:val="22"/>
          <w:szCs w:val="22"/>
          <w:u w:val="single"/>
          <w:lang w:val="en-US" w:eastAsia="zh-CN"/>
        </w:rPr>
        <w:t>常州市金坛区薛埠镇茅庵村村民委员会</w:t>
      </w:r>
      <w:r>
        <w:rPr>
          <w:rFonts w:ascii="宋体" w:hAnsi="宋体"/>
          <w:sz w:val="21"/>
          <w:szCs w:val="21"/>
          <w:u w:val="single"/>
        </w:rPr>
        <w:t xml:space="preserve"> </w:t>
      </w:r>
    </w:p>
    <w:p>
      <w:pPr>
        <w:spacing w:line="360" w:lineRule="exact"/>
        <w:ind w:firstLine="420"/>
        <w:rPr>
          <w:rFonts w:ascii="宋体" w:hAnsi="宋体"/>
          <w:sz w:val="21"/>
          <w:szCs w:val="21"/>
        </w:rPr>
      </w:pPr>
      <w:r>
        <w:rPr>
          <w:rFonts w:ascii="宋体" w:hAnsi="宋体"/>
          <w:sz w:val="21"/>
          <w:szCs w:val="21"/>
        </w:rPr>
        <w:t>1.1.2.3</w:t>
      </w:r>
      <w:r>
        <w:rPr>
          <w:rFonts w:hint="eastAsia" w:ascii="宋体" w:hAnsi="宋体"/>
          <w:sz w:val="21"/>
          <w:szCs w:val="21"/>
        </w:rPr>
        <w:t>　承包人：</w:t>
      </w:r>
      <w:r>
        <w:rPr>
          <w:rFonts w:hint="eastAsia" w:ascii="宋体" w:hAnsi="宋体"/>
          <w:sz w:val="21"/>
          <w:szCs w:val="21"/>
          <w:u w:val="single"/>
        </w:rPr>
        <w:t>　　</w:t>
      </w:r>
      <w:r>
        <w:rPr>
          <w:rFonts w:ascii="宋体" w:hAnsi="宋体"/>
          <w:sz w:val="21"/>
          <w:szCs w:val="21"/>
          <w:u w:val="single"/>
        </w:rPr>
        <w:t xml:space="preserve">           </w:t>
      </w:r>
      <w:r>
        <w:rPr>
          <w:rFonts w:hint="eastAsia" w:ascii="宋体" w:hAnsi="宋体"/>
          <w:sz w:val="21"/>
          <w:szCs w:val="21"/>
          <w:u w:val="single"/>
        </w:rPr>
        <w:t>　</w:t>
      </w:r>
      <w:r>
        <w:rPr>
          <w:rFonts w:ascii="宋体" w:hAnsi="宋体"/>
          <w:sz w:val="21"/>
          <w:szCs w:val="21"/>
        </w:rPr>
        <w:t>(</w:t>
      </w:r>
      <w:r>
        <w:rPr>
          <w:rFonts w:hint="eastAsia" w:ascii="宋体" w:hAnsi="宋体"/>
          <w:sz w:val="21"/>
          <w:szCs w:val="21"/>
        </w:rPr>
        <w:t>签约后填入承包人的名称</w:t>
      </w:r>
      <w:r>
        <w:rPr>
          <w:rFonts w:ascii="宋体" w:hAnsi="宋体"/>
          <w:sz w:val="21"/>
          <w:szCs w:val="21"/>
        </w:rPr>
        <w:t>)</w:t>
      </w:r>
      <w:r>
        <w:rPr>
          <w:rFonts w:hint="eastAsia" w:ascii="宋体" w:hAnsi="宋体"/>
          <w:sz w:val="21"/>
          <w:szCs w:val="21"/>
        </w:rPr>
        <w:t>。</w:t>
      </w:r>
    </w:p>
    <w:p>
      <w:pPr>
        <w:spacing w:line="360" w:lineRule="exact"/>
        <w:ind w:firstLine="420"/>
        <w:rPr>
          <w:rFonts w:ascii="宋体" w:hAnsi="宋体"/>
          <w:sz w:val="21"/>
          <w:szCs w:val="21"/>
        </w:rPr>
      </w:pPr>
      <w:r>
        <w:rPr>
          <w:rFonts w:hint="eastAsia" w:ascii="宋体" w:hAnsi="宋体"/>
          <w:sz w:val="21"/>
          <w:szCs w:val="21"/>
        </w:rPr>
        <w:t>1.1.2.4 项目负责人：</w:t>
      </w:r>
      <w:r>
        <w:rPr>
          <w:rFonts w:ascii="宋体" w:hAnsi="宋体"/>
          <w:sz w:val="21"/>
          <w:szCs w:val="21"/>
          <w:u w:val="single"/>
        </w:rPr>
        <w:t xml:space="preserve">                 </w:t>
      </w:r>
    </w:p>
    <w:p>
      <w:pPr>
        <w:spacing w:line="360" w:lineRule="exact"/>
        <w:ind w:firstLine="420"/>
        <w:rPr>
          <w:rFonts w:ascii="宋体" w:hAnsi="宋体"/>
          <w:sz w:val="21"/>
          <w:szCs w:val="21"/>
        </w:rPr>
      </w:pPr>
      <w:r>
        <w:rPr>
          <w:rFonts w:ascii="宋体" w:hAnsi="宋体"/>
          <w:sz w:val="21"/>
          <w:szCs w:val="21"/>
        </w:rPr>
        <w:t>1.1.2.6</w:t>
      </w:r>
      <w:r>
        <w:rPr>
          <w:rFonts w:hint="eastAsia" w:ascii="宋体" w:hAnsi="宋体"/>
          <w:sz w:val="21"/>
          <w:szCs w:val="21"/>
        </w:rPr>
        <w:t>　监理人：</w:t>
      </w:r>
      <w:r>
        <w:rPr>
          <w:rFonts w:hint="eastAsia" w:ascii="宋体" w:hAnsi="宋体"/>
          <w:sz w:val="21"/>
          <w:szCs w:val="21"/>
          <w:u w:val="single"/>
        </w:rPr>
        <w:t>　</w:t>
      </w:r>
      <w:r>
        <w:rPr>
          <w:rFonts w:ascii="宋体" w:hAnsi="宋体"/>
          <w:sz w:val="21"/>
          <w:szCs w:val="21"/>
          <w:u w:val="single"/>
        </w:rPr>
        <w:t xml:space="preserve">           </w:t>
      </w:r>
      <w:r>
        <w:rPr>
          <w:rFonts w:hint="eastAsia" w:ascii="宋体" w:hAnsi="宋体"/>
          <w:sz w:val="21"/>
          <w:szCs w:val="21"/>
          <w:u w:val="single"/>
        </w:rPr>
        <w:t>　　</w:t>
      </w:r>
      <w:r>
        <w:rPr>
          <w:rFonts w:ascii="宋体" w:hAnsi="宋体"/>
          <w:sz w:val="21"/>
          <w:szCs w:val="21"/>
        </w:rPr>
        <w:t>(</w:t>
      </w:r>
      <w:r>
        <w:rPr>
          <w:rFonts w:hint="eastAsia" w:ascii="宋体" w:hAnsi="宋体"/>
          <w:sz w:val="21"/>
          <w:szCs w:val="21"/>
        </w:rPr>
        <w:t>填入监理人名称</w:t>
      </w:r>
      <w:r>
        <w:rPr>
          <w:rFonts w:ascii="宋体" w:hAnsi="宋体"/>
          <w:sz w:val="21"/>
          <w:szCs w:val="21"/>
        </w:rPr>
        <w:t>)</w:t>
      </w:r>
      <w:r>
        <w:rPr>
          <w:rFonts w:hint="eastAsia" w:ascii="宋体" w:hAnsi="宋体"/>
          <w:sz w:val="21"/>
          <w:szCs w:val="21"/>
        </w:rPr>
        <w:t>。</w:t>
      </w:r>
    </w:p>
    <w:p>
      <w:pPr>
        <w:spacing w:line="360" w:lineRule="exact"/>
        <w:ind w:firstLine="420"/>
        <w:rPr>
          <w:rFonts w:ascii="宋体" w:hAnsi="宋体"/>
          <w:sz w:val="21"/>
          <w:szCs w:val="21"/>
        </w:rPr>
      </w:pPr>
      <w:r>
        <w:rPr>
          <w:rFonts w:hint="eastAsia" w:ascii="宋体" w:hAnsi="宋体"/>
          <w:sz w:val="21"/>
          <w:szCs w:val="21"/>
        </w:rPr>
        <w:t>1.1.4.3  工期：</w:t>
      </w:r>
      <w:r>
        <w:rPr>
          <w:rFonts w:ascii="宋体" w:hAnsi="宋体"/>
          <w:sz w:val="21"/>
          <w:szCs w:val="21"/>
          <w:u w:val="single"/>
        </w:rPr>
        <w:t xml:space="preserve"> </w:t>
      </w:r>
      <w:r>
        <w:rPr>
          <w:rFonts w:hint="eastAsia" w:ascii="宋体" w:hAnsi="宋体"/>
          <w:sz w:val="21"/>
          <w:szCs w:val="21"/>
          <w:u w:val="single"/>
          <w:lang w:val="en-US" w:eastAsia="zh-CN"/>
        </w:rPr>
        <w:t>60日历天</w:t>
      </w:r>
      <w:r>
        <w:rPr>
          <w:rFonts w:ascii="宋体" w:hAnsi="宋体"/>
          <w:sz w:val="21"/>
          <w:szCs w:val="21"/>
          <w:u w:val="single"/>
        </w:rPr>
        <w:t xml:space="preserve">                           </w:t>
      </w:r>
    </w:p>
    <w:p>
      <w:pPr>
        <w:spacing w:line="360" w:lineRule="exact"/>
        <w:ind w:firstLine="420"/>
        <w:rPr>
          <w:rFonts w:ascii="宋体" w:hAnsi="宋体"/>
          <w:sz w:val="21"/>
          <w:szCs w:val="21"/>
        </w:rPr>
      </w:pPr>
      <w:r>
        <w:rPr>
          <w:rFonts w:ascii="宋体" w:hAnsi="宋体"/>
          <w:sz w:val="21"/>
          <w:szCs w:val="21"/>
        </w:rPr>
        <w:t>1.1.4.5</w:t>
      </w:r>
      <w:r>
        <w:rPr>
          <w:rFonts w:hint="eastAsia" w:ascii="宋体" w:hAnsi="宋体"/>
          <w:sz w:val="21"/>
          <w:szCs w:val="21"/>
        </w:rPr>
        <w:t>　缺陷责任期</w:t>
      </w:r>
      <w:r>
        <w:rPr>
          <w:rFonts w:ascii="宋体" w:hAnsi="宋体"/>
          <w:sz w:val="21"/>
          <w:szCs w:val="21"/>
        </w:rPr>
        <w:t>(</w:t>
      </w:r>
      <w:r>
        <w:rPr>
          <w:rFonts w:hint="eastAsia" w:ascii="宋体" w:hAnsi="宋体"/>
          <w:sz w:val="21"/>
          <w:szCs w:val="21"/>
        </w:rPr>
        <w:t>工程质量保修期</w:t>
      </w:r>
      <w:r>
        <w:rPr>
          <w:rFonts w:hint="eastAsia" w:ascii="宋体" w:hAnsi="宋体" w:eastAsia="宋体" w:cs="Times New Roman"/>
          <w:sz w:val="21"/>
          <w:szCs w:val="21"/>
        </w:rPr>
        <w:t>)：</w:t>
      </w:r>
      <w:r>
        <w:rPr>
          <w:rFonts w:hint="eastAsia" w:ascii="宋体" w:hAnsi="宋体" w:eastAsia="宋体" w:cs="Times New Roman"/>
          <w:sz w:val="21"/>
          <w:szCs w:val="21"/>
          <w:u w:val="single"/>
          <w:lang w:eastAsia="zh-CN"/>
        </w:rPr>
        <w:t xml:space="preserve">竣工验收合格后一年 </w:t>
      </w:r>
      <w:r>
        <w:rPr>
          <w:rFonts w:hint="eastAsia" w:ascii="宋体" w:hAnsi="宋体" w:eastAsia="宋体" w:cs="Times New Roman"/>
          <w:sz w:val="21"/>
          <w:szCs w:val="21"/>
        </w:rPr>
        <w:t>。</w:t>
      </w:r>
    </w:p>
    <w:p>
      <w:pPr>
        <w:spacing w:line="360" w:lineRule="exact"/>
        <w:rPr>
          <w:rFonts w:ascii="宋体" w:hAnsi="宋体"/>
          <w:sz w:val="21"/>
          <w:szCs w:val="21"/>
        </w:rPr>
      </w:pPr>
      <w:r>
        <w:rPr>
          <w:rFonts w:hint="eastAsia" w:ascii="宋体" w:hAnsi="宋体"/>
          <w:sz w:val="21"/>
          <w:szCs w:val="21"/>
        </w:rPr>
        <w:t>1.4合同文件的优先顺序</w:t>
      </w:r>
    </w:p>
    <w:p>
      <w:pPr>
        <w:spacing w:line="360" w:lineRule="exact"/>
        <w:rPr>
          <w:rFonts w:ascii="宋体" w:hAnsi="宋体"/>
          <w:sz w:val="21"/>
          <w:szCs w:val="21"/>
        </w:rPr>
      </w:pPr>
      <w:r>
        <w:rPr>
          <w:rFonts w:hint="eastAsia" w:ascii="宋体" w:hAnsi="宋体"/>
          <w:sz w:val="21"/>
          <w:szCs w:val="21"/>
        </w:rPr>
        <w:t>组成合同的各项文件应互相解释，互为说明。除专用合同条款另有约定外，解释合同文件的优先顺序如下：</w:t>
      </w:r>
    </w:p>
    <w:p>
      <w:pPr>
        <w:spacing w:line="360" w:lineRule="exact"/>
        <w:ind w:firstLine="359" w:firstLineChars="171"/>
        <w:rPr>
          <w:rFonts w:ascii="宋体" w:hAnsi="宋体"/>
          <w:sz w:val="21"/>
          <w:szCs w:val="21"/>
        </w:rPr>
      </w:pPr>
      <w:r>
        <w:rPr>
          <w:rFonts w:hint="eastAsia" w:ascii="宋体" w:hAnsi="宋体"/>
          <w:sz w:val="21"/>
          <w:szCs w:val="21"/>
        </w:rPr>
        <w:t>（</w:t>
      </w:r>
      <w:r>
        <w:rPr>
          <w:rFonts w:ascii="宋体" w:hAnsi="宋体"/>
          <w:sz w:val="21"/>
          <w:szCs w:val="21"/>
        </w:rPr>
        <w:t>1</w:t>
      </w:r>
      <w:r>
        <w:rPr>
          <w:rFonts w:hint="eastAsia" w:ascii="宋体" w:hAnsi="宋体"/>
          <w:sz w:val="21"/>
          <w:szCs w:val="21"/>
        </w:rPr>
        <w:t>）合同协议书；</w:t>
      </w:r>
    </w:p>
    <w:p>
      <w:pPr>
        <w:spacing w:line="360" w:lineRule="exact"/>
        <w:ind w:firstLine="359" w:firstLineChars="171"/>
        <w:rPr>
          <w:rFonts w:ascii="宋体" w:hAnsi="宋体"/>
          <w:sz w:val="21"/>
          <w:szCs w:val="21"/>
        </w:rPr>
      </w:pPr>
      <w:r>
        <w:rPr>
          <w:rFonts w:hint="eastAsia" w:ascii="宋体" w:hAnsi="宋体"/>
          <w:sz w:val="21"/>
          <w:szCs w:val="21"/>
        </w:rPr>
        <w:t>（</w:t>
      </w:r>
      <w:r>
        <w:rPr>
          <w:rFonts w:ascii="宋体" w:hAnsi="宋体"/>
          <w:sz w:val="21"/>
          <w:szCs w:val="21"/>
        </w:rPr>
        <w:t>2</w:t>
      </w:r>
      <w:r>
        <w:rPr>
          <w:rFonts w:hint="eastAsia" w:ascii="宋体" w:hAnsi="宋体"/>
          <w:sz w:val="21"/>
          <w:szCs w:val="21"/>
        </w:rPr>
        <w:t>）中标通知书；</w:t>
      </w:r>
    </w:p>
    <w:p>
      <w:pPr>
        <w:spacing w:line="360" w:lineRule="exact"/>
        <w:ind w:firstLine="359" w:firstLineChars="171"/>
        <w:rPr>
          <w:rFonts w:ascii="宋体" w:hAnsi="宋体"/>
          <w:sz w:val="21"/>
          <w:szCs w:val="21"/>
        </w:rPr>
      </w:pPr>
      <w:r>
        <w:rPr>
          <w:rFonts w:hint="eastAsia" w:ascii="宋体" w:hAnsi="宋体"/>
          <w:sz w:val="21"/>
          <w:szCs w:val="21"/>
        </w:rPr>
        <w:t>（3）专用合同条款；</w:t>
      </w:r>
    </w:p>
    <w:p>
      <w:pPr>
        <w:spacing w:line="360" w:lineRule="exact"/>
        <w:ind w:firstLine="359" w:firstLineChars="171"/>
        <w:rPr>
          <w:rFonts w:ascii="宋体" w:hAnsi="宋体"/>
          <w:sz w:val="21"/>
          <w:szCs w:val="21"/>
        </w:rPr>
      </w:pPr>
      <w:r>
        <w:rPr>
          <w:rFonts w:hint="eastAsia" w:ascii="宋体" w:hAnsi="宋体"/>
          <w:sz w:val="21"/>
          <w:szCs w:val="21"/>
        </w:rPr>
        <w:t>（4）投标文件</w:t>
      </w:r>
    </w:p>
    <w:p>
      <w:pPr>
        <w:spacing w:line="360" w:lineRule="exact"/>
        <w:ind w:firstLine="359" w:firstLineChars="171"/>
        <w:rPr>
          <w:rFonts w:ascii="宋体" w:hAnsi="宋体"/>
          <w:sz w:val="21"/>
          <w:szCs w:val="21"/>
        </w:rPr>
      </w:pPr>
      <w:r>
        <w:rPr>
          <w:rFonts w:hint="eastAsia" w:ascii="宋体" w:hAnsi="宋体"/>
          <w:sz w:val="21"/>
          <w:szCs w:val="21"/>
        </w:rPr>
        <w:t>（5）通用合同条款</w:t>
      </w:r>
      <w:r>
        <w:rPr>
          <w:rFonts w:hint="eastAsia" w:ascii="宋体" w:hAnsi="宋体"/>
          <w:sz w:val="21"/>
          <w:szCs w:val="21"/>
          <w:lang w:eastAsia="zh-CN"/>
        </w:rPr>
        <w:t>（</w:t>
      </w:r>
      <w:r>
        <w:rPr>
          <w:rFonts w:hint="eastAsia" w:ascii="宋体" w:hAnsi="宋体"/>
          <w:sz w:val="21"/>
          <w:szCs w:val="21"/>
          <w:lang w:val="en-US" w:eastAsia="zh-CN"/>
        </w:rPr>
        <w:t>略）</w:t>
      </w:r>
      <w:r>
        <w:rPr>
          <w:rFonts w:hint="eastAsia" w:ascii="宋体" w:hAnsi="宋体"/>
          <w:sz w:val="21"/>
          <w:szCs w:val="21"/>
        </w:rPr>
        <w:t>；</w:t>
      </w:r>
    </w:p>
    <w:p>
      <w:pPr>
        <w:spacing w:line="360" w:lineRule="exact"/>
        <w:ind w:firstLine="359" w:firstLineChars="171"/>
        <w:rPr>
          <w:rFonts w:ascii="宋体" w:hAnsi="宋体"/>
          <w:sz w:val="21"/>
          <w:szCs w:val="21"/>
        </w:rPr>
      </w:pPr>
      <w:r>
        <w:rPr>
          <w:rFonts w:hint="eastAsia" w:ascii="宋体" w:hAnsi="宋体"/>
          <w:sz w:val="21"/>
          <w:szCs w:val="21"/>
        </w:rPr>
        <w:t>（6）投标函及投标函附录；</w:t>
      </w:r>
    </w:p>
    <w:p>
      <w:pPr>
        <w:spacing w:line="360" w:lineRule="exact"/>
        <w:ind w:firstLine="359" w:firstLineChars="171"/>
        <w:rPr>
          <w:rFonts w:ascii="宋体" w:hAnsi="宋体"/>
          <w:sz w:val="21"/>
          <w:szCs w:val="21"/>
        </w:rPr>
      </w:pPr>
      <w:r>
        <w:rPr>
          <w:rFonts w:hint="eastAsia" w:ascii="宋体" w:hAnsi="宋体"/>
          <w:sz w:val="21"/>
          <w:szCs w:val="21"/>
        </w:rPr>
        <w:t>（7）技术标准和要求；</w:t>
      </w:r>
    </w:p>
    <w:p>
      <w:pPr>
        <w:spacing w:line="360" w:lineRule="exact"/>
        <w:ind w:firstLine="359" w:firstLineChars="171"/>
        <w:rPr>
          <w:rFonts w:ascii="宋体" w:hAnsi="宋体"/>
          <w:sz w:val="21"/>
          <w:szCs w:val="21"/>
        </w:rPr>
      </w:pPr>
      <w:r>
        <w:rPr>
          <w:rFonts w:hint="eastAsia" w:ascii="宋体" w:hAnsi="宋体"/>
          <w:sz w:val="21"/>
          <w:szCs w:val="21"/>
        </w:rPr>
        <w:t>（8）图纸；</w:t>
      </w:r>
    </w:p>
    <w:p>
      <w:pPr>
        <w:spacing w:line="360" w:lineRule="exact"/>
        <w:ind w:firstLine="359" w:firstLineChars="171"/>
        <w:rPr>
          <w:rFonts w:ascii="宋体" w:hAnsi="宋体"/>
          <w:sz w:val="21"/>
          <w:szCs w:val="21"/>
        </w:rPr>
      </w:pPr>
      <w:r>
        <w:rPr>
          <w:rFonts w:hint="eastAsia" w:ascii="宋体" w:hAnsi="宋体"/>
          <w:sz w:val="21"/>
          <w:szCs w:val="21"/>
        </w:rPr>
        <w:t>（9）已标价工程量清单；</w:t>
      </w:r>
    </w:p>
    <w:p>
      <w:pPr>
        <w:spacing w:line="360" w:lineRule="exact"/>
        <w:ind w:firstLine="359" w:firstLineChars="171"/>
        <w:rPr>
          <w:rFonts w:ascii="宋体" w:hAnsi="宋体"/>
          <w:sz w:val="21"/>
          <w:szCs w:val="21"/>
        </w:rPr>
      </w:pPr>
      <w:r>
        <w:rPr>
          <w:rFonts w:hint="eastAsia" w:ascii="宋体" w:hAnsi="宋体"/>
          <w:sz w:val="21"/>
          <w:szCs w:val="21"/>
        </w:rPr>
        <w:t>（10）其他合同文件。</w:t>
      </w:r>
    </w:p>
    <w:p>
      <w:pPr>
        <w:spacing w:line="360" w:lineRule="exact"/>
        <w:rPr>
          <w:rFonts w:ascii="宋体" w:hAnsi="宋体"/>
          <w:sz w:val="21"/>
          <w:szCs w:val="21"/>
        </w:rPr>
      </w:pPr>
      <w:r>
        <w:rPr>
          <w:rFonts w:hint="eastAsia" w:ascii="宋体" w:hAnsi="宋体"/>
          <w:sz w:val="21"/>
          <w:szCs w:val="21"/>
        </w:rPr>
        <w:t>　</w:t>
      </w:r>
      <w:r>
        <w:rPr>
          <w:rFonts w:ascii="宋体" w:hAnsi="宋体"/>
          <w:sz w:val="21"/>
          <w:szCs w:val="21"/>
        </w:rPr>
        <w:t>1.7</w:t>
      </w:r>
      <w:r>
        <w:rPr>
          <w:rFonts w:hint="eastAsia" w:ascii="宋体" w:hAnsi="宋体"/>
          <w:sz w:val="21"/>
          <w:szCs w:val="21"/>
        </w:rPr>
        <w:t>　联络</w:t>
      </w:r>
    </w:p>
    <w:p>
      <w:pPr>
        <w:spacing w:line="360" w:lineRule="exact"/>
        <w:rPr>
          <w:rFonts w:hint="default" w:ascii="宋体" w:hAnsi="宋体" w:eastAsia="宋体"/>
          <w:sz w:val="21"/>
          <w:szCs w:val="21"/>
          <w:u w:val="single"/>
          <w:lang w:val="en-US" w:eastAsia="zh-CN"/>
        </w:rPr>
      </w:pPr>
      <w:r>
        <w:rPr>
          <w:rFonts w:hint="eastAsia" w:ascii="宋体" w:hAnsi="宋体"/>
          <w:sz w:val="21"/>
          <w:szCs w:val="21"/>
        </w:rPr>
        <w:t>　　</w:t>
      </w:r>
      <w:r>
        <w:rPr>
          <w:rFonts w:ascii="宋体" w:hAnsi="宋体"/>
          <w:sz w:val="21"/>
          <w:szCs w:val="21"/>
        </w:rPr>
        <w:t>1.7.2</w:t>
      </w:r>
      <w:r>
        <w:rPr>
          <w:rFonts w:hint="eastAsia" w:ascii="宋体" w:hAnsi="宋体"/>
          <w:sz w:val="21"/>
          <w:szCs w:val="21"/>
        </w:rPr>
        <w:t>　来往函件均应按技术标准和要求</w:t>
      </w:r>
      <w:r>
        <w:rPr>
          <w:rFonts w:ascii="宋体" w:hAnsi="宋体"/>
          <w:sz w:val="21"/>
          <w:szCs w:val="21"/>
        </w:rPr>
        <w:t>(</w:t>
      </w:r>
      <w:r>
        <w:rPr>
          <w:rFonts w:hint="eastAsia" w:ascii="宋体" w:hAnsi="宋体"/>
          <w:sz w:val="21"/>
          <w:szCs w:val="21"/>
        </w:rPr>
        <w:t>合同技术条款</w:t>
      </w:r>
      <w:r>
        <w:rPr>
          <w:rFonts w:ascii="宋体" w:hAnsi="宋体"/>
          <w:sz w:val="21"/>
          <w:szCs w:val="21"/>
        </w:rPr>
        <w:t>)</w:t>
      </w:r>
      <w:r>
        <w:rPr>
          <w:rFonts w:hint="eastAsia" w:ascii="宋体" w:hAnsi="宋体"/>
          <w:sz w:val="21"/>
          <w:szCs w:val="21"/>
        </w:rPr>
        <w:t>约定的期限送达</w:t>
      </w:r>
      <w:r>
        <w:rPr>
          <w:rFonts w:hint="eastAsia" w:ascii="宋体" w:hAnsi="宋体"/>
          <w:sz w:val="21"/>
          <w:szCs w:val="21"/>
          <w:u w:val="single"/>
          <w:lang w:val="zh-CN"/>
        </w:rPr>
        <w:t xml:space="preserve"> </w:t>
      </w:r>
      <w:r>
        <w:rPr>
          <w:rFonts w:hint="eastAsia" w:ascii="宋体" w:hAnsi="宋体" w:eastAsia="宋体" w:cs="宋体"/>
          <w:b/>
          <w:bCs/>
          <w:color w:val="000000"/>
          <w:kern w:val="0"/>
          <w:sz w:val="22"/>
          <w:szCs w:val="22"/>
          <w:u w:val="single"/>
          <w:lang w:val="en-US" w:eastAsia="zh-CN"/>
        </w:rPr>
        <w:t>常州市金坛区薛埠镇茅庵村村民委员会</w:t>
      </w:r>
      <w:r>
        <w:rPr>
          <w:rFonts w:ascii="宋体" w:hAnsi="宋体"/>
          <w:sz w:val="21"/>
          <w:szCs w:val="21"/>
          <w:u w:val="single"/>
        </w:rPr>
        <w:t xml:space="preserve"> </w:t>
      </w:r>
      <w:r>
        <w:rPr>
          <w:rFonts w:hint="eastAsia" w:ascii="宋体" w:hAnsi="宋体"/>
          <w:sz w:val="21"/>
          <w:szCs w:val="21"/>
          <w:u w:val="single"/>
          <w:lang w:val="en-US" w:eastAsia="zh-CN"/>
        </w:rPr>
        <w:t xml:space="preserve"> </w:t>
      </w:r>
    </w:p>
    <w:p>
      <w:pPr>
        <w:spacing w:line="360" w:lineRule="exact"/>
        <w:outlineLvl w:val="1"/>
        <w:rPr>
          <w:rFonts w:ascii="宋体" w:hAnsi="宋体"/>
          <w:b/>
          <w:sz w:val="21"/>
          <w:szCs w:val="21"/>
        </w:rPr>
      </w:pPr>
      <w:bookmarkStart w:id="42" w:name="第04章合同条款及格式0202"/>
      <w:bookmarkEnd w:id="42"/>
      <w:bookmarkStart w:id="43" w:name="_Toc340483306"/>
      <w:bookmarkStart w:id="44" w:name="_Toc522970355"/>
      <w:bookmarkStart w:id="45" w:name="_Toc29258"/>
      <w:bookmarkStart w:id="46" w:name="_Toc943962"/>
      <w:bookmarkStart w:id="47" w:name="_Toc15322"/>
      <w:bookmarkStart w:id="48" w:name="_Toc525977318"/>
      <w:bookmarkStart w:id="49" w:name="_Toc23650"/>
      <w:r>
        <w:rPr>
          <w:rFonts w:hint="eastAsia" w:ascii="宋体" w:hAnsi="宋体"/>
          <w:b/>
          <w:sz w:val="21"/>
          <w:szCs w:val="21"/>
        </w:rPr>
        <w:t>2　发包人义务</w:t>
      </w:r>
      <w:bookmarkEnd w:id="43"/>
      <w:bookmarkEnd w:id="44"/>
      <w:bookmarkEnd w:id="45"/>
      <w:bookmarkEnd w:id="46"/>
      <w:bookmarkEnd w:id="47"/>
      <w:bookmarkEnd w:id="48"/>
      <w:bookmarkEnd w:id="49"/>
    </w:p>
    <w:p>
      <w:pPr>
        <w:spacing w:line="360" w:lineRule="exact"/>
        <w:rPr>
          <w:rFonts w:ascii="宋体" w:hAnsi="宋体"/>
          <w:sz w:val="21"/>
          <w:szCs w:val="21"/>
        </w:rPr>
      </w:pPr>
      <w:r>
        <w:rPr>
          <w:rFonts w:hint="eastAsia" w:ascii="宋体" w:hAnsi="宋体"/>
          <w:sz w:val="21"/>
          <w:szCs w:val="21"/>
        </w:rPr>
        <w:t>　</w:t>
      </w:r>
      <w:r>
        <w:rPr>
          <w:rFonts w:ascii="宋体" w:hAnsi="宋体"/>
          <w:sz w:val="21"/>
          <w:szCs w:val="21"/>
        </w:rPr>
        <w:t>2.3</w:t>
      </w:r>
      <w:r>
        <w:rPr>
          <w:rFonts w:hint="eastAsia" w:ascii="宋体" w:hAnsi="宋体"/>
          <w:sz w:val="21"/>
          <w:szCs w:val="21"/>
        </w:rPr>
        <w:t>　提供施工场地</w:t>
      </w:r>
    </w:p>
    <w:p>
      <w:pPr>
        <w:spacing w:line="360" w:lineRule="exact"/>
        <w:ind w:firstLine="420"/>
        <w:rPr>
          <w:rFonts w:ascii="宋体" w:hAnsi="宋体"/>
          <w:sz w:val="21"/>
          <w:szCs w:val="21"/>
        </w:rPr>
      </w:pPr>
      <w:r>
        <w:rPr>
          <w:rFonts w:ascii="宋体" w:hAnsi="宋体"/>
          <w:sz w:val="21"/>
          <w:szCs w:val="21"/>
        </w:rPr>
        <w:t>2.3.2</w:t>
      </w:r>
      <w:r>
        <w:rPr>
          <w:rFonts w:hint="eastAsia" w:ascii="宋体" w:hAnsi="宋体"/>
          <w:sz w:val="21"/>
          <w:szCs w:val="21"/>
        </w:rPr>
        <w:t>　发包人提供的施工场地范围为：</w:t>
      </w:r>
      <w:r>
        <w:rPr>
          <w:rFonts w:hint="eastAsia" w:ascii="宋体" w:hAnsi="宋体"/>
          <w:sz w:val="21"/>
          <w:szCs w:val="21"/>
          <w:u w:val="single"/>
        </w:rPr>
        <w:t>　发包人负责向承包人提供工程占地，范围见招标图纸，在承包人进场前由监理人组织交接。临时施工道路，堆场、机械、设备占地、</w:t>
      </w:r>
      <w:r>
        <w:rPr>
          <w:rFonts w:hint="eastAsia" w:ascii="宋体" w:hAnsi="宋体"/>
          <w:sz w:val="21"/>
          <w:szCs w:val="21"/>
          <w:u w:val="single"/>
          <w:lang w:val="en-US" w:eastAsia="zh-CN"/>
        </w:rPr>
        <w:t>施工用电、</w:t>
      </w:r>
      <w:r>
        <w:rPr>
          <w:rFonts w:hint="eastAsia" w:ascii="宋体" w:hAnsi="宋体"/>
          <w:sz w:val="21"/>
          <w:szCs w:val="21"/>
          <w:u w:val="single"/>
        </w:rPr>
        <w:t>生活等临时占地由承包人解决，发包人协助，发生的费用在投标报价中考虑由承包人支付　</w:t>
      </w:r>
      <w:r>
        <w:rPr>
          <w:rFonts w:hint="eastAsia" w:ascii="宋体" w:hAnsi="宋体"/>
          <w:sz w:val="21"/>
          <w:szCs w:val="21"/>
        </w:rPr>
        <w:t>。</w:t>
      </w:r>
    </w:p>
    <w:p>
      <w:pPr>
        <w:spacing w:line="360" w:lineRule="exact"/>
        <w:rPr>
          <w:rFonts w:hint="eastAsia" w:ascii="宋体" w:hAnsi="宋体"/>
          <w:sz w:val="21"/>
          <w:szCs w:val="21"/>
        </w:rPr>
      </w:pPr>
      <w:bookmarkStart w:id="50" w:name="_Toc3965"/>
      <w:r>
        <w:rPr>
          <w:rFonts w:hint="eastAsia" w:ascii="宋体" w:hAnsi="宋体"/>
          <w:sz w:val="21"/>
          <w:szCs w:val="21"/>
        </w:rPr>
        <w:t>2.4 协助承包人办理证件和批件</w:t>
      </w:r>
      <w:bookmarkEnd w:id="50"/>
    </w:p>
    <w:p>
      <w:pPr>
        <w:spacing w:line="360" w:lineRule="exact"/>
        <w:ind w:firstLine="420" w:firstLineChars="200"/>
        <w:rPr>
          <w:rFonts w:ascii="宋体" w:hAnsi="宋体"/>
          <w:sz w:val="21"/>
          <w:szCs w:val="21"/>
        </w:rPr>
      </w:pPr>
      <w:r>
        <w:rPr>
          <w:rFonts w:hint="eastAsia" w:ascii="宋体" w:hAnsi="宋体"/>
          <w:sz w:val="21"/>
          <w:szCs w:val="21"/>
        </w:rPr>
        <w:t>发包人应协助承包人办理法律规定的有关施工证件和批件，但办理相应证件的费用由承包人支付，并在投标报价中予以考虑。</w:t>
      </w:r>
    </w:p>
    <w:p>
      <w:pPr>
        <w:spacing w:line="360" w:lineRule="exact"/>
        <w:outlineLvl w:val="1"/>
        <w:rPr>
          <w:rFonts w:ascii="宋体" w:hAnsi="宋体"/>
          <w:b/>
          <w:sz w:val="21"/>
          <w:szCs w:val="21"/>
        </w:rPr>
      </w:pPr>
      <w:bookmarkStart w:id="51" w:name="第04章合同条款及格式0203"/>
      <w:bookmarkEnd w:id="51"/>
      <w:bookmarkStart w:id="52" w:name="_Toc21223"/>
      <w:bookmarkStart w:id="53" w:name="_Toc23616"/>
      <w:bookmarkStart w:id="54" w:name="_Toc943963"/>
      <w:bookmarkStart w:id="55" w:name="_Toc522970356"/>
      <w:bookmarkStart w:id="56" w:name="_Toc24712"/>
      <w:bookmarkStart w:id="57" w:name="_Toc340483307"/>
      <w:bookmarkStart w:id="58" w:name="_Toc525977319"/>
      <w:r>
        <w:rPr>
          <w:rFonts w:hint="eastAsia" w:ascii="宋体" w:hAnsi="宋体"/>
          <w:b/>
          <w:sz w:val="21"/>
          <w:szCs w:val="21"/>
        </w:rPr>
        <w:t>3　监理人</w:t>
      </w:r>
      <w:bookmarkEnd w:id="52"/>
      <w:bookmarkEnd w:id="53"/>
      <w:bookmarkEnd w:id="54"/>
      <w:bookmarkEnd w:id="55"/>
      <w:bookmarkEnd w:id="56"/>
      <w:bookmarkEnd w:id="57"/>
      <w:bookmarkEnd w:id="58"/>
    </w:p>
    <w:p>
      <w:pPr>
        <w:spacing w:line="360" w:lineRule="exact"/>
        <w:rPr>
          <w:rFonts w:ascii="宋体" w:hAnsi="宋体"/>
          <w:sz w:val="21"/>
          <w:szCs w:val="21"/>
        </w:rPr>
      </w:pPr>
      <w:r>
        <w:rPr>
          <w:rFonts w:hint="eastAsia" w:ascii="宋体" w:hAnsi="宋体"/>
          <w:sz w:val="21"/>
          <w:szCs w:val="21"/>
        </w:rPr>
        <w:t>　</w:t>
      </w:r>
      <w:r>
        <w:rPr>
          <w:rFonts w:ascii="宋体" w:hAnsi="宋体"/>
          <w:sz w:val="21"/>
          <w:szCs w:val="21"/>
        </w:rPr>
        <w:t>3.1</w:t>
      </w:r>
      <w:r>
        <w:rPr>
          <w:rFonts w:hint="eastAsia" w:ascii="宋体" w:hAnsi="宋体"/>
          <w:sz w:val="21"/>
          <w:szCs w:val="21"/>
        </w:rPr>
        <w:t>　监理人的职责和权力</w:t>
      </w:r>
    </w:p>
    <w:p>
      <w:pPr>
        <w:spacing w:line="360" w:lineRule="exact"/>
        <w:ind w:firstLine="420"/>
        <w:rPr>
          <w:rFonts w:ascii="宋体" w:hAnsi="宋体"/>
          <w:sz w:val="21"/>
          <w:szCs w:val="21"/>
        </w:rPr>
      </w:pPr>
      <w:r>
        <w:rPr>
          <w:rFonts w:ascii="宋体" w:hAnsi="宋体"/>
          <w:sz w:val="21"/>
          <w:szCs w:val="21"/>
        </w:rPr>
        <w:t>3.1.1</w:t>
      </w:r>
      <w:r>
        <w:rPr>
          <w:rFonts w:hint="eastAsia" w:ascii="宋体" w:hAnsi="宋体"/>
          <w:sz w:val="21"/>
          <w:szCs w:val="21"/>
        </w:rPr>
        <w:t>（补充）监理人在行使下列权利前，必须得到发包人的批准。</w:t>
      </w:r>
    </w:p>
    <w:p>
      <w:pPr>
        <w:spacing w:line="360" w:lineRule="exact"/>
        <w:ind w:firstLine="420" w:firstLineChars="200"/>
        <w:rPr>
          <w:rFonts w:ascii="宋体" w:hAnsi="宋体"/>
          <w:sz w:val="21"/>
          <w:szCs w:val="21"/>
        </w:rPr>
      </w:pPr>
      <w:r>
        <w:rPr>
          <w:rFonts w:ascii="宋体" w:hAnsi="宋体"/>
          <w:sz w:val="21"/>
          <w:szCs w:val="21"/>
        </w:rPr>
        <w:t>1</w:t>
      </w:r>
      <w:r>
        <w:rPr>
          <w:rFonts w:hint="eastAsia" w:ascii="宋体" w:hAnsi="宋体"/>
          <w:sz w:val="21"/>
          <w:szCs w:val="21"/>
        </w:rPr>
        <w:t>）按第</w:t>
      </w:r>
      <w:r>
        <w:rPr>
          <w:rFonts w:ascii="宋体" w:hAnsi="宋体"/>
          <w:sz w:val="21"/>
          <w:szCs w:val="21"/>
        </w:rPr>
        <w:t>4.3</w:t>
      </w:r>
      <w:r>
        <w:rPr>
          <w:rFonts w:hint="eastAsia" w:ascii="宋体" w:hAnsi="宋体"/>
          <w:sz w:val="21"/>
          <w:szCs w:val="21"/>
        </w:rPr>
        <w:t>款规定，批准工程的分包；</w:t>
      </w:r>
    </w:p>
    <w:p>
      <w:pPr>
        <w:spacing w:line="360" w:lineRule="exact"/>
        <w:rPr>
          <w:rFonts w:ascii="宋体" w:hAnsi="宋体"/>
          <w:sz w:val="21"/>
          <w:szCs w:val="21"/>
        </w:rPr>
      </w:pPr>
      <w:r>
        <w:rPr>
          <w:rFonts w:ascii="宋体" w:hAnsi="宋体"/>
          <w:sz w:val="21"/>
          <w:szCs w:val="21"/>
        </w:rPr>
        <w:t xml:space="preserve">    2</w:t>
      </w:r>
      <w:r>
        <w:rPr>
          <w:rFonts w:hint="eastAsia" w:ascii="宋体" w:hAnsi="宋体"/>
          <w:sz w:val="21"/>
          <w:szCs w:val="21"/>
        </w:rPr>
        <w:t>）按第</w:t>
      </w:r>
      <w:r>
        <w:rPr>
          <w:rFonts w:ascii="宋体" w:hAnsi="宋体"/>
          <w:sz w:val="21"/>
          <w:szCs w:val="21"/>
        </w:rPr>
        <w:t>11.5</w:t>
      </w:r>
      <w:r>
        <w:rPr>
          <w:rFonts w:hint="eastAsia" w:ascii="宋体" w:hAnsi="宋体"/>
          <w:sz w:val="21"/>
          <w:szCs w:val="21"/>
        </w:rPr>
        <w:t>款规定，确定延长完工期限；</w:t>
      </w:r>
      <w:r>
        <w:rPr>
          <w:rFonts w:ascii="宋体" w:hAnsi="宋体"/>
          <w:sz w:val="21"/>
          <w:szCs w:val="21"/>
        </w:rPr>
        <w:t xml:space="preserve"> </w:t>
      </w:r>
    </w:p>
    <w:p>
      <w:pPr>
        <w:spacing w:line="360" w:lineRule="exact"/>
        <w:rPr>
          <w:rFonts w:ascii="宋体" w:hAnsi="宋体"/>
          <w:sz w:val="21"/>
          <w:szCs w:val="21"/>
        </w:rPr>
      </w:pPr>
      <w:r>
        <w:rPr>
          <w:rFonts w:ascii="宋体" w:hAnsi="宋体"/>
          <w:sz w:val="21"/>
          <w:szCs w:val="21"/>
        </w:rPr>
        <w:t xml:space="preserve">    3</w:t>
      </w:r>
      <w:r>
        <w:rPr>
          <w:rFonts w:hint="eastAsia" w:ascii="宋体" w:hAnsi="宋体"/>
          <w:sz w:val="21"/>
          <w:szCs w:val="21"/>
        </w:rPr>
        <w:t>）按第</w:t>
      </w:r>
      <w:r>
        <w:rPr>
          <w:rFonts w:ascii="宋体" w:hAnsi="宋体"/>
          <w:sz w:val="21"/>
          <w:szCs w:val="21"/>
        </w:rPr>
        <w:t>12</w:t>
      </w:r>
      <w:r>
        <w:rPr>
          <w:rFonts w:hint="eastAsia" w:ascii="宋体" w:hAnsi="宋体"/>
          <w:sz w:val="21"/>
          <w:szCs w:val="21"/>
        </w:rPr>
        <w:t>条规定，涉及全局的暂停施工、复工；</w:t>
      </w:r>
    </w:p>
    <w:p>
      <w:pPr>
        <w:spacing w:line="360" w:lineRule="exact"/>
        <w:rPr>
          <w:rFonts w:ascii="宋体" w:hAnsi="宋体"/>
          <w:sz w:val="21"/>
          <w:szCs w:val="21"/>
        </w:rPr>
      </w:pPr>
      <w:r>
        <w:rPr>
          <w:rFonts w:ascii="宋体" w:hAnsi="宋体"/>
          <w:sz w:val="21"/>
          <w:szCs w:val="21"/>
        </w:rPr>
        <w:t xml:space="preserve">    4</w:t>
      </w:r>
      <w:r>
        <w:rPr>
          <w:rFonts w:hint="eastAsia" w:ascii="宋体" w:hAnsi="宋体"/>
          <w:sz w:val="21"/>
          <w:szCs w:val="21"/>
        </w:rPr>
        <w:t>）按第</w:t>
      </w:r>
      <w:r>
        <w:rPr>
          <w:rFonts w:ascii="宋体" w:hAnsi="宋体"/>
          <w:sz w:val="21"/>
          <w:szCs w:val="21"/>
        </w:rPr>
        <w:t>15</w:t>
      </w:r>
      <w:r>
        <w:rPr>
          <w:rFonts w:hint="eastAsia" w:ascii="宋体" w:hAnsi="宋体"/>
          <w:sz w:val="21"/>
          <w:szCs w:val="21"/>
        </w:rPr>
        <w:t>条规定，当变更引起任何合同价格变动时作出变更决定；</w:t>
      </w:r>
      <w:r>
        <w:rPr>
          <w:rFonts w:ascii="宋体" w:hAnsi="宋体"/>
          <w:sz w:val="21"/>
          <w:szCs w:val="21"/>
        </w:rPr>
        <w:t xml:space="preserve"> </w:t>
      </w:r>
    </w:p>
    <w:p>
      <w:pPr>
        <w:spacing w:line="360" w:lineRule="exact"/>
        <w:ind w:firstLine="420" w:firstLineChars="200"/>
        <w:rPr>
          <w:rFonts w:ascii="宋体" w:hAnsi="宋体"/>
          <w:sz w:val="21"/>
          <w:szCs w:val="21"/>
        </w:rPr>
      </w:pPr>
      <w:r>
        <w:rPr>
          <w:rFonts w:ascii="宋体" w:hAnsi="宋体"/>
          <w:sz w:val="21"/>
          <w:szCs w:val="21"/>
        </w:rPr>
        <w:t>5</w:t>
      </w:r>
      <w:r>
        <w:rPr>
          <w:rFonts w:hint="eastAsia" w:ascii="宋体" w:hAnsi="宋体"/>
          <w:sz w:val="21"/>
          <w:szCs w:val="21"/>
        </w:rPr>
        <w:t>）按第</w:t>
      </w:r>
      <w:r>
        <w:rPr>
          <w:rFonts w:ascii="宋体" w:hAnsi="宋体"/>
          <w:sz w:val="21"/>
          <w:szCs w:val="21"/>
        </w:rPr>
        <w:t>17</w:t>
      </w:r>
      <w:r>
        <w:rPr>
          <w:rFonts w:hint="eastAsia" w:ascii="宋体" w:hAnsi="宋体"/>
          <w:sz w:val="21"/>
          <w:szCs w:val="21"/>
        </w:rPr>
        <w:t>条规定，工程量的计量；</w:t>
      </w:r>
    </w:p>
    <w:p>
      <w:pPr>
        <w:spacing w:line="360" w:lineRule="exact"/>
        <w:rPr>
          <w:rFonts w:ascii="宋体" w:hAnsi="宋体"/>
          <w:sz w:val="21"/>
          <w:szCs w:val="21"/>
        </w:rPr>
      </w:pPr>
      <w:r>
        <w:rPr>
          <w:rFonts w:ascii="宋体" w:hAnsi="宋体"/>
          <w:sz w:val="21"/>
          <w:szCs w:val="21"/>
        </w:rPr>
        <w:t xml:space="preserve">    6</w:t>
      </w:r>
      <w:r>
        <w:rPr>
          <w:rFonts w:hint="eastAsia" w:ascii="宋体" w:hAnsi="宋体"/>
          <w:sz w:val="21"/>
          <w:szCs w:val="21"/>
        </w:rPr>
        <w:t>）按第</w:t>
      </w:r>
      <w:r>
        <w:rPr>
          <w:rFonts w:ascii="宋体" w:hAnsi="宋体"/>
          <w:sz w:val="21"/>
          <w:szCs w:val="21"/>
        </w:rPr>
        <w:t>23</w:t>
      </w:r>
      <w:r>
        <w:rPr>
          <w:rFonts w:hint="eastAsia" w:ascii="宋体" w:hAnsi="宋体"/>
          <w:sz w:val="21"/>
          <w:szCs w:val="21"/>
        </w:rPr>
        <w:t>条规定，索赔的批准与支付。</w:t>
      </w:r>
    </w:p>
    <w:p>
      <w:pPr>
        <w:spacing w:line="360" w:lineRule="exact"/>
        <w:outlineLvl w:val="1"/>
        <w:rPr>
          <w:rFonts w:ascii="宋体" w:hAnsi="宋体"/>
          <w:b/>
          <w:sz w:val="21"/>
          <w:szCs w:val="21"/>
        </w:rPr>
      </w:pPr>
      <w:bookmarkStart w:id="59" w:name="第04章合同条款及格式0204"/>
      <w:bookmarkEnd w:id="59"/>
      <w:bookmarkStart w:id="60" w:name="_Toc522970357"/>
      <w:bookmarkStart w:id="61" w:name="_Toc8448"/>
      <w:bookmarkStart w:id="62" w:name="_Toc22098"/>
      <w:bookmarkStart w:id="63" w:name="_Toc340483308"/>
      <w:bookmarkStart w:id="64" w:name="_Toc17904"/>
      <w:bookmarkStart w:id="65" w:name="_Toc525977320"/>
      <w:bookmarkStart w:id="66" w:name="_Toc943964"/>
      <w:r>
        <w:rPr>
          <w:rFonts w:hint="eastAsia" w:ascii="宋体" w:hAnsi="宋体"/>
          <w:b/>
          <w:sz w:val="21"/>
          <w:szCs w:val="21"/>
        </w:rPr>
        <w:t>4　承包人</w:t>
      </w:r>
      <w:bookmarkEnd w:id="60"/>
      <w:bookmarkEnd w:id="61"/>
      <w:bookmarkEnd w:id="62"/>
      <w:bookmarkEnd w:id="63"/>
      <w:bookmarkEnd w:id="64"/>
      <w:bookmarkEnd w:id="65"/>
      <w:bookmarkEnd w:id="66"/>
    </w:p>
    <w:p>
      <w:pPr>
        <w:spacing w:line="360" w:lineRule="exact"/>
        <w:rPr>
          <w:rFonts w:ascii="宋体" w:hAnsi="宋体"/>
          <w:sz w:val="21"/>
          <w:szCs w:val="21"/>
        </w:rPr>
      </w:pPr>
      <w:r>
        <w:rPr>
          <w:rFonts w:hint="eastAsia" w:ascii="宋体" w:hAnsi="宋体"/>
          <w:sz w:val="21"/>
          <w:szCs w:val="21"/>
        </w:rPr>
        <w:t>4.1履约担保</w:t>
      </w:r>
    </w:p>
    <w:p>
      <w:pPr>
        <w:spacing w:line="360" w:lineRule="exact"/>
        <w:rPr>
          <w:rFonts w:hint="eastAsia" w:ascii="宋体" w:hAnsi="宋体" w:eastAsia="宋体" w:cs="宋体"/>
          <w:color w:val="000000"/>
          <w:kern w:val="0"/>
          <w:sz w:val="21"/>
          <w:szCs w:val="21"/>
          <w:lang w:val="en-US" w:eastAsia="zh-CN"/>
        </w:rPr>
      </w:pPr>
      <w:r>
        <w:rPr>
          <w:rFonts w:hint="eastAsia" w:ascii="宋体" w:hAnsi="宋体"/>
          <w:sz w:val="21"/>
          <w:szCs w:val="21"/>
        </w:rPr>
        <w:t>　</w:t>
      </w:r>
      <w:r>
        <w:rPr>
          <w:rFonts w:hint="eastAsia" w:ascii="宋体" w:hAnsi="宋体" w:eastAsia="宋体" w:cs="宋体"/>
          <w:color w:val="000000"/>
          <w:kern w:val="0"/>
          <w:sz w:val="21"/>
          <w:szCs w:val="21"/>
          <w:lang w:val="en-US" w:eastAsia="zh-CN"/>
        </w:rPr>
        <w:t>承包人应在合同签订前将合同价款的10%的履约保证金以现金</w:t>
      </w:r>
      <w:r>
        <w:rPr>
          <w:rFonts w:hint="eastAsia" w:ascii="宋体" w:hAnsi="宋体" w:cs="宋体"/>
          <w:color w:val="000000"/>
          <w:kern w:val="0"/>
          <w:sz w:val="21"/>
          <w:szCs w:val="21"/>
          <w:lang w:val="en-US" w:eastAsia="zh-CN"/>
        </w:rPr>
        <w:t>或转账</w:t>
      </w:r>
      <w:r>
        <w:rPr>
          <w:rFonts w:hint="eastAsia" w:ascii="宋体" w:hAnsi="宋体" w:eastAsia="宋体" w:cs="宋体"/>
          <w:color w:val="000000"/>
          <w:kern w:val="0"/>
          <w:sz w:val="21"/>
          <w:szCs w:val="21"/>
          <w:lang w:val="en-US" w:eastAsia="zh-CN"/>
        </w:rPr>
        <w:t>（合同签订前从单位基本账户交至招标人指定账户）形式缴纳；履约保证金在工程整体竣工验收后发包人无息退还给承包人。</w:t>
      </w:r>
    </w:p>
    <w:p>
      <w:pPr>
        <w:spacing w:line="360" w:lineRule="exact"/>
        <w:rPr>
          <w:rFonts w:ascii="宋体" w:hAnsi="宋体"/>
          <w:sz w:val="21"/>
          <w:szCs w:val="21"/>
        </w:rPr>
      </w:pPr>
      <w:r>
        <w:rPr>
          <w:rFonts w:ascii="宋体" w:hAnsi="宋体"/>
          <w:sz w:val="21"/>
          <w:szCs w:val="21"/>
        </w:rPr>
        <w:t>4.</w:t>
      </w:r>
      <w:r>
        <w:rPr>
          <w:rFonts w:hint="eastAsia" w:ascii="宋体" w:hAnsi="宋体"/>
          <w:sz w:val="21"/>
          <w:szCs w:val="21"/>
        </w:rPr>
        <w:t>2　分包</w:t>
      </w:r>
    </w:p>
    <w:p>
      <w:pPr>
        <w:spacing w:line="360" w:lineRule="exact"/>
        <w:rPr>
          <w:rFonts w:ascii="宋体" w:hAnsi="宋体"/>
          <w:sz w:val="21"/>
          <w:szCs w:val="21"/>
        </w:rPr>
      </w:pPr>
      <w:r>
        <w:rPr>
          <w:rFonts w:ascii="宋体" w:hAnsi="宋体"/>
          <w:sz w:val="21"/>
          <w:szCs w:val="21"/>
        </w:rPr>
        <w:t>4.</w:t>
      </w:r>
      <w:r>
        <w:rPr>
          <w:rFonts w:hint="eastAsia" w:ascii="宋体" w:hAnsi="宋体"/>
          <w:sz w:val="21"/>
          <w:szCs w:val="21"/>
        </w:rPr>
        <w:t>2</w:t>
      </w:r>
      <w:r>
        <w:rPr>
          <w:rFonts w:ascii="宋体" w:hAnsi="宋体"/>
          <w:sz w:val="21"/>
          <w:szCs w:val="21"/>
        </w:rPr>
        <w:t>.</w:t>
      </w:r>
      <w:r>
        <w:rPr>
          <w:rFonts w:hint="eastAsia" w:ascii="宋体" w:hAnsi="宋体"/>
          <w:sz w:val="21"/>
          <w:szCs w:val="21"/>
        </w:rPr>
        <w:t>1　本工程不允许分包。</w:t>
      </w:r>
    </w:p>
    <w:p>
      <w:pPr>
        <w:spacing w:line="360" w:lineRule="exact"/>
        <w:rPr>
          <w:rFonts w:ascii="宋体" w:hAnsi="宋体"/>
          <w:sz w:val="21"/>
          <w:szCs w:val="21"/>
        </w:rPr>
      </w:pPr>
      <w:r>
        <w:rPr>
          <w:rFonts w:hint="eastAsia" w:ascii="宋体" w:hAnsi="宋体"/>
          <w:sz w:val="21"/>
          <w:szCs w:val="21"/>
        </w:rPr>
        <w:t>4.3 联合体</w:t>
      </w:r>
    </w:p>
    <w:p>
      <w:pPr>
        <w:spacing w:line="360" w:lineRule="exact"/>
        <w:rPr>
          <w:rFonts w:ascii="宋体" w:hAnsi="宋体"/>
          <w:sz w:val="21"/>
          <w:szCs w:val="21"/>
        </w:rPr>
      </w:pPr>
      <w:r>
        <w:rPr>
          <w:rFonts w:hint="eastAsia" w:ascii="宋体" w:hAnsi="宋体"/>
          <w:sz w:val="21"/>
          <w:szCs w:val="21"/>
        </w:rPr>
        <w:t>4.3.1 本工程不接受联合体投标</w:t>
      </w:r>
    </w:p>
    <w:p>
      <w:pPr>
        <w:spacing w:line="360" w:lineRule="exact"/>
        <w:rPr>
          <w:rFonts w:ascii="宋体" w:hAnsi="宋体"/>
          <w:sz w:val="21"/>
          <w:szCs w:val="21"/>
        </w:rPr>
      </w:pPr>
      <w:r>
        <w:rPr>
          <w:rFonts w:ascii="宋体" w:hAnsi="宋体"/>
          <w:sz w:val="21"/>
          <w:szCs w:val="21"/>
        </w:rPr>
        <w:t>4.</w:t>
      </w:r>
      <w:r>
        <w:rPr>
          <w:rFonts w:hint="eastAsia" w:ascii="宋体" w:hAnsi="宋体"/>
          <w:sz w:val="21"/>
          <w:szCs w:val="21"/>
        </w:rPr>
        <w:t>4　承包人项目经理</w:t>
      </w:r>
    </w:p>
    <w:p>
      <w:pPr>
        <w:spacing w:line="360" w:lineRule="exact"/>
        <w:rPr>
          <w:rFonts w:ascii="宋体" w:hAnsi="宋体"/>
          <w:color w:val="auto"/>
          <w:sz w:val="21"/>
          <w:szCs w:val="21"/>
        </w:rPr>
      </w:pPr>
      <w:r>
        <w:rPr>
          <w:rFonts w:ascii="宋体" w:hAnsi="宋体"/>
          <w:color w:val="auto"/>
          <w:sz w:val="21"/>
          <w:szCs w:val="21"/>
        </w:rPr>
        <w:t>4.</w:t>
      </w:r>
      <w:r>
        <w:rPr>
          <w:rFonts w:hint="eastAsia" w:ascii="宋体" w:hAnsi="宋体"/>
          <w:color w:val="auto"/>
          <w:sz w:val="21"/>
          <w:szCs w:val="21"/>
        </w:rPr>
        <w:t>4</w:t>
      </w:r>
      <w:r>
        <w:rPr>
          <w:rFonts w:ascii="宋体" w:hAnsi="宋体"/>
          <w:color w:val="auto"/>
          <w:sz w:val="21"/>
          <w:szCs w:val="21"/>
        </w:rPr>
        <w:t>.1</w:t>
      </w:r>
      <w:r>
        <w:rPr>
          <w:rFonts w:hint="eastAsia" w:ascii="宋体" w:hAnsi="宋体"/>
          <w:color w:val="auto"/>
          <w:sz w:val="21"/>
          <w:szCs w:val="21"/>
        </w:rPr>
        <w:t>项目经理必须常驻现场，每周不少于5天，由发包人及监理单位使用相关设备负责考勤，每查到一次不在岗罚款1000元。发包人及监理召开例会时，项目经理必须参加，不参加例会，罚款1000元/次，罚金在下次付款时予以扣除。</w:t>
      </w:r>
    </w:p>
    <w:p>
      <w:pPr>
        <w:spacing w:line="360" w:lineRule="exact"/>
        <w:rPr>
          <w:rFonts w:ascii="宋体" w:hAnsi="宋体"/>
          <w:sz w:val="21"/>
          <w:szCs w:val="21"/>
        </w:rPr>
      </w:pPr>
      <w:r>
        <w:rPr>
          <w:rFonts w:hint="eastAsia" w:ascii="宋体" w:hAnsi="宋体"/>
          <w:sz w:val="21"/>
          <w:szCs w:val="21"/>
        </w:rPr>
        <w:t>4.5 工程价款应专款专用</w:t>
      </w:r>
    </w:p>
    <w:p>
      <w:pPr>
        <w:spacing w:line="360" w:lineRule="exact"/>
        <w:rPr>
          <w:rFonts w:ascii="宋体" w:hAnsi="宋体"/>
          <w:sz w:val="21"/>
          <w:szCs w:val="21"/>
        </w:rPr>
      </w:pPr>
      <w:r>
        <w:rPr>
          <w:rFonts w:hint="eastAsia" w:ascii="宋体" w:hAnsi="宋体"/>
          <w:sz w:val="21"/>
          <w:szCs w:val="21"/>
        </w:rPr>
        <w:t>发包人按合同约定支付给承包人的各项价款应专用于合同工程。承包人应在发包人指定银行开设账户，检查不规范发包人可拒绝付款。</w:t>
      </w:r>
    </w:p>
    <w:p>
      <w:pPr>
        <w:spacing w:line="360" w:lineRule="exact"/>
        <w:outlineLvl w:val="1"/>
        <w:rPr>
          <w:rFonts w:ascii="宋体" w:hAnsi="宋体"/>
          <w:sz w:val="21"/>
          <w:szCs w:val="21"/>
        </w:rPr>
      </w:pPr>
      <w:bookmarkStart w:id="67" w:name="第04章合同条款及格式0205"/>
      <w:bookmarkEnd w:id="67"/>
      <w:bookmarkStart w:id="68" w:name="_Toc340483309"/>
      <w:bookmarkStart w:id="69" w:name="_Toc11454"/>
      <w:bookmarkStart w:id="70" w:name="_Toc522970358"/>
      <w:bookmarkStart w:id="71" w:name="_Toc30232"/>
      <w:bookmarkStart w:id="72" w:name="_Toc4797"/>
      <w:bookmarkStart w:id="73" w:name="_Toc525977321"/>
      <w:bookmarkStart w:id="74" w:name="_Toc943965"/>
      <w:r>
        <w:rPr>
          <w:rFonts w:hint="eastAsia" w:ascii="宋体" w:hAnsi="宋体"/>
          <w:b/>
          <w:sz w:val="21"/>
          <w:szCs w:val="21"/>
        </w:rPr>
        <w:t>5　材料和工程设备</w:t>
      </w:r>
      <w:bookmarkEnd w:id="68"/>
      <w:bookmarkEnd w:id="69"/>
      <w:bookmarkEnd w:id="70"/>
      <w:bookmarkEnd w:id="71"/>
      <w:bookmarkEnd w:id="72"/>
      <w:bookmarkEnd w:id="73"/>
      <w:bookmarkEnd w:id="74"/>
    </w:p>
    <w:p>
      <w:pPr>
        <w:spacing w:line="360" w:lineRule="exact"/>
        <w:ind w:left="210"/>
        <w:rPr>
          <w:rFonts w:ascii="宋体" w:hAnsi="宋体"/>
          <w:sz w:val="21"/>
          <w:szCs w:val="21"/>
        </w:rPr>
      </w:pPr>
      <w:r>
        <w:rPr>
          <w:rFonts w:hint="eastAsia" w:ascii="宋体" w:hAnsi="宋体"/>
          <w:sz w:val="21"/>
          <w:szCs w:val="21"/>
        </w:rPr>
        <w:t>5.1发包人提供的材料和工程设备；</w:t>
      </w:r>
    </w:p>
    <w:p>
      <w:pPr>
        <w:spacing w:line="360" w:lineRule="exact"/>
        <w:ind w:firstLine="105" w:firstLineChars="50"/>
        <w:rPr>
          <w:rFonts w:ascii="宋体" w:hAnsi="宋体"/>
          <w:sz w:val="21"/>
          <w:szCs w:val="21"/>
        </w:rPr>
      </w:pPr>
      <w:r>
        <w:rPr>
          <w:rFonts w:hint="eastAsia" w:ascii="宋体" w:hAnsi="宋体"/>
          <w:sz w:val="21"/>
          <w:szCs w:val="21"/>
        </w:rPr>
        <w:t>发包人不提供任何工程设备。但材料与设备的采购需经发包人同意。</w:t>
      </w:r>
    </w:p>
    <w:p>
      <w:pPr>
        <w:spacing w:line="360" w:lineRule="exact"/>
        <w:outlineLvl w:val="1"/>
        <w:rPr>
          <w:rFonts w:ascii="宋体" w:hAnsi="宋体"/>
          <w:b/>
          <w:sz w:val="21"/>
          <w:szCs w:val="21"/>
        </w:rPr>
      </w:pPr>
      <w:bookmarkStart w:id="75" w:name="_Toc943966"/>
      <w:bookmarkStart w:id="76" w:name="_Toc522970359"/>
      <w:bookmarkStart w:id="77" w:name="_Toc26691"/>
      <w:bookmarkStart w:id="78" w:name="_Toc10823"/>
      <w:bookmarkStart w:id="79" w:name="_Toc25283"/>
      <w:bookmarkStart w:id="80" w:name="_Toc525977322"/>
      <w:r>
        <w:rPr>
          <w:rFonts w:hint="eastAsia" w:ascii="宋体" w:hAnsi="宋体"/>
          <w:b/>
          <w:sz w:val="21"/>
          <w:szCs w:val="21"/>
        </w:rPr>
        <w:t>6 施工设备和临时设施</w:t>
      </w:r>
      <w:bookmarkEnd w:id="75"/>
      <w:bookmarkEnd w:id="76"/>
      <w:bookmarkEnd w:id="77"/>
      <w:bookmarkEnd w:id="78"/>
      <w:bookmarkEnd w:id="79"/>
      <w:bookmarkEnd w:id="80"/>
    </w:p>
    <w:p>
      <w:pPr>
        <w:spacing w:line="360" w:lineRule="exact"/>
        <w:rPr>
          <w:rFonts w:ascii="宋体" w:hAnsi="宋体"/>
          <w:sz w:val="21"/>
          <w:szCs w:val="21"/>
        </w:rPr>
      </w:pPr>
      <w:r>
        <w:rPr>
          <w:rFonts w:hint="eastAsia" w:ascii="宋体" w:hAnsi="宋体"/>
          <w:sz w:val="21"/>
          <w:szCs w:val="21"/>
        </w:rPr>
        <w:t>6.1.2承包人应自行承担修建临时设施的费用，需要临时占地的，发包人配合承包人办理申请手续，但由此发生的费用由承包人在投标报价中考虑。</w:t>
      </w:r>
    </w:p>
    <w:p>
      <w:pPr>
        <w:spacing w:line="360" w:lineRule="exact"/>
        <w:outlineLvl w:val="1"/>
        <w:rPr>
          <w:rFonts w:ascii="宋体" w:hAnsi="宋体"/>
          <w:b/>
          <w:sz w:val="21"/>
          <w:szCs w:val="21"/>
        </w:rPr>
      </w:pPr>
      <w:bookmarkStart w:id="81" w:name="第04章合同条款及格式0207"/>
      <w:bookmarkEnd w:id="81"/>
      <w:bookmarkStart w:id="82" w:name="第04章合同条款及格式0206"/>
      <w:bookmarkEnd w:id="82"/>
      <w:bookmarkStart w:id="83" w:name="_Toc26444"/>
      <w:bookmarkStart w:id="84" w:name="_Toc30416"/>
      <w:bookmarkStart w:id="85" w:name="_Toc6281"/>
      <w:bookmarkStart w:id="86" w:name="_Toc943967"/>
      <w:bookmarkStart w:id="87" w:name="_Toc525977323"/>
      <w:bookmarkStart w:id="88" w:name="_Toc522970360"/>
      <w:bookmarkStart w:id="89" w:name="_Toc340483310"/>
      <w:r>
        <w:rPr>
          <w:rFonts w:hint="eastAsia" w:ascii="宋体" w:hAnsi="宋体"/>
          <w:b/>
          <w:sz w:val="21"/>
          <w:szCs w:val="21"/>
        </w:rPr>
        <w:t>7　交通运输</w:t>
      </w:r>
      <w:bookmarkEnd w:id="83"/>
      <w:bookmarkEnd w:id="84"/>
      <w:bookmarkEnd w:id="85"/>
      <w:bookmarkEnd w:id="86"/>
      <w:bookmarkEnd w:id="87"/>
      <w:bookmarkEnd w:id="88"/>
      <w:bookmarkEnd w:id="89"/>
    </w:p>
    <w:p>
      <w:pPr>
        <w:numPr>
          <w:ilvl w:val="1"/>
          <w:numId w:val="8"/>
        </w:numPr>
        <w:snapToGrid w:val="0"/>
        <w:spacing w:line="360" w:lineRule="exact"/>
        <w:rPr>
          <w:rFonts w:ascii="宋体" w:hAnsi="宋体"/>
          <w:b/>
          <w:sz w:val="21"/>
          <w:szCs w:val="21"/>
        </w:rPr>
      </w:pPr>
      <w:r>
        <w:rPr>
          <w:rFonts w:hint="eastAsia" w:ascii="宋体" w:hAnsi="宋体"/>
          <w:b/>
          <w:sz w:val="21"/>
          <w:szCs w:val="21"/>
        </w:rPr>
        <w:t>场外交通</w:t>
      </w:r>
    </w:p>
    <w:p>
      <w:pPr>
        <w:spacing w:line="360" w:lineRule="exact"/>
        <w:rPr>
          <w:rFonts w:ascii="宋体" w:hAnsi="宋体"/>
          <w:b/>
          <w:sz w:val="21"/>
          <w:szCs w:val="21"/>
        </w:rPr>
      </w:pPr>
      <w:r>
        <w:rPr>
          <w:rFonts w:ascii="宋体" w:hAnsi="宋体"/>
          <w:b/>
          <w:sz w:val="21"/>
          <w:szCs w:val="21"/>
        </w:rPr>
        <w:t xml:space="preserve">    </w:t>
      </w:r>
      <w:r>
        <w:rPr>
          <w:rFonts w:hint="eastAsia" w:ascii="宋体" w:hAnsi="宋体"/>
          <w:b/>
          <w:sz w:val="21"/>
          <w:szCs w:val="21"/>
        </w:rPr>
        <w:t>应考虑实际施工情况，场内、场外等临时用道路应包含在投标报价中。</w:t>
      </w:r>
    </w:p>
    <w:p>
      <w:pPr>
        <w:spacing w:line="360" w:lineRule="exact"/>
        <w:ind w:firstLine="420" w:firstLineChars="200"/>
        <w:rPr>
          <w:rFonts w:ascii="宋体" w:hAnsi="宋体"/>
          <w:sz w:val="21"/>
          <w:szCs w:val="21"/>
        </w:rPr>
      </w:pPr>
      <w:r>
        <w:rPr>
          <w:rFonts w:ascii="宋体" w:hAnsi="宋体"/>
          <w:sz w:val="21"/>
          <w:szCs w:val="21"/>
        </w:rPr>
        <w:t>7.3.3</w:t>
      </w:r>
      <w:r>
        <w:rPr>
          <w:rFonts w:hint="eastAsia" w:ascii="宋体" w:hAnsi="宋体"/>
          <w:sz w:val="21"/>
          <w:szCs w:val="21"/>
        </w:rPr>
        <w:t>承包人应加强车辆管理，严禁使用无证、报废车辆上路，严禁超载运输，遵守当地交通规则，承担与此相关的责任和费用。</w:t>
      </w:r>
    </w:p>
    <w:p>
      <w:pPr>
        <w:spacing w:line="360" w:lineRule="exact"/>
        <w:ind w:left="200" w:leftChars="100" w:firstLine="210" w:firstLineChars="100"/>
        <w:rPr>
          <w:rFonts w:ascii="宋体" w:hAnsi="宋体"/>
          <w:sz w:val="21"/>
          <w:szCs w:val="21"/>
        </w:rPr>
      </w:pPr>
      <w:r>
        <w:rPr>
          <w:rFonts w:ascii="宋体" w:hAnsi="宋体"/>
          <w:sz w:val="21"/>
          <w:szCs w:val="21"/>
        </w:rPr>
        <w:t>7.3.4</w:t>
      </w:r>
      <w:r>
        <w:rPr>
          <w:rFonts w:hint="eastAsia" w:ascii="宋体" w:hAnsi="宋体"/>
          <w:sz w:val="21"/>
          <w:szCs w:val="21"/>
        </w:rPr>
        <w:t>承包人所用车辆载重应符合所经道路要求，严禁超载；对农村机耕道路根据实际情况实施限载，凡因承包人载重车辆导致的道路损坏，由承包人负责修复，发包人有权根据交通部门提供的修复预算从承包的合同款项中优先扣除，直至修复验收合格。</w:t>
      </w:r>
    </w:p>
    <w:p>
      <w:pPr>
        <w:spacing w:line="360" w:lineRule="exact"/>
        <w:outlineLvl w:val="1"/>
        <w:rPr>
          <w:rFonts w:ascii="宋体" w:hAnsi="宋体"/>
          <w:b/>
          <w:sz w:val="21"/>
          <w:szCs w:val="21"/>
        </w:rPr>
      </w:pPr>
      <w:bookmarkStart w:id="90" w:name="第04章合同条款及格式0209"/>
      <w:bookmarkEnd w:id="90"/>
      <w:bookmarkStart w:id="91" w:name="_Toc525977324"/>
      <w:bookmarkStart w:id="92" w:name="_Toc943968"/>
      <w:bookmarkStart w:id="93" w:name="_Toc2929"/>
      <w:bookmarkStart w:id="94" w:name="_Toc19346"/>
      <w:bookmarkStart w:id="95" w:name="_Toc27220"/>
      <w:bookmarkStart w:id="96" w:name="_Toc522970361"/>
      <w:bookmarkStart w:id="97" w:name="_Toc340483311"/>
      <w:r>
        <w:rPr>
          <w:rFonts w:hint="eastAsia" w:ascii="宋体" w:hAnsi="宋体"/>
          <w:b/>
          <w:sz w:val="21"/>
          <w:szCs w:val="21"/>
        </w:rPr>
        <w:t>9　施工安全、治安保卫和环境保护</w:t>
      </w:r>
      <w:bookmarkEnd w:id="91"/>
      <w:bookmarkEnd w:id="92"/>
      <w:bookmarkEnd w:id="93"/>
      <w:bookmarkEnd w:id="94"/>
      <w:bookmarkEnd w:id="95"/>
      <w:bookmarkEnd w:id="96"/>
      <w:bookmarkEnd w:id="97"/>
    </w:p>
    <w:p>
      <w:pPr>
        <w:spacing w:line="360" w:lineRule="exact"/>
        <w:rPr>
          <w:rFonts w:ascii="宋体" w:hAnsi="宋体"/>
          <w:sz w:val="21"/>
          <w:szCs w:val="21"/>
        </w:rPr>
      </w:pPr>
      <w:r>
        <w:rPr>
          <w:rFonts w:hint="eastAsia" w:ascii="宋体" w:hAnsi="宋体"/>
          <w:sz w:val="21"/>
          <w:szCs w:val="21"/>
        </w:rPr>
        <w:t>　</w:t>
      </w:r>
      <w:r>
        <w:rPr>
          <w:rFonts w:ascii="宋体" w:hAnsi="宋体"/>
          <w:sz w:val="21"/>
          <w:szCs w:val="21"/>
        </w:rPr>
        <w:t>9.2</w:t>
      </w:r>
      <w:r>
        <w:rPr>
          <w:rFonts w:hint="eastAsia" w:ascii="宋体" w:hAnsi="宋体"/>
          <w:sz w:val="21"/>
          <w:szCs w:val="21"/>
        </w:rPr>
        <w:t>　承包人的施工安全责任</w:t>
      </w:r>
    </w:p>
    <w:p>
      <w:pPr>
        <w:spacing w:line="360" w:lineRule="exact"/>
        <w:ind w:firstLine="420"/>
        <w:rPr>
          <w:rFonts w:ascii="宋体" w:hAnsi="宋体"/>
          <w:sz w:val="21"/>
          <w:szCs w:val="21"/>
        </w:rPr>
      </w:pPr>
      <w:r>
        <w:rPr>
          <w:rFonts w:ascii="宋体" w:hAnsi="宋体"/>
          <w:sz w:val="21"/>
          <w:szCs w:val="21"/>
        </w:rPr>
        <w:t>9.2.12</w:t>
      </w:r>
      <w:r>
        <w:rPr>
          <w:rFonts w:hint="eastAsia" w:ascii="宋体" w:hAnsi="宋体"/>
          <w:sz w:val="21"/>
          <w:szCs w:val="21"/>
        </w:rPr>
        <w:t>　下列工程应编制专项施工方案：</w:t>
      </w:r>
      <w:r>
        <w:rPr>
          <w:rFonts w:hint="eastAsia" w:ascii="宋体" w:hAnsi="宋体"/>
          <w:sz w:val="21"/>
          <w:szCs w:val="21"/>
          <w:u w:val="single"/>
        </w:rPr>
        <w:t xml:space="preserve">  扬尘控制　</w:t>
      </w:r>
      <w:r>
        <w:rPr>
          <w:rFonts w:hint="eastAsia" w:ascii="宋体" w:hAnsi="宋体"/>
          <w:sz w:val="21"/>
          <w:szCs w:val="21"/>
        </w:rPr>
        <w:t>。</w:t>
      </w:r>
    </w:p>
    <w:p>
      <w:pPr>
        <w:spacing w:line="360" w:lineRule="exact"/>
        <w:ind w:firstLine="407" w:firstLineChars="194"/>
        <w:rPr>
          <w:rFonts w:ascii="宋体" w:hAnsi="宋体"/>
          <w:sz w:val="21"/>
          <w:szCs w:val="21"/>
        </w:rPr>
      </w:pPr>
      <w:r>
        <w:rPr>
          <w:rFonts w:hint="eastAsia" w:ascii="宋体" w:hAnsi="宋体"/>
          <w:sz w:val="21"/>
          <w:szCs w:val="21"/>
        </w:rPr>
        <w:t>因扬尘问题被通报罚款的，由施工单位自行承担。</w:t>
      </w:r>
    </w:p>
    <w:p>
      <w:pPr>
        <w:spacing w:line="360" w:lineRule="exact"/>
        <w:ind w:firstLine="420" w:firstLineChars="200"/>
        <w:outlineLvl w:val="1"/>
        <w:rPr>
          <w:rFonts w:hint="eastAsia" w:ascii="宋体" w:hAnsi="宋体"/>
          <w:b w:val="0"/>
          <w:bCs/>
          <w:sz w:val="21"/>
          <w:szCs w:val="21"/>
        </w:rPr>
      </w:pPr>
      <w:bookmarkStart w:id="98" w:name="_Toc525977325"/>
      <w:bookmarkStart w:id="99" w:name="_Toc6671"/>
      <w:bookmarkStart w:id="100" w:name="_Toc16843"/>
      <w:bookmarkStart w:id="101" w:name="_Toc10320"/>
      <w:bookmarkStart w:id="102" w:name="_Toc943969"/>
      <w:bookmarkStart w:id="103" w:name="_Toc522970362"/>
      <w:r>
        <w:rPr>
          <w:rFonts w:hint="eastAsia" w:ascii="宋体" w:hAnsi="宋体"/>
          <w:b w:val="0"/>
          <w:bCs/>
          <w:sz w:val="21"/>
          <w:szCs w:val="21"/>
        </w:rPr>
        <w:t>施工单位文明施工按规范《执行常州市水利工程施工扬尘管控实施细则（常水建【2018】13号文）》、《坛大气办【2018】4号》、《坛建发【2018】72号》（依照房屋建筑工程施工现场管理）等文要求执行。</w:t>
      </w:r>
    </w:p>
    <w:p>
      <w:pPr>
        <w:spacing w:line="360" w:lineRule="exact"/>
        <w:outlineLvl w:val="1"/>
        <w:rPr>
          <w:rFonts w:ascii="宋体" w:hAnsi="宋体"/>
          <w:b/>
          <w:sz w:val="21"/>
          <w:szCs w:val="21"/>
        </w:rPr>
      </w:pPr>
      <w:r>
        <w:rPr>
          <w:rFonts w:hint="eastAsia" w:ascii="宋体" w:hAnsi="宋体"/>
          <w:b/>
          <w:sz w:val="21"/>
          <w:szCs w:val="21"/>
        </w:rPr>
        <w:t>10 进度计划</w:t>
      </w:r>
      <w:bookmarkEnd w:id="98"/>
      <w:bookmarkEnd w:id="99"/>
      <w:bookmarkEnd w:id="100"/>
      <w:bookmarkEnd w:id="101"/>
      <w:bookmarkEnd w:id="102"/>
      <w:bookmarkEnd w:id="103"/>
    </w:p>
    <w:p>
      <w:pPr>
        <w:spacing w:line="360" w:lineRule="exact"/>
        <w:rPr>
          <w:rFonts w:ascii="宋体" w:hAnsi="宋体"/>
          <w:sz w:val="21"/>
          <w:szCs w:val="21"/>
        </w:rPr>
      </w:pPr>
      <w:r>
        <w:rPr>
          <w:rFonts w:hint="eastAsia" w:ascii="宋体" w:hAnsi="宋体"/>
          <w:sz w:val="21"/>
          <w:szCs w:val="21"/>
        </w:rPr>
        <w:t>10.1 合同进度计划</w:t>
      </w:r>
    </w:p>
    <w:p>
      <w:pPr>
        <w:spacing w:line="360" w:lineRule="exact"/>
        <w:rPr>
          <w:rFonts w:ascii="宋体" w:hAnsi="宋体"/>
          <w:sz w:val="21"/>
          <w:szCs w:val="21"/>
        </w:rPr>
      </w:pPr>
      <w:r>
        <w:rPr>
          <w:rFonts w:hint="eastAsia" w:ascii="宋体" w:hAnsi="宋体"/>
          <w:sz w:val="21"/>
          <w:szCs w:val="21"/>
        </w:rPr>
        <w:t>10.1.1 承包人在开工后7天内报送详细的施工进度计划、施工方案说明，监理人应在7天内予以批复或提出修改意见以确定合同进度计划，应配合上级主部门做好计划进度报表的编报。</w:t>
      </w:r>
    </w:p>
    <w:p>
      <w:pPr>
        <w:spacing w:line="360" w:lineRule="exact"/>
        <w:outlineLvl w:val="1"/>
        <w:rPr>
          <w:rFonts w:ascii="宋体" w:hAnsi="宋体"/>
          <w:b/>
          <w:sz w:val="21"/>
          <w:szCs w:val="21"/>
        </w:rPr>
      </w:pPr>
      <w:bookmarkStart w:id="104" w:name="第04章合同条款及格式0211"/>
      <w:bookmarkEnd w:id="104"/>
      <w:bookmarkStart w:id="105" w:name="_Toc943970"/>
      <w:bookmarkStart w:id="106" w:name="_Toc522970363"/>
      <w:bookmarkStart w:id="107" w:name="_Toc7777"/>
      <w:bookmarkStart w:id="108" w:name="_Toc28212"/>
      <w:bookmarkStart w:id="109" w:name="_Toc340483312"/>
      <w:bookmarkStart w:id="110" w:name="_Toc525977326"/>
      <w:bookmarkStart w:id="111" w:name="_Toc22843"/>
      <w:r>
        <w:rPr>
          <w:rFonts w:hint="eastAsia" w:ascii="宋体" w:hAnsi="宋体"/>
          <w:b/>
          <w:sz w:val="21"/>
          <w:szCs w:val="21"/>
        </w:rPr>
        <w:t>11　开工和竣工(完工)</w:t>
      </w:r>
      <w:bookmarkEnd w:id="105"/>
      <w:bookmarkEnd w:id="106"/>
      <w:bookmarkEnd w:id="107"/>
      <w:bookmarkEnd w:id="108"/>
      <w:bookmarkEnd w:id="109"/>
      <w:bookmarkEnd w:id="110"/>
      <w:bookmarkEnd w:id="111"/>
    </w:p>
    <w:p>
      <w:pPr>
        <w:spacing w:line="360" w:lineRule="exact"/>
        <w:outlineLvl w:val="1"/>
        <w:rPr>
          <w:rFonts w:ascii="宋体" w:hAnsi="宋体"/>
          <w:sz w:val="21"/>
          <w:szCs w:val="21"/>
          <w:highlight w:val="yellow"/>
        </w:rPr>
      </w:pPr>
      <w:r>
        <w:rPr>
          <w:rFonts w:hint="eastAsia" w:ascii="宋体" w:hAnsi="宋体"/>
          <w:b/>
          <w:sz w:val="21"/>
          <w:szCs w:val="21"/>
        </w:rPr>
        <w:t xml:space="preserve"> </w:t>
      </w:r>
      <w:r>
        <w:rPr>
          <w:rFonts w:hint="eastAsia" w:ascii="宋体" w:hAnsi="宋体"/>
          <w:sz w:val="21"/>
          <w:szCs w:val="21"/>
        </w:rPr>
        <w:t xml:space="preserve"> </w:t>
      </w:r>
      <w:bookmarkStart w:id="112" w:name="_Toc13260"/>
      <w:bookmarkStart w:id="113" w:name="_Toc522970364"/>
      <w:bookmarkStart w:id="114" w:name="_Toc24039"/>
      <w:bookmarkStart w:id="115" w:name="_Toc529882191"/>
      <w:bookmarkStart w:id="116" w:name="_Toc943971"/>
      <w:bookmarkStart w:id="117" w:name="_Toc529977810"/>
      <w:bookmarkStart w:id="118" w:name="_Toc529630672"/>
      <w:bookmarkStart w:id="119" w:name="_Toc530729903"/>
      <w:bookmarkStart w:id="120" w:name="_Toc434248740"/>
      <w:bookmarkStart w:id="121" w:name="_Toc3891"/>
      <w:bookmarkStart w:id="122" w:name="_Toc525977327"/>
      <w:bookmarkStart w:id="123" w:name="_Toc531013056"/>
      <w:bookmarkStart w:id="124" w:name="_Toc19593"/>
      <w:bookmarkStart w:id="125" w:name="_Toc529630833"/>
      <w:bookmarkStart w:id="126" w:name="_Toc23803"/>
      <w:r>
        <w:rPr>
          <w:rFonts w:hint="eastAsia" w:ascii="宋体" w:hAnsi="宋体"/>
          <w:sz w:val="21"/>
          <w:szCs w:val="21"/>
        </w:rPr>
        <w:t xml:space="preserve">11.1 </w:t>
      </w:r>
      <w:r>
        <w:rPr>
          <w:rFonts w:hint="eastAsia" w:ascii="宋体" w:hAnsi="宋体"/>
          <w:color w:val="auto"/>
          <w:sz w:val="21"/>
          <w:szCs w:val="21"/>
          <w:highlight w:val="none"/>
        </w:rPr>
        <w:t xml:space="preserve"> 本工程</w:t>
      </w:r>
      <w:r>
        <w:rPr>
          <w:rFonts w:hint="eastAsia" w:ascii="宋体" w:hAnsi="宋体"/>
          <w:color w:val="auto"/>
          <w:sz w:val="21"/>
          <w:szCs w:val="21"/>
          <w:highlight w:val="none"/>
          <w:lang w:val="en-US" w:eastAsia="zh-CN"/>
        </w:rPr>
        <w:t>60</w:t>
      </w:r>
      <w:r>
        <w:rPr>
          <w:rFonts w:hint="eastAsia" w:ascii="宋体" w:hAnsi="宋体"/>
          <w:color w:val="auto"/>
          <w:sz w:val="21"/>
          <w:szCs w:val="21"/>
          <w:highlight w:val="none"/>
        </w:rPr>
        <w:t>日历天。</w:t>
      </w:r>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pPr>
        <w:spacing w:line="360" w:lineRule="exact"/>
        <w:outlineLvl w:val="1"/>
        <w:rPr>
          <w:rFonts w:ascii="宋体" w:hAnsi="宋体"/>
          <w:bCs/>
          <w:sz w:val="21"/>
          <w:szCs w:val="21"/>
        </w:rPr>
      </w:pPr>
      <w:r>
        <w:rPr>
          <w:rFonts w:hint="eastAsia" w:ascii="宋体" w:hAnsi="宋体"/>
          <w:bCs/>
          <w:sz w:val="21"/>
          <w:szCs w:val="21"/>
        </w:rPr>
        <w:t>　</w:t>
      </w:r>
      <w:bookmarkStart w:id="127" w:name="_Toc943972"/>
      <w:bookmarkStart w:id="128" w:name="_Toc531013057"/>
      <w:bookmarkStart w:id="129" w:name="_Toc15778"/>
      <w:bookmarkStart w:id="130" w:name="_Toc23195"/>
      <w:bookmarkStart w:id="131" w:name="_Toc529882192"/>
      <w:bookmarkStart w:id="132" w:name="_Toc522970365"/>
      <w:bookmarkStart w:id="133" w:name="_Toc11688"/>
      <w:bookmarkStart w:id="134" w:name="_Toc16284"/>
      <w:bookmarkStart w:id="135" w:name="_Toc529630673"/>
      <w:bookmarkStart w:id="136" w:name="_Toc9508"/>
      <w:bookmarkStart w:id="137" w:name="_Toc525977328"/>
      <w:bookmarkStart w:id="138" w:name="_Toc529977811"/>
      <w:bookmarkStart w:id="139" w:name="_Toc529630834"/>
      <w:bookmarkStart w:id="140" w:name="_Toc530729904"/>
      <w:r>
        <w:rPr>
          <w:rFonts w:hint="eastAsia" w:ascii="宋体" w:hAnsi="宋体"/>
          <w:bCs/>
          <w:sz w:val="21"/>
          <w:szCs w:val="21"/>
        </w:rPr>
        <w:t>11.4　异常恶劣的气候条件</w:t>
      </w:r>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p>
    <w:p>
      <w:pPr>
        <w:spacing w:line="360" w:lineRule="exact"/>
        <w:rPr>
          <w:rFonts w:ascii="宋体" w:hAnsi="宋体"/>
          <w:sz w:val="21"/>
          <w:szCs w:val="21"/>
        </w:rPr>
      </w:pPr>
      <w:r>
        <w:rPr>
          <w:rFonts w:hint="eastAsia" w:ascii="宋体" w:hAnsi="宋体"/>
          <w:sz w:val="21"/>
          <w:szCs w:val="21"/>
        </w:rPr>
        <w:t>　</w:t>
      </w:r>
      <w:r>
        <w:rPr>
          <w:rFonts w:ascii="宋体" w:hAnsi="宋体"/>
          <w:sz w:val="21"/>
          <w:szCs w:val="21"/>
        </w:rPr>
        <w:t>11.4.3</w:t>
      </w:r>
      <w:r>
        <w:rPr>
          <w:rFonts w:hint="eastAsia" w:ascii="宋体" w:hAnsi="宋体"/>
          <w:sz w:val="21"/>
          <w:szCs w:val="21"/>
        </w:rPr>
        <w:t>　本合同工程界定异常恶劣气候条件的范围为：</w:t>
      </w:r>
    </w:p>
    <w:p>
      <w:pPr>
        <w:spacing w:line="360" w:lineRule="exact"/>
        <w:rPr>
          <w:rFonts w:ascii="宋体" w:hAnsi="宋体"/>
          <w:sz w:val="21"/>
          <w:szCs w:val="21"/>
        </w:rPr>
      </w:pPr>
      <w:r>
        <w:rPr>
          <w:rFonts w:hint="eastAsia" w:ascii="宋体" w:hAnsi="宋体"/>
          <w:sz w:val="21"/>
          <w:szCs w:val="21"/>
        </w:rPr>
        <w:t>　　</w:t>
      </w:r>
      <w:r>
        <w:rPr>
          <w:rFonts w:ascii="宋体" w:hAnsi="宋体"/>
          <w:sz w:val="21"/>
          <w:szCs w:val="21"/>
        </w:rPr>
        <w:t>(1)</w:t>
      </w:r>
      <w:r>
        <w:rPr>
          <w:rFonts w:hint="eastAsia" w:ascii="宋体" w:hAnsi="宋体"/>
          <w:sz w:val="21"/>
          <w:szCs w:val="21"/>
        </w:rPr>
        <w:t>日降雨量大于</w:t>
      </w:r>
      <w:r>
        <w:rPr>
          <w:rFonts w:ascii="宋体" w:hAnsi="宋体"/>
          <w:sz w:val="21"/>
          <w:szCs w:val="21"/>
        </w:rPr>
        <w:t>30 mm</w:t>
      </w:r>
      <w:r>
        <w:rPr>
          <w:rFonts w:hint="eastAsia" w:ascii="宋体" w:hAnsi="宋体"/>
          <w:sz w:val="21"/>
          <w:szCs w:val="21"/>
        </w:rPr>
        <w:t>的雨日超过</w:t>
      </w:r>
      <w:r>
        <w:rPr>
          <w:rFonts w:ascii="宋体" w:hAnsi="宋体"/>
          <w:sz w:val="21"/>
          <w:szCs w:val="21"/>
        </w:rPr>
        <w:t>3</w:t>
      </w:r>
      <w:r>
        <w:rPr>
          <w:rFonts w:hint="eastAsia" w:ascii="宋体" w:hAnsi="宋体"/>
          <w:sz w:val="21"/>
          <w:szCs w:val="21"/>
        </w:rPr>
        <w:t>天；</w:t>
      </w:r>
    </w:p>
    <w:p>
      <w:pPr>
        <w:spacing w:line="360" w:lineRule="exact"/>
        <w:rPr>
          <w:rFonts w:ascii="宋体" w:hAnsi="宋体"/>
          <w:sz w:val="21"/>
          <w:szCs w:val="21"/>
        </w:rPr>
      </w:pPr>
      <w:r>
        <w:rPr>
          <w:rFonts w:hint="eastAsia" w:ascii="宋体" w:hAnsi="宋体"/>
          <w:sz w:val="21"/>
          <w:szCs w:val="21"/>
        </w:rPr>
        <w:t>　　</w:t>
      </w:r>
      <w:r>
        <w:rPr>
          <w:rFonts w:ascii="宋体" w:hAnsi="宋体"/>
          <w:sz w:val="21"/>
          <w:szCs w:val="21"/>
        </w:rPr>
        <w:t>(2)</w:t>
      </w:r>
      <w:r>
        <w:rPr>
          <w:rFonts w:hint="eastAsia" w:ascii="宋体" w:hAnsi="宋体"/>
          <w:sz w:val="21"/>
          <w:szCs w:val="21"/>
        </w:rPr>
        <w:t>风速大于</w:t>
      </w:r>
      <w:r>
        <w:rPr>
          <w:rFonts w:ascii="宋体" w:hAnsi="宋体"/>
          <w:sz w:val="21"/>
          <w:szCs w:val="21"/>
        </w:rPr>
        <w:t>m/s</w:t>
      </w:r>
      <w:r>
        <w:rPr>
          <w:rFonts w:hint="eastAsia" w:ascii="宋体" w:hAnsi="宋体"/>
          <w:sz w:val="21"/>
          <w:szCs w:val="21"/>
        </w:rPr>
        <w:t>的</w:t>
      </w:r>
      <w:r>
        <w:rPr>
          <w:rFonts w:ascii="宋体" w:hAnsi="宋体"/>
          <w:sz w:val="21"/>
          <w:szCs w:val="21"/>
        </w:rPr>
        <w:t>9</w:t>
      </w:r>
      <w:r>
        <w:rPr>
          <w:rFonts w:hint="eastAsia" w:ascii="宋体" w:hAnsi="宋体"/>
          <w:sz w:val="21"/>
          <w:szCs w:val="21"/>
        </w:rPr>
        <w:t>级以上台风灾害；</w:t>
      </w:r>
    </w:p>
    <w:p>
      <w:pPr>
        <w:spacing w:line="360" w:lineRule="exact"/>
        <w:rPr>
          <w:rFonts w:ascii="宋体" w:hAnsi="宋体"/>
          <w:sz w:val="21"/>
          <w:szCs w:val="21"/>
        </w:rPr>
      </w:pPr>
      <w:r>
        <w:rPr>
          <w:rFonts w:hint="eastAsia" w:ascii="宋体" w:hAnsi="宋体"/>
          <w:sz w:val="21"/>
          <w:szCs w:val="21"/>
        </w:rPr>
        <w:t>　　</w:t>
      </w:r>
      <w:r>
        <w:rPr>
          <w:rFonts w:ascii="宋体" w:hAnsi="宋体"/>
          <w:sz w:val="21"/>
          <w:szCs w:val="21"/>
        </w:rPr>
        <w:t xml:space="preserve">(3) </w:t>
      </w:r>
      <w:r>
        <w:rPr>
          <w:rFonts w:hint="eastAsia" w:ascii="宋体" w:hAnsi="宋体"/>
          <w:sz w:val="21"/>
          <w:szCs w:val="21"/>
        </w:rPr>
        <w:t>日气温低于</w:t>
      </w:r>
      <w:r>
        <w:rPr>
          <w:rFonts w:ascii="宋体" w:hAnsi="宋体"/>
          <w:sz w:val="21"/>
          <w:szCs w:val="21"/>
        </w:rPr>
        <w:t>-10</w:t>
      </w:r>
      <w:r>
        <w:rPr>
          <w:rFonts w:hint="eastAsia" w:ascii="宋体" w:hAnsi="宋体"/>
          <w:sz w:val="21"/>
          <w:szCs w:val="21"/>
        </w:rPr>
        <w:t>℃的严寒大于</w:t>
      </w:r>
      <w:r>
        <w:rPr>
          <w:rFonts w:ascii="宋体" w:hAnsi="宋体"/>
          <w:sz w:val="21"/>
          <w:szCs w:val="21"/>
        </w:rPr>
        <w:t>5</w:t>
      </w:r>
      <w:r>
        <w:rPr>
          <w:rFonts w:hint="eastAsia" w:ascii="宋体" w:hAnsi="宋体"/>
          <w:sz w:val="21"/>
          <w:szCs w:val="21"/>
        </w:rPr>
        <w:t>天；</w:t>
      </w:r>
    </w:p>
    <w:p>
      <w:pPr>
        <w:spacing w:line="360" w:lineRule="exact"/>
        <w:rPr>
          <w:rFonts w:ascii="宋体" w:hAnsi="宋体"/>
          <w:sz w:val="21"/>
          <w:szCs w:val="21"/>
        </w:rPr>
      </w:pPr>
      <w:r>
        <w:rPr>
          <w:rFonts w:hint="eastAsia" w:ascii="宋体" w:hAnsi="宋体"/>
          <w:sz w:val="21"/>
          <w:szCs w:val="21"/>
        </w:rPr>
        <w:t>　　</w:t>
      </w:r>
      <w:r>
        <w:rPr>
          <w:rFonts w:ascii="宋体" w:hAnsi="宋体"/>
          <w:sz w:val="21"/>
          <w:szCs w:val="21"/>
        </w:rPr>
        <w:t xml:space="preserve">(4) </w:t>
      </w:r>
      <w:r>
        <w:rPr>
          <w:rFonts w:hint="eastAsia" w:ascii="宋体" w:hAnsi="宋体"/>
          <w:sz w:val="21"/>
          <w:szCs w:val="21"/>
        </w:rPr>
        <w:t>造成工程损坏的冰雹和大雪灾害；</w:t>
      </w:r>
    </w:p>
    <w:p>
      <w:pPr>
        <w:spacing w:line="360" w:lineRule="exact"/>
        <w:rPr>
          <w:rFonts w:ascii="宋体" w:hAnsi="宋体"/>
          <w:sz w:val="21"/>
          <w:szCs w:val="21"/>
        </w:rPr>
      </w:pPr>
      <w:r>
        <w:rPr>
          <w:rFonts w:hint="eastAsia" w:ascii="宋体" w:hAnsi="宋体"/>
          <w:sz w:val="21"/>
          <w:szCs w:val="21"/>
        </w:rPr>
        <w:t>　　</w:t>
      </w:r>
      <w:r>
        <w:rPr>
          <w:rFonts w:ascii="宋体" w:hAnsi="宋体"/>
          <w:sz w:val="21"/>
          <w:szCs w:val="21"/>
        </w:rPr>
        <w:t xml:space="preserve">(5) </w:t>
      </w:r>
      <w:r>
        <w:rPr>
          <w:rFonts w:hint="eastAsia" w:ascii="宋体" w:hAnsi="宋体"/>
          <w:sz w:val="21"/>
          <w:szCs w:val="21"/>
        </w:rPr>
        <w:t>其它异常恶劣气候灾害。</w:t>
      </w:r>
    </w:p>
    <w:p>
      <w:pPr>
        <w:spacing w:line="360" w:lineRule="exact"/>
        <w:rPr>
          <w:rFonts w:ascii="宋体" w:hAnsi="宋体"/>
          <w:sz w:val="21"/>
          <w:szCs w:val="21"/>
        </w:rPr>
      </w:pPr>
      <w:r>
        <w:rPr>
          <w:rFonts w:hint="eastAsia" w:ascii="宋体" w:hAnsi="宋体"/>
          <w:sz w:val="21"/>
          <w:szCs w:val="21"/>
        </w:rPr>
        <w:t>　</w:t>
      </w:r>
      <w:r>
        <w:rPr>
          <w:rFonts w:ascii="宋体" w:hAnsi="宋体"/>
          <w:sz w:val="21"/>
          <w:szCs w:val="21"/>
        </w:rPr>
        <w:t>11.5</w:t>
      </w:r>
      <w:r>
        <w:rPr>
          <w:rFonts w:hint="eastAsia" w:ascii="宋体" w:hAnsi="宋体"/>
          <w:sz w:val="21"/>
          <w:szCs w:val="21"/>
        </w:rPr>
        <w:t>　承包人工期延误</w:t>
      </w:r>
    </w:p>
    <w:p>
      <w:pPr>
        <w:spacing w:line="360" w:lineRule="exact"/>
        <w:ind w:firstLine="420"/>
        <w:rPr>
          <w:rFonts w:ascii="宋体" w:hAnsi="宋体"/>
          <w:sz w:val="21"/>
          <w:szCs w:val="21"/>
        </w:rPr>
      </w:pPr>
      <w:r>
        <w:rPr>
          <w:rFonts w:ascii="宋体" w:hAnsi="宋体"/>
          <w:sz w:val="21"/>
          <w:szCs w:val="21"/>
        </w:rPr>
        <w:t xml:space="preserve"> (1)</w:t>
      </w:r>
      <w:r>
        <w:rPr>
          <w:rFonts w:hint="eastAsia" w:ascii="宋体" w:hAnsi="宋体"/>
          <w:sz w:val="21"/>
          <w:szCs w:val="21"/>
        </w:rPr>
        <w:t>逾期违约金2</w:t>
      </w:r>
      <w:r>
        <w:rPr>
          <w:rFonts w:ascii="宋体" w:hAnsi="宋体"/>
          <w:sz w:val="21"/>
          <w:szCs w:val="21"/>
        </w:rPr>
        <w:t>000</w:t>
      </w:r>
      <w:r>
        <w:rPr>
          <w:rFonts w:hint="eastAsia" w:ascii="宋体" w:hAnsi="宋体"/>
          <w:sz w:val="21"/>
          <w:szCs w:val="21"/>
        </w:rPr>
        <w:t>元</w:t>
      </w:r>
      <w:r>
        <w:rPr>
          <w:rFonts w:ascii="宋体" w:hAnsi="宋体"/>
          <w:sz w:val="21"/>
          <w:szCs w:val="21"/>
        </w:rPr>
        <w:t>/</w:t>
      </w:r>
      <w:r>
        <w:rPr>
          <w:rFonts w:hint="eastAsia" w:ascii="宋体" w:hAnsi="宋体"/>
          <w:sz w:val="21"/>
          <w:szCs w:val="21"/>
        </w:rPr>
        <w:t>天。</w:t>
      </w:r>
    </w:p>
    <w:p>
      <w:pPr>
        <w:spacing w:line="360" w:lineRule="exact"/>
        <w:ind w:firstLine="420"/>
        <w:rPr>
          <w:rFonts w:ascii="宋体" w:hAnsi="宋体"/>
          <w:sz w:val="21"/>
          <w:szCs w:val="21"/>
        </w:rPr>
      </w:pPr>
      <w:r>
        <w:rPr>
          <w:rFonts w:ascii="宋体" w:hAnsi="宋体"/>
          <w:sz w:val="21"/>
          <w:szCs w:val="21"/>
        </w:rPr>
        <w:t xml:space="preserve"> (2)</w:t>
      </w:r>
      <w:r>
        <w:rPr>
          <w:rFonts w:hint="eastAsia" w:ascii="宋体" w:hAnsi="宋体"/>
          <w:sz w:val="21"/>
          <w:szCs w:val="21"/>
        </w:rPr>
        <w:t>全部逾期完工违约金的总限额不超过签约合同价的</w:t>
      </w:r>
      <w:r>
        <w:rPr>
          <w:rFonts w:ascii="宋体" w:hAnsi="宋体"/>
          <w:sz w:val="21"/>
          <w:szCs w:val="21"/>
          <w:u w:val="single"/>
        </w:rPr>
        <w:t>5</w:t>
      </w:r>
      <w:r>
        <w:rPr>
          <w:rFonts w:ascii="宋体" w:hAnsi="宋体"/>
          <w:sz w:val="21"/>
          <w:szCs w:val="21"/>
        </w:rPr>
        <w:t xml:space="preserve">% </w:t>
      </w:r>
      <w:r>
        <w:rPr>
          <w:rFonts w:hint="eastAsia" w:ascii="宋体" w:hAnsi="宋体"/>
          <w:sz w:val="21"/>
          <w:szCs w:val="21"/>
        </w:rPr>
        <w:t>。</w:t>
      </w:r>
    </w:p>
    <w:p>
      <w:pPr>
        <w:spacing w:line="360" w:lineRule="exact"/>
        <w:rPr>
          <w:rFonts w:ascii="宋体" w:hAnsi="宋体"/>
          <w:sz w:val="21"/>
          <w:szCs w:val="21"/>
        </w:rPr>
      </w:pPr>
      <w:r>
        <w:rPr>
          <w:rFonts w:hint="eastAsia" w:ascii="宋体" w:hAnsi="宋体"/>
          <w:sz w:val="21"/>
          <w:szCs w:val="21"/>
        </w:rPr>
        <w:t>　</w:t>
      </w:r>
      <w:r>
        <w:rPr>
          <w:rFonts w:ascii="宋体" w:hAnsi="宋体"/>
          <w:sz w:val="21"/>
          <w:szCs w:val="21"/>
        </w:rPr>
        <w:t>11.6</w:t>
      </w:r>
      <w:r>
        <w:rPr>
          <w:rFonts w:hint="eastAsia" w:ascii="宋体" w:hAnsi="宋体"/>
          <w:sz w:val="21"/>
          <w:szCs w:val="21"/>
        </w:rPr>
        <w:t xml:space="preserve">　工期提前  </w:t>
      </w:r>
    </w:p>
    <w:p>
      <w:pPr>
        <w:spacing w:line="360" w:lineRule="exact"/>
        <w:rPr>
          <w:rFonts w:ascii="宋体" w:hAnsi="宋体" w:cs="宋体"/>
          <w:sz w:val="21"/>
          <w:szCs w:val="21"/>
        </w:rPr>
      </w:pPr>
      <w:bookmarkStart w:id="141" w:name="_Toc340483313"/>
      <w:r>
        <w:rPr>
          <w:rFonts w:hint="eastAsia" w:ascii="宋体" w:hAnsi="宋体" w:cs="宋体"/>
          <w:sz w:val="21"/>
          <w:szCs w:val="21"/>
        </w:rPr>
        <w:t>承包人在投标时应充分考虑节假日加班的因素，并计入报价内。</w:t>
      </w:r>
    </w:p>
    <w:p>
      <w:pPr>
        <w:spacing w:line="360" w:lineRule="exact"/>
        <w:outlineLvl w:val="1"/>
        <w:rPr>
          <w:rFonts w:ascii="宋体" w:hAnsi="宋体"/>
          <w:b/>
          <w:sz w:val="21"/>
          <w:szCs w:val="21"/>
        </w:rPr>
      </w:pPr>
      <w:bookmarkStart w:id="142" w:name="_Toc6463"/>
      <w:bookmarkStart w:id="143" w:name="_Toc943973"/>
      <w:bookmarkStart w:id="144" w:name="_Toc410675363"/>
      <w:r>
        <w:rPr>
          <w:rFonts w:hint="eastAsia" w:ascii="宋体" w:hAnsi="宋体"/>
          <w:b/>
          <w:sz w:val="21"/>
          <w:szCs w:val="21"/>
        </w:rPr>
        <w:t>12　暂停施工</w:t>
      </w:r>
      <w:bookmarkEnd w:id="142"/>
      <w:bookmarkEnd w:id="143"/>
      <w:bookmarkEnd w:id="144"/>
    </w:p>
    <w:p>
      <w:pPr>
        <w:pStyle w:val="38"/>
        <w:spacing w:line="360" w:lineRule="exact"/>
        <w:ind w:firstLine="1784"/>
        <w:rPr>
          <w:rFonts w:ascii="宋体" w:eastAsia="宋体"/>
          <w:sz w:val="21"/>
          <w:szCs w:val="21"/>
        </w:rPr>
      </w:pPr>
      <w:r>
        <w:rPr>
          <w:rFonts w:hint="eastAsia" w:ascii="宋体" w:eastAsia="宋体"/>
          <w:sz w:val="21"/>
          <w:szCs w:val="21"/>
        </w:rPr>
        <w:t>　　</w:t>
      </w:r>
      <w:bookmarkStart w:id="145" w:name="_Toc26182"/>
      <w:r>
        <w:rPr>
          <w:rFonts w:hint="eastAsia" w:ascii="宋体" w:eastAsia="宋体"/>
          <w:sz w:val="21"/>
          <w:szCs w:val="21"/>
        </w:rPr>
        <w:t>12.1 承包人暂停施工的责任</w:t>
      </w:r>
      <w:bookmarkEnd w:id="145"/>
    </w:p>
    <w:p>
      <w:pPr>
        <w:spacing w:line="360" w:lineRule="exact"/>
        <w:ind w:firstLine="420" w:firstLineChars="200"/>
        <w:rPr>
          <w:rFonts w:ascii="宋体" w:hAnsi="宋体"/>
          <w:sz w:val="21"/>
          <w:szCs w:val="21"/>
        </w:rPr>
      </w:pPr>
      <w:r>
        <w:rPr>
          <w:rFonts w:hint="eastAsia" w:ascii="宋体" w:hAnsi="宋体"/>
          <w:sz w:val="21"/>
          <w:szCs w:val="21"/>
        </w:rPr>
        <w:t>因下列暂停施工增加的费用和（或）工期延误由承包人承担：</w:t>
      </w:r>
    </w:p>
    <w:p>
      <w:pPr>
        <w:spacing w:line="360" w:lineRule="exact"/>
        <w:ind w:firstLine="359" w:firstLineChars="171"/>
        <w:rPr>
          <w:rFonts w:ascii="宋体" w:hAnsi="宋体"/>
          <w:sz w:val="21"/>
          <w:szCs w:val="21"/>
        </w:rPr>
      </w:pPr>
      <w:r>
        <w:rPr>
          <w:rFonts w:hint="eastAsia" w:ascii="宋体" w:hAnsi="宋体"/>
          <w:sz w:val="21"/>
          <w:szCs w:val="21"/>
        </w:rPr>
        <w:t>（</w:t>
      </w:r>
      <w:r>
        <w:rPr>
          <w:rFonts w:ascii="宋体" w:hAnsi="宋体"/>
          <w:sz w:val="21"/>
          <w:szCs w:val="21"/>
        </w:rPr>
        <w:t>1</w:t>
      </w:r>
      <w:r>
        <w:rPr>
          <w:rFonts w:hint="eastAsia" w:ascii="宋体" w:hAnsi="宋体"/>
          <w:sz w:val="21"/>
          <w:szCs w:val="21"/>
        </w:rPr>
        <w:t>）承包人违约引起的暂停施工；</w:t>
      </w:r>
    </w:p>
    <w:p>
      <w:pPr>
        <w:spacing w:line="360" w:lineRule="exact"/>
        <w:ind w:firstLine="359" w:firstLineChars="171"/>
        <w:rPr>
          <w:rFonts w:ascii="宋体" w:hAnsi="宋体"/>
          <w:sz w:val="21"/>
          <w:szCs w:val="21"/>
        </w:rPr>
      </w:pPr>
      <w:r>
        <w:rPr>
          <w:rFonts w:hint="eastAsia" w:ascii="宋体" w:hAnsi="宋体"/>
          <w:sz w:val="21"/>
          <w:szCs w:val="21"/>
        </w:rPr>
        <w:t>（</w:t>
      </w:r>
      <w:r>
        <w:rPr>
          <w:rFonts w:ascii="宋体" w:hAnsi="宋体"/>
          <w:sz w:val="21"/>
          <w:szCs w:val="21"/>
        </w:rPr>
        <w:t>2</w:t>
      </w:r>
      <w:r>
        <w:rPr>
          <w:rFonts w:hint="eastAsia" w:ascii="宋体" w:hAnsi="宋体"/>
          <w:sz w:val="21"/>
          <w:szCs w:val="21"/>
        </w:rPr>
        <w:t>）由于承包人原因为工程合理施工和安全保障所必需的暂停施工；</w:t>
      </w:r>
    </w:p>
    <w:p>
      <w:pPr>
        <w:spacing w:line="360" w:lineRule="exact"/>
        <w:ind w:firstLine="359" w:firstLineChars="171"/>
        <w:rPr>
          <w:rFonts w:ascii="宋体" w:hAnsi="宋体"/>
          <w:sz w:val="21"/>
          <w:szCs w:val="21"/>
        </w:rPr>
      </w:pPr>
      <w:r>
        <w:rPr>
          <w:rFonts w:hint="eastAsia" w:ascii="宋体" w:hAnsi="宋体"/>
          <w:sz w:val="21"/>
          <w:szCs w:val="21"/>
        </w:rPr>
        <w:t>（</w:t>
      </w:r>
      <w:r>
        <w:rPr>
          <w:rFonts w:ascii="宋体" w:hAnsi="宋体"/>
          <w:sz w:val="21"/>
          <w:szCs w:val="21"/>
        </w:rPr>
        <w:t>3</w:t>
      </w:r>
      <w:r>
        <w:rPr>
          <w:rFonts w:hint="eastAsia" w:ascii="宋体" w:hAnsi="宋体"/>
          <w:sz w:val="21"/>
          <w:szCs w:val="21"/>
        </w:rPr>
        <w:t>）承包人擅自暂停施工；</w:t>
      </w:r>
    </w:p>
    <w:p>
      <w:pPr>
        <w:spacing w:line="360" w:lineRule="exact"/>
        <w:ind w:firstLine="359" w:firstLineChars="171"/>
        <w:rPr>
          <w:rFonts w:ascii="宋体" w:hAnsi="宋体"/>
          <w:sz w:val="21"/>
          <w:szCs w:val="21"/>
        </w:rPr>
      </w:pPr>
      <w:r>
        <w:rPr>
          <w:rFonts w:hint="eastAsia" w:ascii="宋体" w:hAnsi="宋体"/>
          <w:sz w:val="21"/>
          <w:szCs w:val="21"/>
        </w:rPr>
        <w:t>（</w:t>
      </w:r>
      <w:r>
        <w:rPr>
          <w:rFonts w:ascii="宋体" w:hAnsi="宋体"/>
          <w:sz w:val="21"/>
          <w:szCs w:val="21"/>
        </w:rPr>
        <w:t>4</w:t>
      </w:r>
      <w:r>
        <w:rPr>
          <w:rFonts w:hint="eastAsia" w:ascii="宋体" w:hAnsi="宋体"/>
          <w:sz w:val="21"/>
          <w:szCs w:val="21"/>
        </w:rPr>
        <w:t>）承包人其他原因引起的暂停施工；</w:t>
      </w:r>
    </w:p>
    <w:p>
      <w:pPr>
        <w:spacing w:line="360" w:lineRule="exact"/>
        <w:ind w:firstLine="359" w:firstLineChars="171"/>
        <w:rPr>
          <w:rFonts w:ascii="宋体" w:hAnsi="宋体"/>
          <w:sz w:val="21"/>
          <w:szCs w:val="21"/>
        </w:rPr>
      </w:pPr>
      <w:r>
        <w:rPr>
          <w:rFonts w:hint="eastAsia" w:ascii="宋体" w:hAnsi="宋体"/>
          <w:sz w:val="21"/>
          <w:szCs w:val="21"/>
        </w:rPr>
        <w:t>（</w:t>
      </w:r>
      <w:r>
        <w:rPr>
          <w:rFonts w:ascii="宋体" w:hAnsi="宋体"/>
          <w:sz w:val="21"/>
          <w:szCs w:val="21"/>
        </w:rPr>
        <w:t>5</w:t>
      </w:r>
      <w:r>
        <w:rPr>
          <w:rFonts w:hint="eastAsia" w:ascii="宋体" w:hAnsi="宋体"/>
          <w:sz w:val="21"/>
          <w:szCs w:val="21"/>
        </w:rPr>
        <w:t>）专用合同条款约定由承包人承担的其他暂停施工。</w:t>
      </w:r>
    </w:p>
    <w:p>
      <w:pPr>
        <w:spacing w:line="360" w:lineRule="exact"/>
        <w:ind w:firstLine="420" w:firstLineChars="200"/>
        <w:rPr>
          <w:rFonts w:ascii="宋体" w:hAnsi="宋体"/>
          <w:sz w:val="21"/>
          <w:szCs w:val="21"/>
        </w:rPr>
      </w:pPr>
      <w:r>
        <w:rPr>
          <w:rFonts w:ascii="宋体" w:hAnsi="宋体"/>
          <w:sz w:val="21"/>
          <w:szCs w:val="21"/>
        </w:rPr>
        <w:t>12.2</w:t>
      </w:r>
      <w:r>
        <w:rPr>
          <w:rFonts w:hint="eastAsia" w:ascii="宋体" w:hAnsi="宋体"/>
          <w:sz w:val="21"/>
          <w:szCs w:val="21"/>
        </w:rPr>
        <w:t>　发包人暂停施工的责任</w:t>
      </w:r>
    </w:p>
    <w:p>
      <w:pPr>
        <w:spacing w:line="360" w:lineRule="exact"/>
        <w:rPr>
          <w:rFonts w:ascii="宋体" w:hAnsi="宋体"/>
          <w:sz w:val="21"/>
          <w:szCs w:val="21"/>
        </w:rPr>
      </w:pPr>
      <w:r>
        <w:rPr>
          <w:rFonts w:hint="eastAsia" w:ascii="宋体" w:hAnsi="宋体"/>
          <w:sz w:val="21"/>
          <w:szCs w:val="21"/>
        </w:rPr>
        <w:t>　　由于发包人原因引起的暂停施工造成工期延误的，承包人有权要求发包人延长工期和</w:t>
      </w:r>
      <w:r>
        <w:rPr>
          <w:rFonts w:ascii="宋体" w:hAnsi="宋体"/>
          <w:sz w:val="21"/>
          <w:szCs w:val="21"/>
        </w:rPr>
        <w:t>(</w:t>
      </w:r>
      <w:r>
        <w:rPr>
          <w:rFonts w:hint="eastAsia" w:ascii="宋体" w:hAnsi="宋体"/>
          <w:sz w:val="21"/>
          <w:szCs w:val="21"/>
        </w:rPr>
        <w:t>或</w:t>
      </w:r>
      <w:r>
        <w:rPr>
          <w:rFonts w:ascii="宋体" w:hAnsi="宋体"/>
          <w:sz w:val="21"/>
          <w:szCs w:val="21"/>
        </w:rPr>
        <w:t>)</w:t>
      </w:r>
      <w:r>
        <w:rPr>
          <w:rFonts w:hint="eastAsia" w:ascii="宋体" w:hAnsi="宋体"/>
          <w:sz w:val="21"/>
          <w:szCs w:val="21"/>
        </w:rPr>
        <w:t>增加费用，并支付合理利润。</w:t>
      </w:r>
    </w:p>
    <w:p>
      <w:pPr>
        <w:spacing w:line="360" w:lineRule="exact"/>
        <w:rPr>
          <w:rFonts w:ascii="宋体" w:hAnsi="宋体"/>
          <w:sz w:val="21"/>
          <w:szCs w:val="21"/>
        </w:rPr>
      </w:pPr>
      <w:r>
        <w:rPr>
          <w:rFonts w:hint="eastAsia" w:ascii="宋体" w:hAnsi="宋体"/>
          <w:sz w:val="21"/>
          <w:szCs w:val="21"/>
        </w:rPr>
        <w:t>　　属于下列任何一种情况引起的暂停施工，均为发包人的责任：</w:t>
      </w:r>
    </w:p>
    <w:p>
      <w:pPr>
        <w:spacing w:line="360" w:lineRule="exact"/>
        <w:rPr>
          <w:rFonts w:ascii="宋体" w:hAnsi="宋体"/>
          <w:sz w:val="21"/>
          <w:szCs w:val="21"/>
        </w:rPr>
      </w:pPr>
      <w:r>
        <w:rPr>
          <w:rFonts w:hint="eastAsia" w:ascii="宋体" w:hAnsi="宋体"/>
          <w:sz w:val="21"/>
          <w:szCs w:val="21"/>
        </w:rPr>
        <w:t>　　</w:t>
      </w:r>
      <w:r>
        <w:rPr>
          <w:rFonts w:ascii="宋体" w:hAnsi="宋体"/>
          <w:sz w:val="21"/>
          <w:szCs w:val="21"/>
        </w:rPr>
        <w:t>(1)</w:t>
      </w:r>
      <w:r>
        <w:rPr>
          <w:rFonts w:hint="eastAsia" w:ascii="宋体" w:hAnsi="宋体"/>
          <w:sz w:val="21"/>
          <w:szCs w:val="21"/>
        </w:rPr>
        <w:t>由于发包人违约引起的暂停施工；</w:t>
      </w:r>
    </w:p>
    <w:p>
      <w:pPr>
        <w:spacing w:line="360" w:lineRule="exact"/>
        <w:rPr>
          <w:rFonts w:ascii="宋体" w:hAnsi="宋体"/>
          <w:sz w:val="21"/>
          <w:szCs w:val="21"/>
        </w:rPr>
      </w:pPr>
      <w:r>
        <w:rPr>
          <w:rFonts w:hint="eastAsia" w:ascii="宋体" w:hAnsi="宋体"/>
          <w:sz w:val="21"/>
          <w:szCs w:val="21"/>
        </w:rPr>
        <w:t>　　</w:t>
      </w:r>
      <w:r>
        <w:rPr>
          <w:rFonts w:ascii="宋体" w:hAnsi="宋体"/>
          <w:sz w:val="21"/>
          <w:szCs w:val="21"/>
        </w:rPr>
        <w:t>(2)</w:t>
      </w:r>
      <w:r>
        <w:rPr>
          <w:rFonts w:hint="eastAsia" w:ascii="宋体" w:hAnsi="宋体"/>
          <w:sz w:val="21"/>
          <w:szCs w:val="21"/>
        </w:rPr>
        <w:t>由于不可抗力的自然或社会因素引起的暂停施工；</w:t>
      </w:r>
    </w:p>
    <w:p>
      <w:pPr>
        <w:spacing w:line="360" w:lineRule="exact"/>
        <w:ind w:firstLine="420"/>
        <w:rPr>
          <w:rFonts w:ascii="宋体" w:hAnsi="宋体"/>
          <w:sz w:val="21"/>
          <w:szCs w:val="21"/>
        </w:rPr>
      </w:pPr>
      <w:r>
        <w:rPr>
          <w:rFonts w:ascii="宋体" w:hAnsi="宋体"/>
          <w:sz w:val="21"/>
          <w:szCs w:val="21"/>
        </w:rPr>
        <w:t>(3)</w:t>
      </w:r>
      <w:r>
        <w:rPr>
          <w:rFonts w:hint="eastAsia" w:ascii="宋体" w:hAnsi="宋体"/>
          <w:sz w:val="21"/>
          <w:szCs w:val="21"/>
        </w:rPr>
        <w:t>专用合同条款中约定的其它由于发包人原因引起的暂停施工。</w:t>
      </w:r>
    </w:p>
    <w:p>
      <w:pPr>
        <w:pStyle w:val="38"/>
        <w:spacing w:line="360" w:lineRule="exact"/>
        <w:ind w:firstLine="1784"/>
        <w:rPr>
          <w:rFonts w:ascii="宋体" w:eastAsia="宋体"/>
          <w:sz w:val="21"/>
          <w:szCs w:val="21"/>
        </w:rPr>
      </w:pPr>
      <w:bookmarkStart w:id="146" w:name="_Toc11983"/>
      <w:r>
        <w:rPr>
          <w:rFonts w:hint="eastAsia" w:ascii="宋体" w:eastAsia="宋体"/>
          <w:sz w:val="21"/>
          <w:szCs w:val="21"/>
        </w:rPr>
        <w:t>12.3 监理人暂停施工指示</w:t>
      </w:r>
      <w:bookmarkEnd w:id="146"/>
    </w:p>
    <w:p>
      <w:pPr>
        <w:spacing w:line="360" w:lineRule="exact"/>
        <w:ind w:firstLine="420" w:firstLineChars="200"/>
        <w:rPr>
          <w:rFonts w:ascii="宋体" w:hAnsi="宋体"/>
          <w:sz w:val="21"/>
          <w:szCs w:val="21"/>
        </w:rPr>
      </w:pPr>
      <w:r>
        <w:rPr>
          <w:rFonts w:ascii="宋体" w:hAnsi="宋体"/>
          <w:sz w:val="21"/>
          <w:szCs w:val="21"/>
        </w:rPr>
        <w:t xml:space="preserve">12.3.1 </w:t>
      </w:r>
      <w:r>
        <w:rPr>
          <w:rFonts w:hint="eastAsia" w:ascii="宋体" w:hAnsi="宋体"/>
          <w:sz w:val="21"/>
          <w:szCs w:val="21"/>
        </w:rPr>
        <w:t>监理人认为有必要时，可向承包人作出暂停施工的指示，承包人应按监理人指示暂停施工。不论由于何种原因引起的暂停施工，暂停施工期间承包人应负责妥善保护工程并提供安全保障。</w:t>
      </w:r>
    </w:p>
    <w:p>
      <w:pPr>
        <w:spacing w:line="360" w:lineRule="exact"/>
        <w:ind w:firstLine="420" w:firstLineChars="200"/>
        <w:rPr>
          <w:rFonts w:ascii="宋体" w:hAnsi="宋体"/>
          <w:sz w:val="21"/>
          <w:szCs w:val="21"/>
        </w:rPr>
      </w:pPr>
      <w:r>
        <w:rPr>
          <w:rFonts w:ascii="宋体" w:hAnsi="宋体"/>
          <w:sz w:val="21"/>
          <w:szCs w:val="21"/>
        </w:rPr>
        <w:t xml:space="preserve">12.3.2 </w:t>
      </w:r>
      <w:r>
        <w:rPr>
          <w:rFonts w:hint="eastAsia" w:ascii="宋体" w:hAnsi="宋体"/>
          <w:sz w:val="21"/>
          <w:szCs w:val="21"/>
        </w:rPr>
        <w:t>由于发包人的原因发生暂停施工的紧急情况，且监理人未及时下达暂停施工指示的，承包人可先暂停施工，并及时向监理人提出暂停施工的书面请求。监理人应在接到书面请求后的</w:t>
      </w:r>
      <w:r>
        <w:rPr>
          <w:rFonts w:ascii="宋体" w:hAnsi="宋体"/>
          <w:sz w:val="21"/>
          <w:szCs w:val="21"/>
        </w:rPr>
        <w:t>24</w:t>
      </w:r>
      <w:r>
        <w:rPr>
          <w:rFonts w:hint="eastAsia" w:ascii="宋体" w:hAnsi="宋体"/>
          <w:sz w:val="21"/>
          <w:szCs w:val="21"/>
        </w:rPr>
        <w:t>小时内予以答复，逾期未答复的，视为同意承包人的暂停施工请求。</w:t>
      </w:r>
    </w:p>
    <w:p>
      <w:pPr>
        <w:pStyle w:val="38"/>
        <w:spacing w:line="360" w:lineRule="exact"/>
        <w:ind w:firstLine="1784"/>
        <w:rPr>
          <w:rFonts w:ascii="宋体" w:eastAsia="宋体"/>
          <w:sz w:val="21"/>
          <w:szCs w:val="21"/>
        </w:rPr>
      </w:pPr>
      <w:bookmarkStart w:id="147" w:name="_Toc19978"/>
      <w:r>
        <w:rPr>
          <w:rFonts w:hint="eastAsia" w:ascii="宋体" w:eastAsia="宋体"/>
          <w:sz w:val="21"/>
          <w:szCs w:val="21"/>
        </w:rPr>
        <w:t>12.4 暂停施工后的复工</w:t>
      </w:r>
      <w:bookmarkEnd w:id="147"/>
    </w:p>
    <w:p>
      <w:pPr>
        <w:spacing w:line="360" w:lineRule="exact"/>
        <w:ind w:firstLine="420" w:firstLineChars="200"/>
        <w:rPr>
          <w:rFonts w:ascii="宋体" w:hAnsi="宋体"/>
          <w:sz w:val="21"/>
          <w:szCs w:val="21"/>
        </w:rPr>
      </w:pPr>
      <w:r>
        <w:rPr>
          <w:rFonts w:ascii="宋体" w:hAnsi="宋体"/>
          <w:sz w:val="21"/>
          <w:szCs w:val="21"/>
        </w:rPr>
        <w:t xml:space="preserve">12.4.1 </w:t>
      </w:r>
      <w:r>
        <w:rPr>
          <w:rFonts w:hint="eastAsia" w:ascii="宋体" w:hAnsi="宋体"/>
          <w:sz w:val="21"/>
          <w:szCs w:val="21"/>
        </w:rPr>
        <w:t>暂停施工后，监理人应与发包人和承包人协商，采取有效措施积极消除暂停施工的影响。当工程具备复工条件时，监理人应立即向承包人发出复工通知。承包人收到复工通知后，应在监理人指定的期限内复工。</w:t>
      </w:r>
    </w:p>
    <w:p>
      <w:pPr>
        <w:spacing w:line="360" w:lineRule="exact"/>
        <w:ind w:firstLine="420" w:firstLineChars="200"/>
        <w:rPr>
          <w:rFonts w:ascii="宋体" w:hAnsi="宋体"/>
          <w:sz w:val="21"/>
          <w:szCs w:val="21"/>
        </w:rPr>
      </w:pPr>
      <w:r>
        <w:rPr>
          <w:rFonts w:ascii="宋体" w:hAnsi="宋体"/>
          <w:sz w:val="21"/>
          <w:szCs w:val="21"/>
        </w:rPr>
        <w:t xml:space="preserve">12.4.2 </w:t>
      </w:r>
      <w:r>
        <w:rPr>
          <w:rFonts w:hint="eastAsia" w:ascii="宋体" w:hAnsi="宋体"/>
          <w:sz w:val="21"/>
          <w:szCs w:val="21"/>
        </w:rPr>
        <w:t>承包人无故拖延和拒绝复工的，由此增加的费用和工期延误由承包人承担；因发包人原因无法按时复工的，承包人有权要求发包人延长工期和（或）增加费用，并支付合理利润。</w:t>
      </w:r>
    </w:p>
    <w:p>
      <w:pPr>
        <w:pStyle w:val="38"/>
        <w:spacing w:line="360" w:lineRule="exact"/>
        <w:ind w:firstLine="1784"/>
        <w:rPr>
          <w:rFonts w:ascii="宋体" w:eastAsia="宋体"/>
          <w:sz w:val="21"/>
          <w:szCs w:val="21"/>
        </w:rPr>
      </w:pPr>
      <w:bookmarkStart w:id="148" w:name="_Toc11977"/>
      <w:r>
        <w:rPr>
          <w:rFonts w:hint="eastAsia" w:ascii="宋体" w:eastAsia="宋体"/>
          <w:sz w:val="21"/>
          <w:szCs w:val="21"/>
        </w:rPr>
        <w:t>12.5 暂停施工持续56天以上</w:t>
      </w:r>
      <w:bookmarkEnd w:id="148"/>
    </w:p>
    <w:p>
      <w:pPr>
        <w:spacing w:line="360" w:lineRule="exact"/>
        <w:ind w:firstLine="411" w:firstLineChars="196"/>
        <w:rPr>
          <w:rFonts w:ascii="宋体" w:hAnsi="宋体"/>
          <w:sz w:val="21"/>
          <w:szCs w:val="21"/>
        </w:rPr>
      </w:pPr>
      <w:r>
        <w:rPr>
          <w:rFonts w:ascii="宋体" w:hAnsi="宋体"/>
          <w:sz w:val="21"/>
          <w:szCs w:val="21"/>
        </w:rPr>
        <w:t xml:space="preserve">12.5.1 </w:t>
      </w:r>
      <w:r>
        <w:rPr>
          <w:rFonts w:hint="eastAsia" w:ascii="宋体" w:hAnsi="宋体"/>
          <w:sz w:val="21"/>
          <w:szCs w:val="21"/>
        </w:rPr>
        <w:t>监理人发出暂停施工指示后</w:t>
      </w:r>
      <w:r>
        <w:rPr>
          <w:rFonts w:ascii="宋体" w:hAnsi="宋体"/>
          <w:sz w:val="21"/>
          <w:szCs w:val="21"/>
        </w:rPr>
        <w:t>56</w:t>
      </w:r>
      <w:r>
        <w:rPr>
          <w:rFonts w:hint="eastAsia" w:ascii="宋体" w:hAnsi="宋体"/>
          <w:sz w:val="21"/>
          <w:szCs w:val="21"/>
        </w:rPr>
        <w:t>天内未向承包人发出复工通知，除了该项停工属于第</w:t>
      </w:r>
      <w:r>
        <w:rPr>
          <w:rFonts w:ascii="宋体" w:hAnsi="宋体"/>
          <w:sz w:val="21"/>
          <w:szCs w:val="21"/>
        </w:rPr>
        <w:t>12.1</w:t>
      </w:r>
      <w:r>
        <w:rPr>
          <w:rFonts w:hint="eastAsia" w:ascii="宋体" w:hAnsi="宋体"/>
          <w:sz w:val="21"/>
          <w:szCs w:val="21"/>
        </w:rPr>
        <w:t>款的情况外，承包人可向监理人提交书面通知，要求监理人在收到书面通知后</w:t>
      </w:r>
      <w:r>
        <w:rPr>
          <w:rFonts w:ascii="宋体" w:hAnsi="宋体"/>
          <w:sz w:val="21"/>
          <w:szCs w:val="21"/>
        </w:rPr>
        <w:t>28</w:t>
      </w:r>
      <w:r>
        <w:rPr>
          <w:rFonts w:hint="eastAsia" w:ascii="宋体" w:hAnsi="宋体"/>
          <w:sz w:val="21"/>
          <w:szCs w:val="21"/>
        </w:rPr>
        <w:t>天内准许已暂停施工的工程或其中一部分工程继续施工。如监理人逾期不予批准，则承包人可以通知监理人，将工程受影响的部分视为按第</w:t>
      </w:r>
      <w:r>
        <w:rPr>
          <w:rFonts w:ascii="宋体" w:hAnsi="宋体"/>
          <w:sz w:val="21"/>
          <w:szCs w:val="21"/>
        </w:rPr>
        <w:t>15.1</w:t>
      </w:r>
      <w:r>
        <w:rPr>
          <w:rFonts w:hint="eastAsia" w:ascii="宋体" w:hAnsi="宋体"/>
          <w:sz w:val="21"/>
          <w:szCs w:val="21"/>
        </w:rPr>
        <w:t>（</w:t>
      </w:r>
      <w:r>
        <w:rPr>
          <w:rFonts w:ascii="宋体" w:hAnsi="宋体"/>
          <w:sz w:val="21"/>
          <w:szCs w:val="21"/>
        </w:rPr>
        <w:t>1</w:t>
      </w:r>
      <w:r>
        <w:rPr>
          <w:rFonts w:hint="eastAsia" w:ascii="宋体" w:hAnsi="宋体"/>
          <w:sz w:val="21"/>
          <w:szCs w:val="21"/>
        </w:rPr>
        <w:t>）项的可取消工作。如暂停施工影响到整个工程，可视为发包人违约，应按第</w:t>
      </w:r>
      <w:r>
        <w:rPr>
          <w:rFonts w:ascii="宋体" w:hAnsi="宋体"/>
          <w:sz w:val="21"/>
          <w:szCs w:val="21"/>
        </w:rPr>
        <w:t>22.2</w:t>
      </w:r>
      <w:r>
        <w:rPr>
          <w:rFonts w:hint="eastAsia" w:ascii="宋体" w:hAnsi="宋体"/>
          <w:sz w:val="21"/>
          <w:szCs w:val="21"/>
        </w:rPr>
        <w:t>款的规定办理。</w:t>
      </w:r>
    </w:p>
    <w:p>
      <w:pPr>
        <w:spacing w:line="360" w:lineRule="exact"/>
        <w:ind w:firstLine="420"/>
        <w:rPr>
          <w:rFonts w:ascii="宋体" w:hAnsi="宋体"/>
          <w:sz w:val="21"/>
          <w:szCs w:val="21"/>
        </w:rPr>
      </w:pPr>
      <w:r>
        <w:rPr>
          <w:rFonts w:ascii="宋体" w:hAnsi="宋体"/>
          <w:sz w:val="21"/>
          <w:szCs w:val="21"/>
        </w:rPr>
        <w:t xml:space="preserve">12.5.2 </w:t>
      </w:r>
      <w:r>
        <w:rPr>
          <w:rFonts w:hint="eastAsia" w:ascii="宋体" w:hAnsi="宋体"/>
          <w:sz w:val="21"/>
          <w:szCs w:val="21"/>
        </w:rPr>
        <w:t>由于承包人责任引起的暂停施工，如承包人在收到监理人暂停施工指示后</w:t>
      </w:r>
      <w:r>
        <w:rPr>
          <w:rFonts w:ascii="宋体" w:hAnsi="宋体"/>
          <w:sz w:val="21"/>
          <w:szCs w:val="21"/>
        </w:rPr>
        <w:t>56</w:t>
      </w:r>
      <w:r>
        <w:rPr>
          <w:rFonts w:hint="eastAsia" w:ascii="宋体" w:hAnsi="宋体"/>
          <w:sz w:val="21"/>
          <w:szCs w:val="21"/>
        </w:rPr>
        <w:t>天内不认真采取有效的复工措施，造成工期延误，可视为承包人违约，应按第</w:t>
      </w:r>
      <w:r>
        <w:rPr>
          <w:rFonts w:ascii="宋体" w:hAnsi="宋体"/>
          <w:sz w:val="21"/>
          <w:szCs w:val="21"/>
        </w:rPr>
        <w:t>22.1</w:t>
      </w:r>
      <w:r>
        <w:rPr>
          <w:rFonts w:hint="eastAsia" w:ascii="宋体" w:hAnsi="宋体"/>
          <w:sz w:val="21"/>
          <w:szCs w:val="21"/>
        </w:rPr>
        <w:t>款的规定办理。</w:t>
      </w:r>
    </w:p>
    <w:p>
      <w:pPr>
        <w:spacing w:line="360" w:lineRule="exact"/>
        <w:outlineLvl w:val="1"/>
        <w:rPr>
          <w:rFonts w:ascii="宋体" w:hAnsi="宋体"/>
          <w:b/>
          <w:sz w:val="21"/>
          <w:szCs w:val="21"/>
        </w:rPr>
      </w:pPr>
      <w:bookmarkStart w:id="149" w:name="_Toc525977329"/>
      <w:bookmarkStart w:id="150" w:name="_Toc943974"/>
      <w:bookmarkStart w:id="151" w:name="_Toc2212"/>
      <w:bookmarkStart w:id="152" w:name="_Toc522970366"/>
      <w:bookmarkStart w:id="153" w:name="_Toc5741"/>
      <w:bookmarkStart w:id="154" w:name="_Toc445"/>
      <w:r>
        <w:rPr>
          <w:rFonts w:hint="eastAsia" w:ascii="宋体" w:hAnsi="宋体"/>
          <w:b/>
          <w:sz w:val="21"/>
          <w:szCs w:val="21"/>
        </w:rPr>
        <w:t>13　工程质量</w:t>
      </w:r>
      <w:bookmarkEnd w:id="141"/>
      <w:bookmarkEnd w:id="149"/>
      <w:bookmarkEnd w:id="150"/>
      <w:bookmarkEnd w:id="151"/>
      <w:bookmarkEnd w:id="152"/>
      <w:bookmarkEnd w:id="153"/>
      <w:bookmarkEnd w:id="154"/>
    </w:p>
    <w:p>
      <w:pPr>
        <w:spacing w:line="360" w:lineRule="exact"/>
        <w:rPr>
          <w:rFonts w:ascii="宋体" w:hAnsi="宋体"/>
          <w:sz w:val="21"/>
          <w:szCs w:val="21"/>
        </w:rPr>
      </w:pPr>
      <w:r>
        <w:rPr>
          <w:rFonts w:hint="eastAsia" w:ascii="宋体" w:hAnsi="宋体"/>
          <w:sz w:val="21"/>
          <w:szCs w:val="21"/>
        </w:rPr>
        <w:t>　</w:t>
      </w:r>
      <w:r>
        <w:rPr>
          <w:rFonts w:ascii="宋体" w:hAnsi="宋体"/>
          <w:sz w:val="21"/>
          <w:szCs w:val="21"/>
        </w:rPr>
        <w:t>13.7.7</w:t>
      </w:r>
      <w:r>
        <w:rPr>
          <w:rFonts w:hint="eastAsia" w:ascii="宋体" w:hAnsi="宋体"/>
          <w:sz w:val="21"/>
          <w:szCs w:val="21"/>
        </w:rPr>
        <w:t>　本工程质量等级目标：合格。</w:t>
      </w:r>
    </w:p>
    <w:p>
      <w:pPr>
        <w:spacing w:line="360" w:lineRule="exact"/>
        <w:outlineLvl w:val="1"/>
        <w:rPr>
          <w:rFonts w:ascii="宋体" w:hAnsi="宋体"/>
          <w:b/>
          <w:sz w:val="21"/>
          <w:szCs w:val="21"/>
        </w:rPr>
      </w:pPr>
      <w:bookmarkStart w:id="155" w:name="第04章合同条款及格式0215"/>
      <w:bookmarkEnd w:id="155"/>
      <w:bookmarkStart w:id="156" w:name="第04章合同条款及格式0214"/>
      <w:bookmarkEnd w:id="156"/>
      <w:bookmarkStart w:id="157" w:name="_Toc525977330"/>
      <w:bookmarkStart w:id="158" w:name="_Toc152045702"/>
      <w:bookmarkStart w:id="159" w:name="_Toc943975"/>
      <w:bookmarkStart w:id="160" w:name="_Toc144974671"/>
      <w:bookmarkStart w:id="161" w:name="_Toc31064"/>
      <w:bookmarkStart w:id="162" w:name="_Toc340483314"/>
      <w:bookmarkStart w:id="163" w:name="_Toc522970367"/>
      <w:bookmarkStart w:id="164" w:name="_Toc12875"/>
      <w:bookmarkStart w:id="165" w:name="_Toc152042480"/>
      <w:bookmarkStart w:id="166" w:name="_Toc179632720"/>
      <w:bookmarkStart w:id="167" w:name="_Toc31780"/>
      <w:r>
        <w:rPr>
          <w:rFonts w:hint="eastAsia" w:ascii="宋体" w:hAnsi="宋体"/>
          <w:b/>
          <w:sz w:val="21"/>
          <w:szCs w:val="21"/>
        </w:rPr>
        <w:t>14. 试验和检验</w:t>
      </w:r>
      <w:bookmarkEnd w:id="157"/>
      <w:bookmarkEnd w:id="158"/>
      <w:bookmarkEnd w:id="159"/>
      <w:bookmarkEnd w:id="160"/>
      <w:bookmarkEnd w:id="161"/>
      <w:bookmarkEnd w:id="162"/>
      <w:bookmarkEnd w:id="163"/>
      <w:bookmarkEnd w:id="164"/>
      <w:bookmarkEnd w:id="165"/>
      <w:bookmarkEnd w:id="166"/>
      <w:bookmarkEnd w:id="167"/>
    </w:p>
    <w:p>
      <w:pPr>
        <w:spacing w:line="360" w:lineRule="exact"/>
        <w:ind w:firstLine="211" w:firstLineChars="100"/>
        <w:rPr>
          <w:rFonts w:ascii="宋体" w:hAnsi="宋体"/>
          <w:b/>
          <w:sz w:val="21"/>
          <w:szCs w:val="21"/>
        </w:rPr>
      </w:pPr>
      <w:bookmarkStart w:id="168" w:name="_Toc380478258"/>
      <w:bookmarkStart w:id="169" w:name="_Toc340483315"/>
      <w:r>
        <w:rPr>
          <w:rFonts w:ascii="宋体" w:hAnsi="宋体"/>
          <w:b/>
          <w:sz w:val="21"/>
          <w:szCs w:val="21"/>
        </w:rPr>
        <w:t xml:space="preserve">14.1.4 </w:t>
      </w:r>
      <w:r>
        <w:rPr>
          <w:rFonts w:hint="eastAsia" w:ascii="宋体" w:hAnsi="宋体"/>
          <w:b/>
          <w:sz w:val="21"/>
          <w:szCs w:val="21"/>
        </w:rPr>
        <w:t>“水泥、钢材等”修改为“土方、水泥、钢材、黄砂、碎石</w:t>
      </w:r>
      <w:bookmarkEnd w:id="168"/>
      <w:bookmarkEnd w:id="169"/>
      <w:r>
        <w:rPr>
          <w:rFonts w:hint="eastAsia" w:ascii="宋体" w:hAnsi="宋体"/>
          <w:b/>
          <w:sz w:val="21"/>
          <w:szCs w:val="21"/>
        </w:rPr>
        <w:t>、机电设备及金属结构等进场前必须经检测。”</w:t>
      </w:r>
    </w:p>
    <w:p>
      <w:pPr>
        <w:spacing w:line="360" w:lineRule="exact"/>
        <w:ind w:firstLine="211" w:firstLineChars="100"/>
        <w:rPr>
          <w:rFonts w:ascii="宋体" w:hAnsi="宋体"/>
          <w:b/>
          <w:sz w:val="21"/>
          <w:szCs w:val="21"/>
        </w:rPr>
      </w:pPr>
      <w:bookmarkStart w:id="170" w:name="_Toc340483316"/>
      <w:bookmarkStart w:id="171" w:name="_Toc380478259"/>
      <w:r>
        <w:rPr>
          <w:rFonts w:ascii="宋体" w:hAnsi="宋体"/>
          <w:b/>
          <w:sz w:val="21"/>
          <w:szCs w:val="21"/>
        </w:rPr>
        <w:t>14.1.</w:t>
      </w:r>
      <w:r>
        <w:rPr>
          <w:rFonts w:hint="eastAsia" w:ascii="宋体" w:hAnsi="宋体"/>
          <w:b/>
          <w:sz w:val="21"/>
          <w:szCs w:val="21"/>
        </w:rPr>
        <w:t>6</w:t>
      </w:r>
      <w:r>
        <w:rPr>
          <w:rFonts w:ascii="宋体" w:hAnsi="宋体"/>
          <w:b/>
          <w:sz w:val="21"/>
          <w:szCs w:val="21"/>
        </w:rPr>
        <w:t xml:space="preserve">  </w:t>
      </w:r>
      <w:r>
        <w:rPr>
          <w:rFonts w:hint="eastAsia" w:ascii="宋体" w:hAnsi="宋体"/>
          <w:b/>
          <w:sz w:val="21"/>
          <w:szCs w:val="21"/>
        </w:rPr>
        <w:t>约定试块、试件及有关材料为混凝土、砂浆和回填土</w:t>
      </w:r>
      <w:bookmarkEnd w:id="170"/>
      <w:bookmarkEnd w:id="171"/>
    </w:p>
    <w:p>
      <w:pPr>
        <w:spacing w:line="360" w:lineRule="exact"/>
        <w:outlineLvl w:val="1"/>
        <w:rPr>
          <w:rFonts w:ascii="宋体" w:hAnsi="宋体"/>
          <w:b/>
          <w:sz w:val="21"/>
          <w:szCs w:val="21"/>
        </w:rPr>
      </w:pPr>
      <w:bookmarkStart w:id="172" w:name="_Toc943976"/>
      <w:bookmarkStart w:id="173" w:name="_Toc522970368"/>
      <w:bookmarkStart w:id="174" w:name="_Toc525977331"/>
      <w:bookmarkStart w:id="175" w:name="_Toc23034"/>
      <w:bookmarkStart w:id="176" w:name="_Toc340483317"/>
      <w:bookmarkStart w:id="177" w:name="_Toc10291"/>
      <w:bookmarkStart w:id="178" w:name="_Toc32244"/>
      <w:r>
        <w:rPr>
          <w:rFonts w:hint="eastAsia" w:ascii="宋体" w:hAnsi="宋体"/>
          <w:b/>
          <w:sz w:val="21"/>
          <w:szCs w:val="21"/>
        </w:rPr>
        <w:t>15　变更</w:t>
      </w:r>
      <w:bookmarkEnd w:id="172"/>
      <w:bookmarkEnd w:id="173"/>
      <w:bookmarkEnd w:id="174"/>
      <w:bookmarkEnd w:id="175"/>
      <w:bookmarkEnd w:id="176"/>
      <w:bookmarkEnd w:id="177"/>
      <w:bookmarkEnd w:id="178"/>
    </w:p>
    <w:p>
      <w:pPr>
        <w:spacing w:line="360" w:lineRule="exact"/>
        <w:rPr>
          <w:rFonts w:ascii="宋体" w:hAnsi="宋体"/>
          <w:sz w:val="21"/>
          <w:szCs w:val="21"/>
        </w:rPr>
      </w:pPr>
      <w:r>
        <w:rPr>
          <w:rFonts w:hint="eastAsia" w:ascii="宋体" w:hAnsi="宋体"/>
          <w:sz w:val="21"/>
          <w:szCs w:val="21"/>
        </w:rPr>
        <w:t>　</w:t>
      </w:r>
      <w:r>
        <w:rPr>
          <w:rFonts w:ascii="宋体" w:hAnsi="宋体"/>
          <w:sz w:val="21"/>
          <w:szCs w:val="21"/>
        </w:rPr>
        <w:t>15.1</w:t>
      </w:r>
      <w:r>
        <w:rPr>
          <w:rFonts w:hint="eastAsia" w:ascii="宋体" w:hAnsi="宋体"/>
          <w:sz w:val="21"/>
          <w:szCs w:val="21"/>
        </w:rPr>
        <w:t>　变更的范围和内容</w:t>
      </w:r>
    </w:p>
    <w:p>
      <w:pPr>
        <w:spacing w:line="360" w:lineRule="exact"/>
        <w:ind w:firstLine="420"/>
        <w:rPr>
          <w:rFonts w:ascii="宋体" w:hAnsi="宋体"/>
          <w:sz w:val="21"/>
          <w:szCs w:val="21"/>
        </w:rPr>
      </w:pPr>
      <w:r>
        <w:rPr>
          <w:rFonts w:ascii="宋体" w:hAnsi="宋体"/>
          <w:sz w:val="21"/>
          <w:szCs w:val="21"/>
        </w:rPr>
        <w:t>(6)</w:t>
      </w:r>
      <w:r>
        <w:rPr>
          <w:rFonts w:hint="eastAsia" w:ascii="宋体" w:hAnsi="宋体"/>
          <w:sz w:val="21"/>
          <w:szCs w:val="21"/>
        </w:rPr>
        <w:t>增加或减少合同中关键项目的工程量超过其工程总量的</w:t>
      </w:r>
      <w:r>
        <w:rPr>
          <w:rFonts w:ascii="宋体" w:hAnsi="宋体"/>
          <w:sz w:val="21"/>
          <w:szCs w:val="21"/>
          <w:u w:val="single"/>
        </w:rPr>
        <w:t>15</w:t>
      </w:r>
      <w:r>
        <w:rPr>
          <w:rFonts w:ascii="宋体" w:hAnsi="宋体"/>
          <w:sz w:val="21"/>
          <w:szCs w:val="21"/>
        </w:rPr>
        <w:t>%</w:t>
      </w:r>
      <w:r>
        <w:rPr>
          <w:rFonts w:hint="eastAsia" w:ascii="宋体" w:hAnsi="宋体"/>
          <w:sz w:val="21"/>
          <w:szCs w:val="21"/>
        </w:rPr>
        <w:t>，总价承包项目调整总价金额，综合单价承包项目</w:t>
      </w:r>
      <w:r>
        <w:rPr>
          <w:rFonts w:hint="eastAsia" w:ascii="宋体" w:hAnsi="宋体"/>
          <w:b/>
          <w:sz w:val="21"/>
          <w:szCs w:val="21"/>
        </w:rPr>
        <w:t>按15.4.1条专用条款执行。</w:t>
      </w:r>
    </w:p>
    <w:p>
      <w:pPr>
        <w:spacing w:line="360" w:lineRule="exact"/>
        <w:ind w:firstLine="420" w:firstLineChars="200"/>
        <w:rPr>
          <w:rFonts w:ascii="宋体" w:hAnsi="宋体"/>
          <w:sz w:val="21"/>
          <w:szCs w:val="21"/>
        </w:rPr>
      </w:pPr>
      <w:r>
        <w:rPr>
          <w:rFonts w:ascii="宋体" w:hAnsi="宋体"/>
          <w:sz w:val="21"/>
          <w:szCs w:val="21"/>
        </w:rPr>
        <w:t xml:space="preserve">15.3.1 </w:t>
      </w:r>
      <w:r>
        <w:rPr>
          <w:rFonts w:hint="eastAsia" w:ascii="宋体" w:hAnsi="宋体"/>
          <w:sz w:val="21"/>
          <w:szCs w:val="21"/>
        </w:rPr>
        <w:t>变更的提出</w:t>
      </w:r>
    </w:p>
    <w:p>
      <w:pPr>
        <w:spacing w:line="360" w:lineRule="exact"/>
        <w:ind w:firstLine="420" w:firstLineChars="200"/>
        <w:rPr>
          <w:rFonts w:ascii="宋体" w:hAnsi="宋体"/>
          <w:sz w:val="21"/>
          <w:szCs w:val="21"/>
        </w:rPr>
      </w:pPr>
      <w:r>
        <w:rPr>
          <w:rFonts w:hint="eastAsia" w:ascii="宋体" w:hAnsi="宋体"/>
          <w:sz w:val="21"/>
          <w:szCs w:val="21"/>
        </w:rPr>
        <w:t>（1）变更的提出。项目建设单位会同规划、勘察、设计、监理、项目管理等单位现场勘查，提出明确的书面变更方案报告。</w:t>
      </w:r>
    </w:p>
    <w:p>
      <w:pPr>
        <w:spacing w:line="360" w:lineRule="exact"/>
        <w:ind w:firstLine="420" w:firstLineChars="200"/>
        <w:rPr>
          <w:rFonts w:ascii="宋体" w:hAnsi="宋体"/>
          <w:sz w:val="21"/>
          <w:szCs w:val="21"/>
        </w:rPr>
      </w:pPr>
      <w:r>
        <w:rPr>
          <w:rFonts w:hint="eastAsia" w:ascii="宋体" w:hAnsi="宋体"/>
          <w:sz w:val="21"/>
          <w:szCs w:val="21"/>
        </w:rPr>
        <w:t>（2）变更的审批。严格按照《常州市金坛区政府投资建设项目审计监督办法（修订）》（坛政规2021【2】号）进行报批后承包人方可实施。未获得批准文件的任何变更都是非法的和无效的变更。</w:t>
      </w:r>
    </w:p>
    <w:p>
      <w:pPr>
        <w:spacing w:line="360" w:lineRule="exact"/>
        <w:ind w:firstLine="420" w:firstLineChars="200"/>
        <w:rPr>
          <w:rFonts w:ascii="宋体" w:hAnsi="宋体"/>
          <w:sz w:val="21"/>
          <w:szCs w:val="21"/>
        </w:rPr>
      </w:pPr>
      <w:r>
        <w:rPr>
          <w:rFonts w:ascii="宋体" w:hAnsi="宋体"/>
          <w:sz w:val="21"/>
          <w:szCs w:val="21"/>
        </w:rPr>
        <w:t xml:space="preserve">15.3.2 </w:t>
      </w:r>
      <w:r>
        <w:rPr>
          <w:rFonts w:hint="eastAsia" w:ascii="宋体" w:hAnsi="宋体"/>
          <w:sz w:val="21"/>
          <w:szCs w:val="21"/>
        </w:rPr>
        <w:t>变更估价</w:t>
      </w:r>
    </w:p>
    <w:p>
      <w:pPr>
        <w:spacing w:line="360" w:lineRule="exact"/>
        <w:ind w:firstLine="420" w:firstLineChars="200"/>
        <w:rPr>
          <w:rFonts w:ascii="宋体" w:hAnsi="宋体"/>
          <w:sz w:val="21"/>
          <w:szCs w:val="21"/>
        </w:rPr>
      </w:pPr>
      <w:r>
        <w:rPr>
          <w:rFonts w:hint="eastAsia" w:ascii="宋体" w:hAnsi="宋体"/>
          <w:sz w:val="21"/>
          <w:szCs w:val="21"/>
        </w:rPr>
        <w:t>（</w:t>
      </w:r>
      <w:r>
        <w:rPr>
          <w:rFonts w:ascii="宋体" w:hAnsi="宋体"/>
          <w:sz w:val="21"/>
          <w:szCs w:val="21"/>
        </w:rPr>
        <w:t>3</w:t>
      </w:r>
      <w:r>
        <w:rPr>
          <w:rFonts w:hint="eastAsia" w:ascii="宋体" w:hAnsi="宋体"/>
          <w:sz w:val="21"/>
          <w:szCs w:val="21"/>
        </w:rPr>
        <w:t>）除专用合同条款对期限另有约定外，监理人收到承包人变更报价书后的</w:t>
      </w:r>
      <w:r>
        <w:rPr>
          <w:rFonts w:ascii="宋体" w:hAnsi="宋体"/>
          <w:sz w:val="21"/>
          <w:szCs w:val="21"/>
        </w:rPr>
        <w:t>14</w:t>
      </w:r>
      <w:r>
        <w:rPr>
          <w:rFonts w:hint="eastAsia" w:ascii="宋体" w:hAnsi="宋体"/>
          <w:sz w:val="21"/>
          <w:szCs w:val="21"/>
        </w:rPr>
        <w:t>天内</w:t>
      </w:r>
      <w:r>
        <w:rPr>
          <w:rFonts w:hint="eastAsia" w:ascii="宋体" w:hAnsi="宋体"/>
          <w:b/>
          <w:sz w:val="21"/>
          <w:szCs w:val="21"/>
        </w:rPr>
        <w:t>签署是否采纳变更报价的意见后报送业主、跟踪审计方进行审查、分别签署变更估计意见返回给承包方，各方的变更估计意见存在重大分歧时，由业主召集各方共同商定结果，</w:t>
      </w:r>
      <w:r>
        <w:rPr>
          <w:rFonts w:hint="eastAsia" w:ascii="宋体" w:hAnsi="宋体"/>
          <w:sz w:val="21"/>
          <w:szCs w:val="21"/>
        </w:rPr>
        <w:t>根据第</w:t>
      </w:r>
      <w:r>
        <w:rPr>
          <w:rFonts w:ascii="宋体" w:hAnsi="宋体"/>
          <w:sz w:val="21"/>
          <w:szCs w:val="21"/>
        </w:rPr>
        <w:t>15.4</w:t>
      </w:r>
      <w:r>
        <w:rPr>
          <w:rFonts w:hint="eastAsia" w:ascii="宋体" w:hAnsi="宋体"/>
          <w:sz w:val="21"/>
          <w:szCs w:val="21"/>
        </w:rPr>
        <w:t>款约定的估价原则，按照第</w:t>
      </w:r>
      <w:r>
        <w:rPr>
          <w:rFonts w:ascii="宋体" w:hAnsi="宋体"/>
          <w:sz w:val="21"/>
          <w:szCs w:val="21"/>
        </w:rPr>
        <w:t>3.5</w:t>
      </w:r>
      <w:r>
        <w:rPr>
          <w:rFonts w:hint="eastAsia" w:ascii="宋体" w:hAnsi="宋体"/>
          <w:sz w:val="21"/>
          <w:szCs w:val="21"/>
        </w:rPr>
        <w:t>款商定或确定变更价格。</w:t>
      </w:r>
    </w:p>
    <w:p>
      <w:pPr>
        <w:spacing w:line="360" w:lineRule="exact"/>
        <w:rPr>
          <w:rFonts w:ascii="宋体" w:hAnsi="宋体"/>
          <w:sz w:val="21"/>
          <w:szCs w:val="21"/>
        </w:rPr>
      </w:pPr>
      <w:r>
        <w:rPr>
          <w:rFonts w:hint="eastAsia" w:ascii="宋体" w:hAnsi="宋体"/>
          <w:sz w:val="21"/>
          <w:szCs w:val="21"/>
        </w:rPr>
        <w:t>15.4 变更的估价原则</w:t>
      </w:r>
    </w:p>
    <w:p>
      <w:pPr>
        <w:spacing w:line="360" w:lineRule="exact"/>
        <w:rPr>
          <w:rFonts w:ascii="宋体" w:hAnsi="宋体"/>
          <w:sz w:val="21"/>
          <w:szCs w:val="21"/>
        </w:rPr>
      </w:pPr>
      <w:r>
        <w:rPr>
          <w:rFonts w:ascii="宋体" w:hAnsi="宋体"/>
          <w:sz w:val="21"/>
          <w:szCs w:val="21"/>
        </w:rPr>
        <w:t xml:space="preserve">15.4.1 </w:t>
      </w:r>
      <w:r>
        <w:rPr>
          <w:rFonts w:hint="eastAsia" w:ascii="宋体" w:hAnsi="宋体"/>
          <w:sz w:val="21"/>
          <w:szCs w:val="21"/>
        </w:rPr>
        <w:t>已标价工程量清单中有适用于变更工作的子目的，采用该子目的单价。</w:t>
      </w:r>
      <w:r>
        <w:rPr>
          <w:rFonts w:hint="eastAsia" w:ascii="宋体" w:hAnsi="宋体"/>
          <w:b/>
          <w:sz w:val="21"/>
          <w:szCs w:val="21"/>
        </w:rPr>
        <w:t>但采用不平衡报价且明显高于市场价的子目变更，其单价将在满足该子目中标工程量15%范围内采纳其报价，超出15%(含)以外的工程量采用下列15.4.3的方法确定单价。</w:t>
      </w:r>
    </w:p>
    <w:p>
      <w:pPr>
        <w:spacing w:line="360" w:lineRule="exact"/>
        <w:rPr>
          <w:rFonts w:hint="eastAsia" w:ascii="宋体" w:hAnsi="宋体"/>
          <w:b/>
          <w:sz w:val="21"/>
          <w:szCs w:val="21"/>
        </w:rPr>
      </w:pPr>
      <w:r>
        <w:rPr>
          <w:rFonts w:hint="eastAsia" w:ascii="宋体" w:hAnsi="宋体"/>
          <w:sz w:val="21"/>
          <w:szCs w:val="21"/>
        </w:rPr>
        <w:t>15.4.3 已标价工程量清单中无适用或类似子目的单价，</w:t>
      </w:r>
      <w:r>
        <w:rPr>
          <w:rFonts w:hint="eastAsia" w:ascii="宋体" w:hAnsi="宋体"/>
          <w:b/>
          <w:sz w:val="21"/>
          <w:szCs w:val="21"/>
        </w:rPr>
        <w:t>按江苏省水利工程预算定额计算办法和投标书中的材料价格确定单价；江苏省水利工程预算定额中无类似子目则可参照公路、市政等预算定额编制单价，若所有定额中均无该子目则参照类似工程单价或市场价。形成该单价后应按照投标结果进行同步下浮让利确定计量单价</w:t>
      </w:r>
      <w:r>
        <w:rPr>
          <w:rFonts w:hint="eastAsia" w:ascii="宋体" w:hAnsi="宋体" w:eastAsia="宋体" w:cs="Times New Roman"/>
          <w:sz w:val="21"/>
          <w:szCs w:val="21"/>
        </w:rPr>
        <w:t>。让利率根据中标价格同步让利。</w:t>
      </w:r>
    </w:p>
    <w:p>
      <w:pPr>
        <w:spacing w:line="360" w:lineRule="exact"/>
        <w:outlineLvl w:val="1"/>
        <w:rPr>
          <w:rFonts w:ascii="宋体" w:hAnsi="宋体"/>
          <w:b/>
          <w:sz w:val="21"/>
          <w:szCs w:val="21"/>
        </w:rPr>
      </w:pPr>
      <w:bookmarkStart w:id="179" w:name="第04章合同条款及格式0216"/>
      <w:bookmarkEnd w:id="179"/>
      <w:bookmarkStart w:id="180" w:name="_Toc13765"/>
      <w:bookmarkStart w:id="181" w:name="_Toc340483318"/>
      <w:bookmarkStart w:id="182" w:name="_Toc18158"/>
      <w:bookmarkStart w:id="183" w:name="_Toc525977332"/>
      <w:bookmarkStart w:id="184" w:name="_Toc13340"/>
      <w:bookmarkStart w:id="185" w:name="_Toc522970369"/>
      <w:bookmarkStart w:id="186" w:name="_Toc943977"/>
      <w:r>
        <w:rPr>
          <w:rFonts w:hint="eastAsia" w:ascii="宋体" w:hAnsi="宋体"/>
          <w:b/>
          <w:sz w:val="21"/>
          <w:szCs w:val="21"/>
        </w:rPr>
        <w:t>16　价格调整</w:t>
      </w:r>
      <w:bookmarkEnd w:id="180"/>
      <w:bookmarkEnd w:id="181"/>
      <w:bookmarkEnd w:id="182"/>
      <w:bookmarkEnd w:id="183"/>
      <w:bookmarkEnd w:id="184"/>
      <w:bookmarkEnd w:id="185"/>
      <w:bookmarkEnd w:id="186"/>
    </w:p>
    <w:p>
      <w:pPr>
        <w:spacing w:line="360" w:lineRule="exact"/>
        <w:rPr>
          <w:rFonts w:ascii="宋体" w:hAnsi="宋体"/>
          <w:sz w:val="21"/>
          <w:szCs w:val="21"/>
        </w:rPr>
      </w:pPr>
      <w:r>
        <w:rPr>
          <w:rFonts w:hint="eastAsia" w:ascii="宋体" w:hAnsi="宋体"/>
          <w:sz w:val="21"/>
          <w:szCs w:val="21"/>
        </w:rPr>
        <w:t>　</w:t>
      </w:r>
      <w:r>
        <w:rPr>
          <w:rFonts w:ascii="宋体" w:hAnsi="宋体"/>
          <w:sz w:val="21"/>
          <w:szCs w:val="21"/>
        </w:rPr>
        <w:t>16.1</w:t>
      </w:r>
      <w:r>
        <w:rPr>
          <w:rFonts w:hint="eastAsia" w:ascii="宋体" w:hAnsi="宋体"/>
          <w:sz w:val="21"/>
          <w:szCs w:val="21"/>
        </w:rPr>
        <w:t>　物价波动引起的价格调整</w:t>
      </w:r>
    </w:p>
    <w:p>
      <w:pPr>
        <w:spacing w:line="360" w:lineRule="exact"/>
        <w:ind w:firstLine="420" w:firstLineChars="200"/>
        <w:rPr>
          <w:rFonts w:ascii="宋体" w:hAnsi="宋体" w:cs="宋体"/>
          <w:sz w:val="21"/>
          <w:szCs w:val="21"/>
        </w:rPr>
      </w:pPr>
      <w:r>
        <w:rPr>
          <w:rFonts w:hint="eastAsia" w:ascii="宋体" w:hAnsi="宋体"/>
          <w:sz w:val="21"/>
          <w:szCs w:val="21"/>
        </w:rPr>
        <w:t>物价波动引起的价格调整方式：</w:t>
      </w:r>
      <w:r>
        <w:rPr>
          <w:rFonts w:hint="eastAsia" w:ascii="宋体" w:hAnsi="宋体" w:cs="宋体"/>
          <w:sz w:val="21"/>
          <w:szCs w:val="21"/>
        </w:rPr>
        <w:t>本工程合同价款中所有的材料均不因市场价格波动而调整。</w:t>
      </w:r>
    </w:p>
    <w:p>
      <w:pPr>
        <w:spacing w:line="360" w:lineRule="exact"/>
        <w:outlineLvl w:val="1"/>
        <w:rPr>
          <w:rFonts w:ascii="宋体" w:hAnsi="宋体"/>
          <w:b/>
          <w:sz w:val="21"/>
          <w:szCs w:val="21"/>
        </w:rPr>
      </w:pPr>
      <w:bookmarkStart w:id="187" w:name="第04章合同条款及格式0217"/>
      <w:bookmarkEnd w:id="187"/>
      <w:bookmarkStart w:id="188" w:name="_Toc340483319"/>
      <w:bookmarkStart w:id="189" w:name="_Toc522970370"/>
      <w:bookmarkStart w:id="190" w:name="_Toc525977333"/>
      <w:bookmarkStart w:id="191" w:name="_Toc27954"/>
      <w:bookmarkStart w:id="192" w:name="_Toc7746"/>
      <w:bookmarkStart w:id="193" w:name="_Toc4586"/>
      <w:bookmarkStart w:id="194" w:name="_Toc943978"/>
      <w:r>
        <w:rPr>
          <w:rFonts w:hint="eastAsia" w:ascii="宋体" w:hAnsi="宋体"/>
          <w:b/>
          <w:sz w:val="21"/>
          <w:szCs w:val="21"/>
        </w:rPr>
        <w:t>17　计量与支付</w:t>
      </w:r>
      <w:bookmarkEnd w:id="188"/>
      <w:bookmarkEnd w:id="189"/>
      <w:bookmarkEnd w:id="190"/>
      <w:bookmarkEnd w:id="191"/>
      <w:bookmarkEnd w:id="192"/>
      <w:bookmarkEnd w:id="193"/>
      <w:bookmarkEnd w:id="194"/>
    </w:p>
    <w:p>
      <w:pPr>
        <w:spacing w:line="360" w:lineRule="exact"/>
        <w:rPr>
          <w:rFonts w:ascii="宋体" w:hAnsi="宋体"/>
          <w:b/>
          <w:sz w:val="21"/>
          <w:szCs w:val="21"/>
        </w:rPr>
      </w:pPr>
      <w:r>
        <w:rPr>
          <w:rFonts w:hint="eastAsia" w:ascii="宋体" w:hAnsi="宋体"/>
          <w:b/>
          <w:sz w:val="21"/>
          <w:szCs w:val="21"/>
        </w:rPr>
        <w:t>　</w:t>
      </w:r>
      <w:r>
        <w:rPr>
          <w:rFonts w:ascii="宋体" w:hAnsi="宋体"/>
          <w:b/>
          <w:sz w:val="21"/>
          <w:szCs w:val="21"/>
        </w:rPr>
        <w:t>17.2</w:t>
      </w:r>
      <w:r>
        <w:rPr>
          <w:rFonts w:hint="eastAsia" w:ascii="宋体" w:hAnsi="宋体"/>
          <w:b/>
          <w:sz w:val="21"/>
          <w:szCs w:val="21"/>
        </w:rPr>
        <w:t>　预付款：本工程不设预付款。</w:t>
      </w:r>
    </w:p>
    <w:p>
      <w:pPr>
        <w:spacing w:line="360" w:lineRule="exact"/>
        <w:rPr>
          <w:rFonts w:ascii="宋体" w:hAnsi="宋体"/>
          <w:b/>
          <w:sz w:val="21"/>
          <w:szCs w:val="21"/>
        </w:rPr>
      </w:pPr>
      <w:r>
        <w:rPr>
          <w:rFonts w:hint="eastAsia" w:ascii="宋体" w:hAnsi="宋体"/>
          <w:b/>
          <w:sz w:val="21"/>
          <w:szCs w:val="21"/>
        </w:rPr>
        <w:t xml:space="preserve">  </w:t>
      </w:r>
      <w:r>
        <w:rPr>
          <w:rFonts w:ascii="宋体" w:hAnsi="宋体"/>
          <w:b/>
          <w:sz w:val="21"/>
          <w:szCs w:val="21"/>
        </w:rPr>
        <w:t>17.</w:t>
      </w:r>
      <w:r>
        <w:rPr>
          <w:rFonts w:hint="eastAsia" w:ascii="宋体" w:hAnsi="宋体"/>
          <w:b/>
          <w:sz w:val="21"/>
          <w:szCs w:val="21"/>
        </w:rPr>
        <w:t>3　工程进度款</w:t>
      </w:r>
    </w:p>
    <w:p>
      <w:pPr>
        <w:spacing w:line="360" w:lineRule="exact"/>
        <w:ind w:firstLine="409" w:firstLineChars="195"/>
        <w:rPr>
          <w:rFonts w:hint="eastAsia" w:ascii="宋体" w:hAnsi="宋体" w:eastAsia="宋体" w:cs="Times New Roman"/>
          <w:color w:val="0000FF"/>
          <w:sz w:val="21"/>
          <w:szCs w:val="21"/>
          <w:lang w:val="en-US" w:eastAsia="zh-CN"/>
        </w:rPr>
      </w:pPr>
      <w:r>
        <w:rPr>
          <w:rFonts w:hint="eastAsia" w:ascii="宋体" w:hAnsi="宋体"/>
          <w:snapToGrid w:val="0"/>
          <w:color w:val="0000FF"/>
          <w:sz w:val="21"/>
          <w:szCs w:val="21"/>
          <w:highlight w:val="none"/>
        </w:rPr>
        <w:t>工程竣工验收合格后付至合同价款的50%，竣工验收合格后第二年且经审计部门审计后付至审定价款的80% ，竣工验收合格后第三年付清余款（无息）。</w:t>
      </w:r>
      <w:r>
        <w:rPr>
          <w:rFonts w:hint="eastAsia" w:ascii="宋体" w:hAnsi="宋体" w:eastAsia="宋体" w:cs="Times New Roman"/>
          <w:color w:val="0000FF"/>
          <w:sz w:val="21"/>
          <w:szCs w:val="21"/>
          <w:lang w:val="en-US" w:eastAsia="zh-CN"/>
        </w:rPr>
        <w:t>注：在支付上述工程款时，承包人应开具合法增值税发票（税率9%），提交给发包人。</w:t>
      </w:r>
    </w:p>
    <w:p>
      <w:pPr>
        <w:spacing w:line="360" w:lineRule="exact"/>
        <w:ind w:firstLine="409" w:firstLineChars="195"/>
        <w:rPr>
          <w:rFonts w:ascii="宋体" w:hAnsi="宋体"/>
          <w:sz w:val="21"/>
          <w:szCs w:val="21"/>
        </w:rPr>
      </w:pPr>
      <w:r>
        <w:rPr>
          <w:rFonts w:hint="eastAsia" w:ascii="宋体" w:hAnsi="宋体"/>
          <w:sz w:val="21"/>
          <w:szCs w:val="21"/>
        </w:rPr>
        <w:t>发包人仅对监理人符合施工质量等级合格及以上且相关的质量评定,完备的工程项目内容进行支付，不合格工程及质量评定资料不完备的不予支付。对于争议较大的工程索赔等项目，经协商后在工程通过竣工审计后支付。</w:t>
      </w:r>
    </w:p>
    <w:p>
      <w:pPr>
        <w:spacing w:line="360" w:lineRule="exact"/>
        <w:ind w:firstLine="315" w:firstLineChars="150"/>
        <w:rPr>
          <w:rFonts w:ascii="宋体" w:hAnsi="宋体"/>
          <w:sz w:val="21"/>
          <w:szCs w:val="21"/>
        </w:rPr>
      </w:pPr>
      <w:r>
        <w:rPr>
          <w:rFonts w:ascii="宋体" w:hAnsi="宋体"/>
          <w:sz w:val="21"/>
          <w:szCs w:val="21"/>
        </w:rPr>
        <w:t>17.4</w:t>
      </w:r>
      <w:r>
        <w:rPr>
          <w:rFonts w:hint="eastAsia" w:ascii="宋体" w:hAnsi="宋体"/>
          <w:sz w:val="21"/>
          <w:szCs w:val="21"/>
        </w:rPr>
        <w:t>　质量保证金</w:t>
      </w:r>
    </w:p>
    <w:p>
      <w:pPr>
        <w:spacing w:line="360" w:lineRule="exact"/>
        <w:ind w:left="210" w:hanging="210" w:hangingChars="100"/>
        <w:rPr>
          <w:rFonts w:ascii="宋体" w:hAnsi="宋体"/>
          <w:sz w:val="21"/>
          <w:szCs w:val="21"/>
        </w:rPr>
      </w:pPr>
      <w:r>
        <w:rPr>
          <w:rFonts w:hint="eastAsia" w:ascii="宋体" w:hAnsi="宋体"/>
          <w:sz w:val="21"/>
          <w:szCs w:val="21"/>
        </w:rPr>
        <w:t>　</w:t>
      </w:r>
      <w:r>
        <w:rPr>
          <w:rFonts w:ascii="宋体" w:hAnsi="宋体"/>
          <w:sz w:val="21"/>
          <w:szCs w:val="21"/>
        </w:rPr>
        <w:t>17.4.1</w:t>
      </w:r>
      <w:r>
        <w:rPr>
          <w:rFonts w:hint="eastAsia" w:ascii="宋体" w:hAnsi="宋体"/>
          <w:sz w:val="21"/>
          <w:szCs w:val="21"/>
        </w:rPr>
        <w:t>　每个付款周期扣留的质量保证金为工程进度付款的</w:t>
      </w:r>
      <w:r>
        <w:rPr>
          <w:rFonts w:hint="eastAsia" w:ascii="宋体" w:hAnsi="宋体"/>
          <w:sz w:val="21"/>
          <w:szCs w:val="21"/>
          <w:u w:val="single"/>
        </w:rPr>
        <w:t>/</w:t>
      </w:r>
      <w:r>
        <w:rPr>
          <w:rFonts w:ascii="宋体" w:hAnsi="宋体"/>
          <w:sz w:val="21"/>
          <w:szCs w:val="21"/>
        </w:rPr>
        <w:t>%</w:t>
      </w:r>
      <w:r>
        <w:rPr>
          <w:rFonts w:hint="eastAsia" w:ascii="宋体" w:hAnsi="宋体"/>
          <w:sz w:val="21"/>
          <w:szCs w:val="21"/>
        </w:rPr>
        <w:t>，扣留的质量保证金总额为签约审定价款的</w:t>
      </w:r>
      <w:r>
        <w:rPr>
          <w:rFonts w:hint="eastAsia" w:ascii="宋体" w:hAnsi="宋体"/>
          <w:sz w:val="21"/>
          <w:szCs w:val="21"/>
          <w:u w:val="single"/>
        </w:rPr>
        <w:t xml:space="preserve"> </w:t>
      </w:r>
      <w:r>
        <w:rPr>
          <w:rFonts w:ascii="宋体" w:hAnsi="宋体"/>
          <w:sz w:val="21"/>
          <w:szCs w:val="21"/>
          <w:u w:val="single"/>
        </w:rPr>
        <w:t xml:space="preserve"> </w:t>
      </w:r>
      <w:r>
        <w:rPr>
          <w:rFonts w:hint="eastAsia" w:ascii="宋体" w:hAnsi="宋体"/>
          <w:sz w:val="21"/>
          <w:szCs w:val="21"/>
          <w:u w:val="single"/>
        </w:rPr>
        <w:t>/</w:t>
      </w:r>
      <w:r>
        <w:rPr>
          <w:rFonts w:ascii="宋体" w:hAnsi="宋体"/>
          <w:sz w:val="21"/>
          <w:szCs w:val="21"/>
          <w:u w:val="single"/>
        </w:rPr>
        <w:t xml:space="preserve"> </w:t>
      </w:r>
      <w:r>
        <w:rPr>
          <w:rFonts w:ascii="宋体" w:hAnsi="宋体"/>
          <w:sz w:val="21"/>
          <w:szCs w:val="21"/>
        </w:rPr>
        <w:t>%</w:t>
      </w:r>
      <w:r>
        <w:rPr>
          <w:rFonts w:hint="eastAsia" w:ascii="宋体" w:hAnsi="宋体"/>
          <w:sz w:val="21"/>
          <w:szCs w:val="21"/>
        </w:rPr>
        <w:t>。</w:t>
      </w:r>
    </w:p>
    <w:p>
      <w:pPr>
        <w:spacing w:line="360" w:lineRule="exact"/>
        <w:ind w:left="210" w:hanging="210" w:hangingChars="100"/>
        <w:rPr>
          <w:rFonts w:hint="eastAsia" w:ascii="宋体" w:hAnsi="宋体" w:eastAsia="宋体" w:cs="Times New Roman"/>
          <w:sz w:val="21"/>
          <w:szCs w:val="21"/>
        </w:rPr>
      </w:pPr>
      <w:r>
        <w:rPr>
          <w:rFonts w:hint="eastAsia" w:ascii="宋体" w:hAnsi="宋体" w:eastAsia="宋体" w:cs="Times New Roman"/>
          <w:sz w:val="21"/>
          <w:szCs w:val="21"/>
        </w:rPr>
        <w:t>17.4.4农民工工资管理</w:t>
      </w:r>
    </w:p>
    <w:p>
      <w:pPr>
        <w:spacing w:line="360" w:lineRule="exact"/>
        <w:ind w:left="210" w:hanging="210" w:hangingChars="100"/>
        <w:jc w:val="both"/>
        <w:rPr>
          <w:rFonts w:hint="eastAsia" w:ascii="宋体" w:hAnsi="宋体" w:eastAsia="宋体" w:cs="Times New Roman"/>
          <w:sz w:val="21"/>
          <w:szCs w:val="21"/>
        </w:rPr>
      </w:pPr>
      <w:r>
        <w:rPr>
          <w:rFonts w:hint="eastAsia" w:ascii="宋体" w:hAnsi="宋体" w:eastAsia="宋体" w:cs="Times New Roman"/>
          <w:sz w:val="21"/>
          <w:szCs w:val="21"/>
        </w:rPr>
        <w:t>承包人应按《常州市工程建设领域农民工工资保证金管理细则》（常人社发〔2022〕53号）等相关文件规定要求进行农民工工资支付管理。</w:t>
      </w:r>
    </w:p>
    <w:p>
      <w:pPr>
        <w:spacing w:line="360" w:lineRule="exact"/>
        <w:ind w:left="210" w:hanging="210" w:hangingChars="100"/>
        <w:jc w:val="both"/>
        <w:rPr>
          <w:rFonts w:hint="eastAsia" w:ascii="宋体" w:hAnsi="宋体" w:eastAsia="宋体" w:cs="Times New Roman"/>
          <w:sz w:val="21"/>
          <w:szCs w:val="21"/>
        </w:rPr>
      </w:pPr>
      <w:r>
        <w:rPr>
          <w:rFonts w:hint="eastAsia" w:ascii="宋体" w:hAnsi="宋体" w:eastAsia="宋体" w:cs="Times New Roman"/>
          <w:sz w:val="21"/>
          <w:szCs w:val="21"/>
        </w:rPr>
        <w:t>根据《常州市工程建设领域农民工工资保证金管理细则》（常人社发〔2022〕53号）、《江苏省工程建设领域农民工工资支付管理办法》、《常州市水利行业全面治理拖欠农民工工资问题实施细则（试行）》等要求，中标单位应在工程项目所在地银行开设农民工工资专用账户。承包人应建立健全的清理拖欠农民工工资应急预案，并及时足额将农民工工资发放到位。</w:t>
      </w:r>
    </w:p>
    <w:p>
      <w:pPr>
        <w:spacing w:line="360" w:lineRule="exact"/>
        <w:rPr>
          <w:rFonts w:ascii="宋体" w:hAnsi="宋体"/>
          <w:sz w:val="21"/>
          <w:szCs w:val="21"/>
        </w:rPr>
      </w:pPr>
      <w:r>
        <w:rPr>
          <w:rFonts w:ascii="宋体" w:hAnsi="宋体"/>
          <w:sz w:val="21"/>
          <w:szCs w:val="21"/>
        </w:rPr>
        <w:t>17.5</w:t>
      </w:r>
      <w:r>
        <w:rPr>
          <w:rFonts w:hint="eastAsia" w:ascii="宋体" w:hAnsi="宋体"/>
          <w:sz w:val="21"/>
          <w:szCs w:val="21"/>
        </w:rPr>
        <w:t>　竣工</w:t>
      </w:r>
      <w:r>
        <w:rPr>
          <w:rFonts w:ascii="宋体" w:hAnsi="宋体"/>
          <w:sz w:val="21"/>
          <w:szCs w:val="21"/>
        </w:rPr>
        <w:t>(</w:t>
      </w:r>
      <w:r>
        <w:rPr>
          <w:rFonts w:hint="eastAsia" w:ascii="宋体" w:hAnsi="宋体"/>
          <w:sz w:val="21"/>
          <w:szCs w:val="21"/>
        </w:rPr>
        <w:t>完工</w:t>
      </w:r>
      <w:r>
        <w:rPr>
          <w:rFonts w:ascii="宋体" w:hAnsi="宋体"/>
          <w:sz w:val="21"/>
          <w:szCs w:val="21"/>
        </w:rPr>
        <w:t>)</w:t>
      </w:r>
      <w:r>
        <w:rPr>
          <w:rFonts w:hint="eastAsia" w:ascii="宋体" w:hAnsi="宋体"/>
          <w:sz w:val="21"/>
          <w:szCs w:val="21"/>
        </w:rPr>
        <w:t>结算</w:t>
      </w:r>
    </w:p>
    <w:p>
      <w:pPr>
        <w:spacing w:line="360" w:lineRule="exact"/>
        <w:rPr>
          <w:rFonts w:ascii="宋体" w:hAnsi="宋体"/>
          <w:sz w:val="21"/>
          <w:szCs w:val="21"/>
        </w:rPr>
      </w:pPr>
      <w:r>
        <w:rPr>
          <w:rFonts w:hint="eastAsia" w:ascii="宋体" w:hAnsi="宋体"/>
          <w:sz w:val="21"/>
          <w:szCs w:val="21"/>
        </w:rPr>
        <w:t>　</w:t>
      </w:r>
      <w:r>
        <w:rPr>
          <w:rFonts w:ascii="宋体" w:hAnsi="宋体"/>
          <w:sz w:val="21"/>
          <w:szCs w:val="21"/>
        </w:rPr>
        <w:t>17.5.1</w:t>
      </w:r>
      <w:r>
        <w:rPr>
          <w:rFonts w:hint="eastAsia" w:ascii="宋体" w:hAnsi="宋体"/>
          <w:sz w:val="21"/>
          <w:szCs w:val="21"/>
        </w:rPr>
        <w:t>　竣工</w:t>
      </w:r>
      <w:r>
        <w:rPr>
          <w:rFonts w:ascii="宋体" w:hAnsi="宋体"/>
          <w:sz w:val="21"/>
          <w:szCs w:val="21"/>
        </w:rPr>
        <w:t>(</w:t>
      </w:r>
      <w:r>
        <w:rPr>
          <w:rFonts w:hint="eastAsia" w:ascii="宋体" w:hAnsi="宋体"/>
          <w:sz w:val="21"/>
          <w:szCs w:val="21"/>
        </w:rPr>
        <w:t>完工</w:t>
      </w:r>
      <w:r>
        <w:rPr>
          <w:rFonts w:ascii="宋体" w:hAnsi="宋体"/>
          <w:sz w:val="21"/>
          <w:szCs w:val="21"/>
        </w:rPr>
        <w:t>)</w:t>
      </w:r>
      <w:r>
        <w:rPr>
          <w:rFonts w:hint="eastAsia" w:ascii="宋体" w:hAnsi="宋体"/>
          <w:sz w:val="21"/>
          <w:szCs w:val="21"/>
        </w:rPr>
        <w:t>付款申请单</w:t>
      </w:r>
    </w:p>
    <w:p>
      <w:pPr>
        <w:spacing w:line="360" w:lineRule="exact"/>
        <w:rPr>
          <w:rFonts w:ascii="宋体" w:hAnsi="宋体"/>
          <w:sz w:val="21"/>
          <w:szCs w:val="21"/>
        </w:rPr>
      </w:pPr>
      <w:r>
        <w:rPr>
          <w:rFonts w:hint="eastAsia" w:ascii="宋体" w:hAnsi="宋体"/>
          <w:sz w:val="21"/>
          <w:szCs w:val="21"/>
        </w:rPr>
        <w:t>　</w:t>
      </w:r>
      <w:r>
        <w:rPr>
          <w:rFonts w:ascii="宋体" w:hAnsi="宋体"/>
          <w:sz w:val="21"/>
          <w:szCs w:val="21"/>
        </w:rPr>
        <w:t>(1)</w:t>
      </w:r>
      <w:r>
        <w:rPr>
          <w:rFonts w:hint="eastAsia" w:ascii="宋体" w:hAnsi="宋体"/>
          <w:sz w:val="21"/>
          <w:szCs w:val="21"/>
        </w:rPr>
        <w:t>承包人应提交完工付款申请单一式</w:t>
      </w:r>
      <w:r>
        <w:rPr>
          <w:rFonts w:ascii="宋体" w:hAnsi="宋体"/>
          <w:sz w:val="21"/>
          <w:szCs w:val="21"/>
          <w:u w:val="single"/>
        </w:rPr>
        <w:t>2</w:t>
      </w:r>
      <w:r>
        <w:rPr>
          <w:rFonts w:hint="eastAsia" w:ascii="宋体" w:hAnsi="宋体"/>
          <w:sz w:val="21"/>
          <w:szCs w:val="21"/>
        </w:rPr>
        <w:t>份。</w:t>
      </w:r>
    </w:p>
    <w:p>
      <w:pPr>
        <w:spacing w:line="360" w:lineRule="exact"/>
        <w:rPr>
          <w:rFonts w:ascii="宋体" w:hAnsi="宋体"/>
          <w:sz w:val="21"/>
          <w:szCs w:val="21"/>
        </w:rPr>
      </w:pPr>
      <w:r>
        <w:rPr>
          <w:rFonts w:ascii="宋体" w:hAnsi="宋体"/>
          <w:sz w:val="21"/>
          <w:szCs w:val="21"/>
        </w:rPr>
        <w:t>17.6</w:t>
      </w:r>
      <w:r>
        <w:rPr>
          <w:rFonts w:hint="eastAsia" w:ascii="宋体" w:hAnsi="宋体"/>
          <w:sz w:val="21"/>
          <w:szCs w:val="21"/>
        </w:rPr>
        <w:t>　最终结清</w:t>
      </w:r>
    </w:p>
    <w:p>
      <w:pPr>
        <w:spacing w:line="360" w:lineRule="exact"/>
        <w:rPr>
          <w:rFonts w:ascii="宋体" w:hAnsi="宋体"/>
          <w:sz w:val="21"/>
          <w:szCs w:val="21"/>
        </w:rPr>
      </w:pPr>
      <w:r>
        <w:rPr>
          <w:rFonts w:ascii="宋体" w:hAnsi="宋体"/>
          <w:sz w:val="21"/>
          <w:szCs w:val="21"/>
        </w:rPr>
        <w:t>17.6.1</w:t>
      </w:r>
      <w:r>
        <w:rPr>
          <w:rFonts w:hint="eastAsia" w:ascii="宋体" w:hAnsi="宋体"/>
          <w:sz w:val="21"/>
          <w:szCs w:val="21"/>
        </w:rPr>
        <w:t>　最终结清申请单</w:t>
      </w:r>
    </w:p>
    <w:p>
      <w:pPr>
        <w:spacing w:line="360" w:lineRule="exact"/>
        <w:ind w:firstLine="420"/>
        <w:rPr>
          <w:rFonts w:ascii="宋体" w:hAnsi="宋体"/>
          <w:sz w:val="21"/>
          <w:szCs w:val="21"/>
        </w:rPr>
      </w:pPr>
      <w:r>
        <w:rPr>
          <w:rFonts w:ascii="宋体" w:hAnsi="宋体"/>
          <w:sz w:val="21"/>
          <w:szCs w:val="21"/>
        </w:rPr>
        <w:t>(1)</w:t>
      </w:r>
      <w:r>
        <w:rPr>
          <w:rFonts w:hint="eastAsia" w:ascii="宋体" w:hAnsi="宋体"/>
          <w:sz w:val="21"/>
          <w:szCs w:val="21"/>
        </w:rPr>
        <w:t>承包人应提交最终结清申请单一式</w:t>
      </w:r>
      <w:r>
        <w:rPr>
          <w:rFonts w:hint="eastAsia" w:ascii="宋体" w:hAnsi="宋体"/>
          <w:sz w:val="21"/>
          <w:szCs w:val="21"/>
          <w:u w:val="single"/>
        </w:rPr>
        <w:t>2</w:t>
      </w:r>
      <w:r>
        <w:rPr>
          <w:rFonts w:hint="eastAsia" w:ascii="宋体" w:hAnsi="宋体"/>
          <w:sz w:val="21"/>
          <w:szCs w:val="21"/>
        </w:rPr>
        <w:t>份；并提供经监理人审核过的电子文档</w:t>
      </w:r>
      <w:r>
        <w:rPr>
          <w:rFonts w:ascii="宋体" w:hAnsi="宋体"/>
          <w:sz w:val="21"/>
          <w:szCs w:val="21"/>
          <w:u w:val="single"/>
        </w:rPr>
        <w:t xml:space="preserve"> 1 </w:t>
      </w:r>
      <w:r>
        <w:rPr>
          <w:rFonts w:hint="eastAsia" w:ascii="宋体" w:hAnsi="宋体"/>
          <w:sz w:val="21"/>
          <w:szCs w:val="21"/>
        </w:rPr>
        <w:t>份。</w:t>
      </w:r>
    </w:p>
    <w:p>
      <w:pPr>
        <w:spacing w:line="360" w:lineRule="exact"/>
        <w:rPr>
          <w:rFonts w:ascii="宋体" w:hAnsi="宋体"/>
          <w:sz w:val="21"/>
          <w:szCs w:val="21"/>
        </w:rPr>
      </w:pPr>
      <w:r>
        <w:rPr>
          <w:rFonts w:ascii="宋体" w:hAnsi="宋体"/>
          <w:sz w:val="21"/>
          <w:szCs w:val="21"/>
        </w:rPr>
        <w:t>17.8</w:t>
      </w:r>
      <w:r>
        <w:rPr>
          <w:rFonts w:hint="eastAsia" w:ascii="宋体" w:hAnsi="宋体"/>
          <w:sz w:val="21"/>
          <w:szCs w:val="21"/>
        </w:rPr>
        <w:t>　竣工审计</w:t>
      </w:r>
    </w:p>
    <w:p>
      <w:pPr>
        <w:spacing w:line="360" w:lineRule="exact"/>
        <w:ind w:firstLine="420"/>
        <w:rPr>
          <w:rFonts w:ascii="宋体" w:hAnsi="宋体"/>
          <w:sz w:val="21"/>
          <w:szCs w:val="21"/>
        </w:rPr>
      </w:pPr>
      <w:r>
        <w:rPr>
          <w:rFonts w:hint="eastAsia" w:ascii="宋体" w:hAnsi="宋体"/>
          <w:sz w:val="21"/>
          <w:szCs w:val="21"/>
        </w:rPr>
        <w:t>17.8.1发包人负责完成本工程竣工审计手续，承包人应完成相关配合工作。</w:t>
      </w:r>
    </w:p>
    <w:p>
      <w:pPr>
        <w:spacing w:line="360" w:lineRule="exact"/>
        <w:ind w:firstLine="420"/>
        <w:rPr>
          <w:rFonts w:ascii="宋体" w:hAnsi="宋体"/>
          <w:sz w:val="21"/>
          <w:szCs w:val="21"/>
        </w:rPr>
      </w:pPr>
      <w:r>
        <w:rPr>
          <w:rFonts w:hint="eastAsia" w:ascii="宋体" w:hAnsi="宋体"/>
          <w:sz w:val="21"/>
          <w:szCs w:val="21"/>
        </w:rPr>
        <w:t>17.8.2关于结算审核费：本工程结算审核的核减费费率控制在8%内（含8%）。如12%≥核减费费率＞8%时，审核费用乙方必须承担一半；核减费费率＞12%时，该工程所有审计费均由乙方承担。以上费用不累进。</w:t>
      </w:r>
    </w:p>
    <w:p>
      <w:pPr>
        <w:spacing w:line="360" w:lineRule="exact"/>
        <w:outlineLvl w:val="1"/>
        <w:rPr>
          <w:rFonts w:ascii="宋体" w:hAnsi="宋体"/>
          <w:sz w:val="21"/>
          <w:szCs w:val="21"/>
        </w:rPr>
      </w:pPr>
      <w:bookmarkStart w:id="195" w:name="第04章合同条款及格式0218"/>
      <w:bookmarkEnd w:id="195"/>
      <w:bookmarkStart w:id="196" w:name="_Toc522970371"/>
      <w:bookmarkStart w:id="197" w:name="_Toc340483320"/>
      <w:bookmarkStart w:id="198" w:name="_Toc525977334"/>
      <w:bookmarkStart w:id="199" w:name="_Toc9838"/>
      <w:bookmarkStart w:id="200" w:name="_Toc7531"/>
      <w:bookmarkStart w:id="201" w:name="_Toc32097"/>
      <w:bookmarkStart w:id="202" w:name="_Toc943979"/>
      <w:bookmarkStart w:id="203" w:name="_Toc410675391"/>
      <w:r>
        <w:rPr>
          <w:rFonts w:hint="eastAsia" w:ascii="宋体" w:hAnsi="宋体"/>
          <w:b/>
          <w:sz w:val="21"/>
          <w:szCs w:val="21"/>
        </w:rPr>
        <w:t>18　竣工验收(验收)</w:t>
      </w:r>
      <w:bookmarkEnd w:id="196"/>
      <w:bookmarkEnd w:id="197"/>
      <w:bookmarkEnd w:id="198"/>
      <w:bookmarkEnd w:id="199"/>
      <w:bookmarkEnd w:id="200"/>
      <w:bookmarkEnd w:id="201"/>
      <w:bookmarkEnd w:id="202"/>
      <w:bookmarkEnd w:id="203"/>
    </w:p>
    <w:p>
      <w:pPr>
        <w:spacing w:line="360" w:lineRule="exact"/>
        <w:rPr>
          <w:rFonts w:ascii="宋体" w:hAnsi="宋体"/>
          <w:sz w:val="21"/>
          <w:szCs w:val="21"/>
        </w:rPr>
      </w:pPr>
      <w:r>
        <w:rPr>
          <w:rFonts w:hint="eastAsia" w:ascii="宋体" w:hAnsi="宋体"/>
          <w:sz w:val="21"/>
          <w:szCs w:val="21"/>
        </w:rPr>
        <w:t>　</w:t>
      </w:r>
      <w:r>
        <w:rPr>
          <w:rFonts w:ascii="宋体" w:hAnsi="宋体"/>
          <w:sz w:val="21"/>
          <w:szCs w:val="21"/>
        </w:rPr>
        <w:t>18.1</w:t>
      </w:r>
      <w:r>
        <w:rPr>
          <w:rFonts w:hint="eastAsia" w:ascii="宋体" w:hAnsi="宋体"/>
          <w:sz w:val="21"/>
          <w:szCs w:val="21"/>
        </w:rPr>
        <w:t>　验收工作分类</w:t>
      </w:r>
    </w:p>
    <w:p>
      <w:pPr>
        <w:spacing w:line="360" w:lineRule="exact"/>
        <w:ind w:firstLine="420"/>
        <w:rPr>
          <w:rFonts w:ascii="宋体" w:hAnsi="宋体"/>
          <w:sz w:val="21"/>
          <w:szCs w:val="21"/>
        </w:rPr>
      </w:pPr>
      <w:r>
        <w:rPr>
          <w:rFonts w:hint="eastAsia" w:ascii="宋体" w:hAnsi="宋体"/>
          <w:sz w:val="21"/>
          <w:szCs w:val="21"/>
        </w:rPr>
        <w:t>本工程法人验收包括：分部工程验收、单位工程验收、合同工程完工验收；</w:t>
      </w:r>
    </w:p>
    <w:p>
      <w:pPr>
        <w:spacing w:line="360" w:lineRule="exact"/>
        <w:ind w:firstLine="420"/>
        <w:rPr>
          <w:rFonts w:ascii="宋体" w:hAnsi="宋体"/>
          <w:sz w:val="21"/>
          <w:szCs w:val="21"/>
        </w:rPr>
      </w:pPr>
      <w:r>
        <w:rPr>
          <w:rFonts w:hint="eastAsia" w:ascii="宋体" w:hAnsi="宋体"/>
          <w:sz w:val="21"/>
          <w:szCs w:val="21"/>
        </w:rPr>
        <w:t>政府验收：工程竣工验收。</w:t>
      </w:r>
    </w:p>
    <w:p>
      <w:pPr>
        <w:spacing w:line="360" w:lineRule="exact"/>
        <w:ind w:firstLine="420"/>
        <w:rPr>
          <w:rFonts w:ascii="宋体" w:hAnsi="宋体"/>
          <w:sz w:val="21"/>
          <w:szCs w:val="21"/>
        </w:rPr>
      </w:pPr>
      <w:r>
        <w:rPr>
          <w:rFonts w:hint="eastAsia" w:ascii="宋体" w:hAnsi="宋体"/>
          <w:sz w:val="21"/>
          <w:szCs w:val="21"/>
        </w:rPr>
        <w:t>验收条件为：工程质量达到合格。</w:t>
      </w:r>
    </w:p>
    <w:p>
      <w:pPr>
        <w:spacing w:line="360" w:lineRule="exact"/>
        <w:outlineLvl w:val="1"/>
        <w:rPr>
          <w:rFonts w:ascii="宋体" w:hAnsi="宋体"/>
          <w:b/>
          <w:sz w:val="21"/>
          <w:szCs w:val="21"/>
        </w:rPr>
      </w:pPr>
      <w:bookmarkStart w:id="204" w:name="第04章合同条款及格式0219"/>
      <w:bookmarkEnd w:id="204"/>
      <w:bookmarkStart w:id="205" w:name="_Toc943980"/>
      <w:bookmarkStart w:id="206" w:name="_Toc23649"/>
      <w:bookmarkStart w:id="207" w:name="_Toc29046"/>
      <w:bookmarkStart w:id="208" w:name="_Toc23375"/>
      <w:bookmarkStart w:id="209" w:name="_Toc522970372"/>
      <w:bookmarkStart w:id="210" w:name="_Toc525977335"/>
      <w:r>
        <w:rPr>
          <w:rFonts w:hint="eastAsia" w:ascii="宋体" w:hAnsi="宋体"/>
          <w:b/>
          <w:sz w:val="21"/>
          <w:szCs w:val="21"/>
        </w:rPr>
        <w:t>19　缺陷责任与保修责任</w:t>
      </w:r>
      <w:bookmarkEnd w:id="205"/>
      <w:bookmarkEnd w:id="206"/>
      <w:bookmarkEnd w:id="207"/>
      <w:bookmarkEnd w:id="208"/>
      <w:bookmarkEnd w:id="209"/>
      <w:bookmarkEnd w:id="210"/>
    </w:p>
    <w:p>
      <w:pPr>
        <w:spacing w:line="360" w:lineRule="exact"/>
        <w:rPr>
          <w:rFonts w:ascii="宋体" w:hAnsi="宋体"/>
          <w:sz w:val="21"/>
          <w:szCs w:val="21"/>
        </w:rPr>
      </w:pPr>
      <w:r>
        <w:rPr>
          <w:rFonts w:hint="eastAsia" w:ascii="宋体" w:hAnsi="宋体"/>
          <w:sz w:val="21"/>
          <w:szCs w:val="21"/>
        </w:rPr>
        <w:t>　</w:t>
      </w:r>
      <w:r>
        <w:rPr>
          <w:rFonts w:ascii="宋体" w:hAnsi="宋体"/>
          <w:sz w:val="21"/>
          <w:szCs w:val="21"/>
        </w:rPr>
        <w:t>19.1</w:t>
      </w:r>
      <w:r>
        <w:rPr>
          <w:rFonts w:hint="eastAsia" w:ascii="宋体" w:hAnsi="宋体"/>
          <w:sz w:val="21"/>
          <w:szCs w:val="21"/>
        </w:rPr>
        <w:t>　缺陷责任期</w:t>
      </w:r>
      <w:r>
        <w:rPr>
          <w:rFonts w:ascii="宋体" w:hAnsi="宋体"/>
          <w:sz w:val="21"/>
          <w:szCs w:val="21"/>
        </w:rPr>
        <w:t>(</w:t>
      </w:r>
      <w:r>
        <w:rPr>
          <w:rFonts w:hint="eastAsia" w:ascii="宋体" w:hAnsi="宋体"/>
          <w:sz w:val="21"/>
          <w:szCs w:val="21"/>
        </w:rPr>
        <w:t>工程质量保修期</w:t>
      </w:r>
      <w:r>
        <w:rPr>
          <w:rFonts w:ascii="宋体" w:hAnsi="宋体"/>
          <w:sz w:val="21"/>
          <w:szCs w:val="21"/>
        </w:rPr>
        <w:t>)</w:t>
      </w:r>
      <w:r>
        <w:rPr>
          <w:rFonts w:hint="eastAsia" w:ascii="宋体" w:hAnsi="宋体"/>
          <w:sz w:val="21"/>
          <w:szCs w:val="21"/>
        </w:rPr>
        <w:t>的时间：</w:t>
      </w:r>
      <w:r>
        <w:rPr>
          <w:rFonts w:hint="eastAsia" w:ascii="宋体" w:hAnsi="宋体" w:eastAsia="宋体" w:cs="Times New Roman"/>
          <w:sz w:val="21"/>
          <w:szCs w:val="21"/>
          <w:lang w:eastAsia="zh-CN"/>
        </w:rPr>
        <w:t>竣工验收合格后一年</w:t>
      </w:r>
      <w:r>
        <w:rPr>
          <w:rFonts w:hint="eastAsia" w:ascii="宋体" w:hAnsi="宋体" w:eastAsia="宋体" w:cs="Times New Roman"/>
          <w:sz w:val="21"/>
          <w:szCs w:val="21"/>
        </w:rPr>
        <w:t>。</w:t>
      </w:r>
    </w:p>
    <w:p>
      <w:pPr>
        <w:spacing w:line="360" w:lineRule="exact"/>
        <w:outlineLvl w:val="1"/>
        <w:rPr>
          <w:rFonts w:ascii="宋体" w:hAnsi="宋体"/>
          <w:b/>
          <w:sz w:val="21"/>
          <w:szCs w:val="21"/>
        </w:rPr>
      </w:pPr>
      <w:bookmarkStart w:id="211" w:name="第04章合同条款及格式0220"/>
      <w:bookmarkEnd w:id="211"/>
      <w:bookmarkStart w:id="212" w:name="_Toc5051"/>
      <w:bookmarkStart w:id="213" w:name="_Toc943981"/>
      <w:bookmarkStart w:id="214" w:name="_Toc525977336"/>
      <w:bookmarkStart w:id="215" w:name="_Toc340483321"/>
      <w:bookmarkStart w:id="216" w:name="_Toc522970373"/>
      <w:bookmarkStart w:id="217" w:name="_Toc7667"/>
      <w:bookmarkStart w:id="218" w:name="_Toc21757"/>
      <w:r>
        <w:rPr>
          <w:rFonts w:hint="eastAsia" w:ascii="宋体" w:hAnsi="宋体"/>
          <w:b/>
          <w:sz w:val="21"/>
          <w:szCs w:val="21"/>
        </w:rPr>
        <w:t>20　保险</w:t>
      </w:r>
      <w:bookmarkEnd w:id="212"/>
      <w:bookmarkEnd w:id="213"/>
      <w:bookmarkEnd w:id="214"/>
      <w:bookmarkEnd w:id="215"/>
      <w:bookmarkEnd w:id="216"/>
      <w:bookmarkEnd w:id="217"/>
      <w:bookmarkEnd w:id="218"/>
    </w:p>
    <w:p>
      <w:pPr>
        <w:spacing w:line="360" w:lineRule="auto"/>
        <w:rPr>
          <w:rFonts w:hint="eastAsia" w:ascii="宋体" w:hAnsi="宋体" w:eastAsia="宋体" w:cs="宋体"/>
          <w:color w:val="auto"/>
          <w:sz w:val="21"/>
          <w:szCs w:val="21"/>
          <w:highlight w:val="none"/>
        </w:rPr>
      </w:pPr>
      <w:bookmarkStart w:id="219" w:name="_Toc943982"/>
      <w:bookmarkStart w:id="220" w:name="_Toc6720"/>
      <w:r>
        <w:rPr>
          <w:rFonts w:hint="eastAsia" w:ascii="宋体" w:hAnsi="宋体" w:eastAsia="宋体" w:cs="宋体"/>
          <w:color w:val="auto"/>
          <w:sz w:val="21"/>
          <w:szCs w:val="21"/>
          <w:highlight w:val="none"/>
        </w:rPr>
        <w:t>20.1　工程保险</w:t>
      </w:r>
    </w:p>
    <w:p>
      <w:pPr>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承包人应以发包人和承包人的共同名义向双方同意的保险人投保建筑工程一切险、安装工程一切险、第三者责任险等险种，保险费率投标人自行调查测算，保额为工程中标合同价，保险期限为工程合同工期（其中按照《江苏省工伤保险费率管理办法》（苏人社规〔2020〕1号）第六条</w:t>
      </w:r>
      <w:r>
        <w:rPr>
          <w:rFonts w:hint="eastAsia" w:ascii="宋体" w:hAnsi="宋体" w:eastAsia="宋体" w:cs="宋体"/>
          <w:color w:val="auto"/>
          <w:sz w:val="21"/>
          <w:szCs w:val="21"/>
          <w:highlight w:val="none"/>
          <w:lang w:val="en-US" w:eastAsia="zh-CN"/>
        </w:rPr>
        <w:t>执行</w:t>
      </w:r>
      <w:r>
        <w:rPr>
          <w:rFonts w:hint="eastAsia" w:ascii="宋体" w:hAnsi="宋体" w:eastAsia="宋体" w:cs="宋体"/>
          <w:color w:val="auto"/>
          <w:sz w:val="21"/>
          <w:szCs w:val="21"/>
          <w:highlight w:val="none"/>
        </w:rPr>
        <w:t>，施工企业必须按工程总造价的0.</w:t>
      </w:r>
      <w:r>
        <w:rPr>
          <w:rFonts w:hint="eastAsia" w:ascii="宋体" w:hAnsi="宋体" w:eastAsia="宋体" w:cs="宋体"/>
          <w:color w:val="auto"/>
          <w:sz w:val="21"/>
          <w:szCs w:val="21"/>
          <w:highlight w:val="none"/>
          <w:lang w:val="en-US" w:eastAsia="zh-CN"/>
        </w:rPr>
        <w:t>9</w:t>
      </w:r>
      <w:r>
        <w:rPr>
          <w:rFonts w:hint="eastAsia" w:ascii="宋体" w:hAnsi="宋体" w:eastAsia="宋体" w:cs="宋体"/>
          <w:color w:val="auto"/>
          <w:sz w:val="21"/>
          <w:szCs w:val="21"/>
          <w:highlight w:val="none"/>
        </w:rPr>
        <w:t>‰缴纳工伤保险。）</w:t>
      </w:r>
    </w:p>
    <w:p>
      <w:pPr>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20.2  人员工伤事故的保险</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按照《市人社局、市发展改革委、市城乡建设局、市交通运输局、市水利局、市安监局、市总工会转发省人力资源社会保障厅等八部门〈转发人力资源社保保障部等六部门关于铁路公路水运水利能源机场工程建设项目参加工伤保险工作通知〉的通知》（常人社发〔2018〕132号）规定：建设施工企业应按照《社会保险法》《安全生产法》《工作保险条例》等法律法规规定，依法参加工伤保险。对难以按缴费工资参保缴费的工程建设项目使用的职工特别是短期雇佣的农民工，应当以工程项目为单元优先参加工作保险。施工企业凭社会保险经办机构出具的《建筑施工项目参加工伤保险参保证明》和发票，向建设单位申报费用。”</w:t>
      </w:r>
    </w:p>
    <w:p>
      <w:pPr>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20.4　第三者责任险</w:t>
      </w:r>
    </w:p>
    <w:p>
      <w:pPr>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20.4.1　第三者责任险由承包人根据工程和自身的情况自主确定是否投保，并承担其相应的责任。承包人投保与否，并不免除其应负的在其管辖区内及其毗邻带发生的第三者人员人身伤害和财产损失的赔偿责任，其赔偿费用应包括赔偿费、诉讼费和其它费用。</w:t>
      </w:r>
    </w:p>
    <w:p>
      <w:pPr>
        <w:spacing w:line="360" w:lineRule="auto"/>
        <w:ind w:firstLine="42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20.5 安全生产责任保险</w:t>
      </w:r>
    </w:p>
    <w:p>
      <w:pPr>
        <w:spacing w:line="360" w:lineRule="auto"/>
        <w:ind w:firstLine="42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20.5.1国家鼓励生产经营单位投保安全生产责任保险；属于国家规定的高危行业、领域的生产经营单位，应当投保安全生产责任保险。</w:t>
      </w:r>
    </w:p>
    <w:p>
      <w:pPr>
        <w:spacing w:line="360" w:lineRule="exact"/>
        <w:outlineLvl w:val="1"/>
        <w:rPr>
          <w:rFonts w:ascii="宋体" w:hAnsi="宋体"/>
          <w:b/>
          <w:sz w:val="21"/>
          <w:szCs w:val="21"/>
        </w:rPr>
      </w:pPr>
      <w:r>
        <w:rPr>
          <w:rFonts w:hint="eastAsia" w:ascii="宋体" w:hAnsi="宋体"/>
          <w:b/>
          <w:sz w:val="21"/>
          <w:szCs w:val="21"/>
        </w:rPr>
        <w:t>21.其他</w:t>
      </w:r>
      <w:bookmarkEnd w:id="219"/>
      <w:bookmarkEnd w:id="220"/>
    </w:p>
    <w:p>
      <w:pPr>
        <w:spacing w:line="360" w:lineRule="exact"/>
        <w:ind w:firstLine="420" w:firstLineChars="200"/>
        <w:outlineLvl w:val="1"/>
        <w:rPr>
          <w:rFonts w:ascii="宋体" w:hAnsi="宋体"/>
          <w:sz w:val="21"/>
          <w:szCs w:val="21"/>
        </w:rPr>
      </w:pPr>
      <w:bookmarkStart w:id="221" w:name="_Toc522970374"/>
      <w:bookmarkStart w:id="222" w:name="_Toc529630684"/>
      <w:bookmarkStart w:id="223" w:name="_Toc529630845"/>
      <w:bookmarkStart w:id="224" w:name="_Toc943983"/>
      <w:bookmarkStart w:id="225" w:name="_Toc529977822"/>
      <w:bookmarkStart w:id="226" w:name="_Toc529882203"/>
      <w:bookmarkStart w:id="227" w:name="_Toc531013068"/>
      <w:bookmarkStart w:id="228" w:name="_Toc17407"/>
      <w:bookmarkStart w:id="229" w:name="_Toc530729915"/>
      <w:bookmarkStart w:id="230" w:name="_Toc525977337"/>
      <w:r>
        <w:rPr>
          <w:rFonts w:hint="eastAsia" w:ascii="宋体" w:hAnsi="宋体"/>
          <w:sz w:val="21"/>
          <w:szCs w:val="21"/>
        </w:rPr>
        <w:t>21.1</w:t>
      </w:r>
      <w:bookmarkStart w:id="231" w:name="_Toc496171408"/>
      <w:r>
        <w:rPr>
          <w:rFonts w:hint="eastAsia" w:ascii="宋体" w:hAnsi="宋体"/>
          <w:sz w:val="21"/>
          <w:szCs w:val="21"/>
        </w:rPr>
        <w:t>施工方在履行本合同专用条款15.3.1项时，因变更原因不合理、施工方恶意变更（如利用不平衡报价使施工方达到利益最大化等非国家强制规范调整引起）、擅自变更等情形导致发包人被问责的，以及未能按投标文件承诺的方法和措施控制变更的，应同时追究施工方的责任，并扣减此项变更给发包人造成的工程价款损失。</w:t>
      </w:r>
      <w:bookmarkEnd w:id="221"/>
      <w:bookmarkEnd w:id="222"/>
      <w:bookmarkEnd w:id="223"/>
      <w:bookmarkEnd w:id="224"/>
      <w:bookmarkEnd w:id="225"/>
      <w:bookmarkEnd w:id="226"/>
      <w:bookmarkEnd w:id="227"/>
      <w:bookmarkEnd w:id="228"/>
      <w:bookmarkEnd w:id="229"/>
      <w:bookmarkEnd w:id="230"/>
      <w:bookmarkEnd w:id="231"/>
    </w:p>
    <w:bookmarkEnd w:id="39"/>
    <w:bookmarkEnd w:id="40"/>
    <w:bookmarkEnd w:id="41"/>
    <w:p>
      <w:pPr>
        <w:snapToGrid w:val="0"/>
        <w:spacing w:line="360" w:lineRule="exact"/>
        <w:ind w:firstLine="420" w:firstLineChars="200"/>
        <w:rPr>
          <w:rFonts w:hint="eastAsia" w:ascii="宋体" w:hAnsi="宋体"/>
          <w:sz w:val="21"/>
          <w:szCs w:val="21"/>
        </w:rPr>
      </w:pPr>
      <w:bookmarkStart w:id="232" w:name="_Toc27576501"/>
      <w:bookmarkStart w:id="233" w:name="_Toc522970375"/>
      <w:bookmarkStart w:id="234" w:name="_Toc530729916"/>
      <w:bookmarkStart w:id="235" w:name="_Toc529882204"/>
      <w:bookmarkStart w:id="236" w:name="_Toc525977338"/>
      <w:bookmarkStart w:id="237" w:name="_Toc529977823"/>
      <w:bookmarkStart w:id="238" w:name="_Toc529630685"/>
      <w:bookmarkStart w:id="239" w:name="_Toc531013069"/>
      <w:bookmarkStart w:id="240" w:name="_Toc529630846"/>
      <w:r>
        <w:rPr>
          <w:rFonts w:hint="eastAsia" w:ascii="宋体" w:hAnsi="宋体"/>
          <w:sz w:val="21"/>
          <w:szCs w:val="21"/>
        </w:rPr>
        <w:t>21.2 工程结算以有资质的审计单位的审定价为准。</w:t>
      </w:r>
      <w:bookmarkEnd w:id="232"/>
      <w:bookmarkEnd w:id="233"/>
      <w:bookmarkEnd w:id="234"/>
      <w:bookmarkEnd w:id="235"/>
      <w:bookmarkEnd w:id="236"/>
      <w:bookmarkEnd w:id="237"/>
      <w:bookmarkEnd w:id="238"/>
      <w:bookmarkEnd w:id="239"/>
      <w:bookmarkEnd w:id="240"/>
    </w:p>
    <w:p>
      <w:pPr>
        <w:snapToGrid w:val="0"/>
        <w:spacing w:line="360" w:lineRule="exact"/>
        <w:rPr>
          <w:rFonts w:ascii="宋体" w:hAnsi="宋体"/>
          <w:color w:val="FF0000"/>
          <w:sz w:val="21"/>
          <w:szCs w:val="21"/>
        </w:rPr>
      </w:pPr>
    </w:p>
    <w:p>
      <w:pPr>
        <w:snapToGrid w:val="0"/>
        <w:spacing w:line="360" w:lineRule="exact"/>
        <w:rPr>
          <w:rFonts w:ascii="宋体" w:hAnsi="宋体"/>
          <w:sz w:val="21"/>
          <w:szCs w:val="21"/>
        </w:rPr>
      </w:pPr>
      <w:r>
        <w:rPr>
          <w:rFonts w:hint="eastAsia" w:ascii="宋体" w:hAnsi="宋体"/>
          <w:sz w:val="21"/>
          <w:szCs w:val="21"/>
        </w:rPr>
        <w:t>发包人：</w:t>
      </w:r>
      <w:r>
        <w:rPr>
          <w:rFonts w:hint="eastAsia" w:ascii="宋体" w:hAnsi="宋体"/>
          <w:sz w:val="21"/>
          <w:szCs w:val="21"/>
          <w:u w:val="single"/>
        </w:rPr>
        <w:t>　　　　　　　　　</w:t>
      </w:r>
      <w:r>
        <w:rPr>
          <w:rFonts w:ascii="宋体" w:hAnsi="宋体"/>
          <w:sz w:val="21"/>
          <w:szCs w:val="21"/>
        </w:rPr>
        <w:t>(</w:t>
      </w:r>
      <w:r>
        <w:rPr>
          <w:rFonts w:hint="eastAsia" w:ascii="宋体" w:hAnsi="宋体"/>
          <w:sz w:val="21"/>
          <w:szCs w:val="21"/>
        </w:rPr>
        <w:t>盖单位章</w:t>
      </w:r>
      <w:r>
        <w:rPr>
          <w:rFonts w:ascii="宋体" w:hAnsi="宋体"/>
          <w:sz w:val="21"/>
          <w:szCs w:val="21"/>
        </w:rPr>
        <w:t>)</w:t>
      </w:r>
      <w:r>
        <w:rPr>
          <w:rFonts w:hint="eastAsia" w:ascii="宋体" w:hAnsi="宋体"/>
          <w:sz w:val="21"/>
          <w:szCs w:val="21"/>
        </w:rPr>
        <w:t>　　　承包人：</w:t>
      </w:r>
      <w:r>
        <w:rPr>
          <w:rFonts w:hint="eastAsia" w:ascii="宋体" w:hAnsi="宋体"/>
          <w:sz w:val="21"/>
          <w:szCs w:val="21"/>
          <w:u w:val="single"/>
        </w:rPr>
        <w:t>　　　　　　　　　　　　　</w:t>
      </w:r>
      <w:r>
        <w:rPr>
          <w:rFonts w:ascii="宋体" w:hAnsi="宋体"/>
          <w:sz w:val="21"/>
          <w:szCs w:val="21"/>
        </w:rPr>
        <w:t>(</w:t>
      </w:r>
      <w:r>
        <w:rPr>
          <w:rFonts w:hint="eastAsia" w:ascii="宋体" w:hAnsi="宋体"/>
          <w:sz w:val="21"/>
          <w:szCs w:val="21"/>
        </w:rPr>
        <w:t>盖单位章</w:t>
      </w:r>
      <w:r>
        <w:rPr>
          <w:rFonts w:ascii="宋体" w:hAnsi="宋体"/>
          <w:sz w:val="21"/>
          <w:szCs w:val="21"/>
        </w:rPr>
        <w:t>)</w:t>
      </w:r>
    </w:p>
    <w:p>
      <w:pPr>
        <w:snapToGrid w:val="0"/>
        <w:spacing w:line="360" w:lineRule="exact"/>
        <w:rPr>
          <w:rFonts w:ascii="宋体" w:hAnsi="宋体"/>
          <w:sz w:val="21"/>
          <w:szCs w:val="21"/>
        </w:rPr>
      </w:pPr>
    </w:p>
    <w:p>
      <w:pPr>
        <w:snapToGrid w:val="0"/>
        <w:spacing w:line="360" w:lineRule="exact"/>
        <w:rPr>
          <w:rFonts w:ascii="宋体" w:hAnsi="宋体"/>
          <w:sz w:val="21"/>
          <w:szCs w:val="21"/>
        </w:rPr>
      </w:pPr>
      <w:r>
        <w:rPr>
          <w:rFonts w:hint="eastAsia" w:ascii="宋体" w:hAnsi="宋体"/>
          <w:sz w:val="21"/>
          <w:szCs w:val="21"/>
        </w:rPr>
        <w:t>法定代表人或其委托代理人：</w:t>
      </w:r>
      <w:r>
        <w:rPr>
          <w:rFonts w:hint="eastAsia" w:ascii="宋体" w:hAnsi="宋体"/>
          <w:sz w:val="21"/>
          <w:szCs w:val="21"/>
          <w:u w:val="single"/>
        </w:rPr>
        <w:t>　　　　</w:t>
      </w:r>
      <w:r>
        <w:rPr>
          <w:rFonts w:ascii="宋体" w:hAnsi="宋体"/>
          <w:sz w:val="21"/>
          <w:szCs w:val="21"/>
        </w:rPr>
        <w:t>(</w:t>
      </w:r>
      <w:r>
        <w:rPr>
          <w:rFonts w:hint="eastAsia" w:ascii="宋体" w:hAnsi="宋体"/>
          <w:sz w:val="21"/>
          <w:szCs w:val="21"/>
        </w:rPr>
        <w:t>签字</w:t>
      </w:r>
      <w:r>
        <w:rPr>
          <w:rFonts w:ascii="宋体" w:hAnsi="宋体"/>
          <w:sz w:val="21"/>
          <w:szCs w:val="21"/>
        </w:rPr>
        <w:t>)</w:t>
      </w:r>
      <w:r>
        <w:rPr>
          <w:rFonts w:hint="eastAsia" w:ascii="宋体" w:hAnsi="宋体"/>
          <w:sz w:val="21"/>
          <w:szCs w:val="21"/>
        </w:rPr>
        <w:t>　法定代表人或其委托代理人：</w:t>
      </w:r>
      <w:r>
        <w:rPr>
          <w:rFonts w:hint="eastAsia" w:ascii="宋体" w:hAnsi="宋体"/>
          <w:sz w:val="21"/>
          <w:szCs w:val="21"/>
          <w:u w:val="single"/>
        </w:rPr>
        <w:t>　　　　　　</w:t>
      </w:r>
      <w:r>
        <w:rPr>
          <w:rFonts w:ascii="宋体" w:hAnsi="宋体"/>
          <w:sz w:val="21"/>
          <w:szCs w:val="21"/>
        </w:rPr>
        <w:t>(</w:t>
      </w:r>
      <w:r>
        <w:rPr>
          <w:rFonts w:hint="eastAsia" w:ascii="宋体" w:hAnsi="宋体"/>
          <w:sz w:val="21"/>
          <w:szCs w:val="21"/>
        </w:rPr>
        <w:t>签字</w:t>
      </w:r>
      <w:r>
        <w:rPr>
          <w:rFonts w:ascii="宋体" w:hAnsi="宋体"/>
          <w:sz w:val="21"/>
          <w:szCs w:val="21"/>
        </w:rPr>
        <w:t>)</w:t>
      </w:r>
    </w:p>
    <w:p>
      <w:pPr>
        <w:snapToGrid w:val="0"/>
        <w:spacing w:line="360" w:lineRule="exact"/>
        <w:rPr>
          <w:rFonts w:ascii="宋体" w:hAnsi="宋体"/>
          <w:sz w:val="21"/>
          <w:szCs w:val="21"/>
        </w:rPr>
      </w:pPr>
      <w:r>
        <w:rPr>
          <w:rFonts w:hint="eastAsia" w:ascii="宋体" w:hAnsi="宋体"/>
          <w:sz w:val="21"/>
          <w:szCs w:val="21"/>
        </w:rPr>
        <w:t>　　　　</w:t>
      </w:r>
    </w:p>
    <w:p>
      <w:pPr>
        <w:snapToGrid w:val="0"/>
        <w:spacing w:line="360" w:lineRule="exact"/>
        <w:rPr>
          <w:rFonts w:ascii="宋体" w:hAnsi="宋体"/>
          <w:sz w:val="21"/>
          <w:szCs w:val="21"/>
        </w:rPr>
      </w:pPr>
      <w:r>
        <w:rPr>
          <w:rFonts w:hint="eastAsia" w:ascii="宋体" w:hAnsi="宋体"/>
          <w:sz w:val="21"/>
          <w:szCs w:val="21"/>
        </w:rPr>
        <w:t>　　</w:t>
      </w:r>
      <w:r>
        <w:rPr>
          <w:rFonts w:ascii="宋体" w:hAnsi="宋体"/>
          <w:sz w:val="21"/>
          <w:szCs w:val="21"/>
        </w:rPr>
        <w:t xml:space="preserve">              </w:t>
      </w:r>
      <w:r>
        <w:rPr>
          <w:rFonts w:hint="eastAsia" w:ascii="宋体" w:hAnsi="宋体"/>
          <w:sz w:val="21"/>
          <w:szCs w:val="21"/>
          <w:u w:val="single"/>
        </w:rPr>
        <w:t>　　</w:t>
      </w:r>
      <w:r>
        <w:rPr>
          <w:rFonts w:ascii="宋体" w:hAnsi="宋体"/>
          <w:sz w:val="21"/>
          <w:szCs w:val="21"/>
          <w:u w:val="single"/>
        </w:rPr>
        <w:t xml:space="preserve">   </w:t>
      </w:r>
      <w:r>
        <w:rPr>
          <w:rFonts w:hint="eastAsia" w:ascii="宋体" w:hAnsi="宋体"/>
          <w:sz w:val="21"/>
          <w:szCs w:val="21"/>
        </w:rPr>
        <w:t>年</w:t>
      </w:r>
      <w:r>
        <w:rPr>
          <w:rFonts w:hint="eastAsia" w:ascii="宋体" w:hAnsi="宋体"/>
          <w:sz w:val="21"/>
          <w:szCs w:val="21"/>
          <w:u w:val="single"/>
        </w:rPr>
        <w:t>　　</w:t>
      </w:r>
      <w:r>
        <w:rPr>
          <w:rFonts w:hint="eastAsia" w:ascii="宋体" w:hAnsi="宋体"/>
          <w:sz w:val="21"/>
          <w:szCs w:val="21"/>
        </w:rPr>
        <w:t>月</w:t>
      </w:r>
      <w:r>
        <w:rPr>
          <w:rFonts w:hint="eastAsia" w:ascii="宋体" w:hAnsi="宋体"/>
          <w:sz w:val="21"/>
          <w:szCs w:val="21"/>
          <w:u w:val="single"/>
        </w:rPr>
        <w:t>　　</w:t>
      </w:r>
      <w:r>
        <w:rPr>
          <w:rFonts w:hint="eastAsia" w:ascii="宋体" w:hAnsi="宋体"/>
          <w:sz w:val="21"/>
          <w:szCs w:val="21"/>
        </w:rPr>
        <w:t>日　　　　　　</w:t>
      </w:r>
      <w:r>
        <w:rPr>
          <w:rFonts w:ascii="宋体" w:hAnsi="宋体"/>
          <w:sz w:val="21"/>
          <w:szCs w:val="21"/>
        </w:rPr>
        <w:t xml:space="preserve">      </w:t>
      </w:r>
      <w:r>
        <w:rPr>
          <w:rFonts w:hint="eastAsia" w:ascii="宋体" w:hAnsi="宋体"/>
          <w:sz w:val="21"/>
          <w:szCs w:val="21"/>
        </w:rPr>
        <w:t>　</w:t>
      </w:r>
      <w:r>
        <w:rPr>
          <w:rFonts w:hint="eastAsia" w:ascii="宋体" w:hAnsi="宋体"/>
          <w:sz w:val="21"/>
          <w:szCs w:val="21"/>
          <w:u w:val="single"/>
        </w:rPr>
        <w:t>　　　</w:t>
      </w:r>
      <w:r>
        <w:rPr>
          <w:rFonts w:hint="eastAsia" w:ascii="宋体" w:hAnsi="宋体"/>
          <w:sz w:val="21"/>
          <w:szCs w:val="21"/>
        </w:rPr>
        <w:t>年</w:t>
      </w:r>
      <w:r>
        <w:rPr>
          <w:rFonts w:hint="eastAsia" w:ascii="宋体" w:hAnsi="宋体"/>
          <w:sz w:val="21"/>
          <w:szCs w:val="21"/>
          <w:u w:val="single"/>
        </w:rPr>
        <w:t>　　</w:t>
      </w:r>
      <w:r>
        <w:rPr>
          <w:rFonts w:hint="eastAsia" w:ascii="宋体" w:hAnsi="宋体"/>
          <w:sz w:val="21"/>
          <w:szCs w:val="21"/>
        </w:rPr>
        <w:t>月</w:t>
      </w:r>
      <w:r>
        <w:rPr>
          <w:rFonts w:hint="eastAsia" w:ascii="宋体" w:hAnsi="宋体"/>
          <w:sz w:val="21"/>
          <w:szCs w:val="21"/>
          <w:u w:val="single"/>
        </w:rPr>
        <w:t>　　</w:t>
      </w:r>
      <w:r>
        <w:rPr>
          <w:rFonts w:hint="eastAsia" w:ascii="宋体" w:hAnsi="宋体"/>
          <w:sz w:val="21"/>
          <w:szCs w:val="21"/>
        </w:rPr>
        <w:t>日</w:t>
      </w:r>
    </w:p>
    <w:p>
      <w:pPr>
        <w:snapToGrid w:val="0"/>
        <w:spacing w:line="360" w:lineRule="auto"/>
        <w:jc w:val="both"/>
        <w:outlineLvl w:val="0"/>
        <w:rPr>
          <w:rFonts w:hint="eastAsia" w:ascii="宋体" w:hAnsi="宋体"/>
          <w:b/>
          <w:sz w:val="21"/>
          <w:szCs w:val="21"/>
        </w:rPr>
      </w:pPr>
      <w:bookmarkStart w:id="241" w:name="_Toc16439"/>
      <w:bookmarkStart w:id="242" w:name="_Toc18051"/>
      <w:bookmarkStart w:id="243" w:name="_Toc9688"/>
      <w:bookmarkStart w:id="244" w:name="_Toc496171409"/>
      <w:bookmarkStart w:id="245" w:name="_Toc27651"/>
    </w:p>
    <w:p>
      <w:pPr>
        <w:snapToGrid w:val="0"/>
        <w:spacing w:line="360" w:lineRule="auto"/>
        <w:jc w:val="center"/>
        <w:outlineLvl w:val="0"/>
        <w:rPr>
          <w:rFonts w:hint="eastAsia" w:ascii="宋体" w:hAnsi="宋体"/>
          <w:b/>
          <w:sz w:val="21"/>
          <w:szCs w:val="21"/>
        </w:rPr>
      </w:pPr>
    </w:p>
    <w:p>
      <w:pPr>
        <w:snapToGrid w:val="0"/>
        <w:spacing w:line="360" w:lineRule="auto"/>
        <w:jc w:val="center"/>
        <w:outlineLvl w:val="0"/>
        <w:rPr>
          <w:rFonts w:ascii="宋体" w:hAnsi="宋体"/>
          <w:b/>
          <w:sz w:val="21"/>
          <w:szCs w:val="21"/>
        </w:rPr>
      </w:pPr>
      <w:r>
        <w:rPr>
          <w:rFonts w:hint="eastAsia" w:ascii="宋体" w:hAnsi="宋体"/>
          <w:b/>
          <w:sz w:val="21"/>
          <w:szCs w:val="21"/>
        </w:rPr>
        <w:t>第</w:t>
      </w:r>
      <w:r>
        <w:rPr>
          <w:rFonts w:ascii="宋体" w:hAnsi="宋体"/>
          <w:b/>
          <w:sz w:val="21"/>
          <w:szCs w:val="21"/>
        </w:rPr>
        <w:t>3</w:t>
      </w:r>
      <w:r>
        <w:rPr>
          <w:rFonts w:hint="eastAsia" w:ascii="宋体" w:hAnsi="宋体"/>
          <w:b/>
          <w:sz w:val="21"/>
          <w:szCs w:val="21"/>
        </w:rPr>
        <w:t>节　合同附件格式</w:t>
      </w:r>
      <w:bookmarkEnd w:id="29"/>
      <w:bookmarkEnd w:id="30"/>
      <w:bookmarkEnd w:id="241"/>
      <w:bookmarkEnd w:id="242"/>
      <w:bookmarkEnd w:id="243"/>
      <w:bookmarkEnd w:id="244"/>
      <w:bookmarkEnd w:id="245"/>
    </w:p>
    <w:p>
      <w:pPr>
        <w:snapToGrid w:val="0"/>
        <w:spacing w:line="360" w:lineRule="auto"/>
        <w:rPr>
          <w:rFonts w:ascii="宋体" w:hAnsi="宋体"/>
          <w:sz w:val="21"/>
          <w:szCs w:val="21"/>
        </w:rPr>
      </w:pPr>
      <w:r>
        <w:rPr>
          <w:rFonts w:hint="eastAsia" w:ascii="宋体" w:hAnsi="宋体"/>
          <w:sz w:val="21"/>
          <w:szCs w:val="21"/>
        </w:rPr>
        <w:t>附件一：</w:t>
      </w:r>
    </w:p>
    <w:p>
      <w:pPr>
        <w:snapToGrid w:val="0"/>
        <w:spacing w:line="360" w:lineRule="auto"/>
        <w:rPr>
          <w:rFonts w:ascii="宋体" w:hAnsi="宋体"/>
          <w:sz w:val="21"/>
          <w:szCs w:val="21"/>
        </w:rPr>
      </w:pPr>
    </w:p>
    <w:p>
      <w:pPr>
        <w:snapToGrid w:val="0"/>
        <w:spacing w:line="360" w:lineRule="auto"/>
        <w:jc w:val="center"/>
        <w:rPr>
          <w:rFonts w:ascii="宋体" w:hAnsi="宋体"/>
          <w:b/>
          <w:sz w:val="21"/>
          <w:szCs w:val="21"/>
        </w:rPr>
      </w:pPr>
      <w:bookmarkStart w:id="246" w:name="第04章合同条款及格式03附件01"/>
      <w:bookmarkEnd w:id="246"/>
      <w:r>
        <w:rPr>
          <w:rFonts w:hint="eastAsia" w:ascii="宋体" w:hAnsi="宋体"/>
          <w:b/>
          <w:sz w:val="21"/>
          <w:szCs w:val="21"/>
        </w:rPr>
        <w:t>合同协议书</w:t>
      </w:r>
    </w:p>
    <w:p>
      <w:pPr>
        <w:snapToGrid w:val="0"/>
        <w:spacing w:line="360" w:lineRule="auto"/>
        <w:rPr>
          <w:rFonts w:ascii="宋体" w:hAnsi="宋体"/>
          <w:sz w:val="21"/>
          <w:szCs w:val="21"/>
        </w:rPr>
      </w:pPr>
    </w:p>
    <w:p>
      <w:pPr>
        <w:snapToGrid w:val="0"/>
        <w:spacing w:line="360" w:lineRule="auto"/>
        <w:rPr>
          <w:rFonts w:ascii="宋体" w:hAnsi="宋体"/>
          <w:sz w:val="21"/>
          <w:szCs w:val="21"/>
        </w:rPr>
      </w:pPr>
      <w:r>
        <w:rPr>
          <w:rFonts w:hint="eastAsia" w:ascii="宋体" w:hAnsi="宋体"/>
          <w:sz w:val="21"/>
          <w:szCs w:val="21"/>
        </w:rPr>
        <w:t>　　</w:t>
      </w:r>
      <w:r>
        <w:rPr>
          <w:rFonts w:hint="eastAsia" w:ascii="宋体" w:hAnsi="宋体"/>
          <w:sz w:val="21"/>
          <w:szCs w:val="21"/>
          <w:u w:val="single"/>
        </w:rPr>
        <w:t>　　　　　　　　</w:t>
      </w:r>
      <w:r>
        <w:rPr>
          <w:rFonts w:ascii="宋体" w:hAnsi="宋体"/>
          <w:sz w:val="21"/>
          <w:szCs w:val="21"/>
        </w:rPr>
        <w:t>(</w:t>
      </w:r>
      <w:r>
        <w:rPr>
          <w:rFonts w:hint="eastAsia" w:ascii="宋体" w:hAnsi="宋体"/>
          <w:sz w:val="21"/>
          <w:szCs w:val="21"/>
        </w:rPr>
        <w:t>发包人名称，以下简称“发包人”</w:t>
      </w:r>
      <w:r>
        <w:rPr>
          <w:rFonts w:ascii="宋体" w:hAnsi="宋体"/>
          <w:sz w:val="21"/>
          <w:szCs w:val="21"/>
        </w:rPr>
        <w:t>)</w:t>
      </w:r>
      <w:r>
        <w:rPr>
          <w:rFonts w:hint="eastAsia" w:ascii="宋体" w:hAnsi="宋体"/>
          <w:sz w:val="21"/>
          <w:szCs w:val="21"/>
        </w:rPr>
        <w:t>为实施</w:t>
      </w:r>
      <w:r>
        <w:rPr>
          <w:rFonts w:hint="eastAsia" w:ascii="宋体" w:hAnsi="宋体"/>
          <w:sz w:val="21"/>
          <w:szCs w:val="21"/>
          <w:u w:val="single"/>
        </w:rPr>
        <w:t>　　　　　　　　　　</w:t>
      </w:r>
      <w:r>
        <w:rPr>
          <w:rFonts w:ascii="宋体" w:hAnsi="宋体"/>
          <w:sz w:val="21"/>
          <w:szCs w:val="21"/>
        </w:rPr>
        <w:t>(</w:t>
      </w:r>
      <w:r>
        <w:rPr>
          <w:rFonts w:hint="eastAsia" w:ascii="宋体" w:hAnsi="宋体"/>
          <w:sz w:val="21"/>
          <w:szCs w:val="21"/>
        </w:rPr>
        <w:t>项目名称</w:t>
      </w:r>
      <w:r>
        <w:rPr>
          <w:rFonts w:ascii="宋体" w:hAnsi="宋体"/>
          <w:sz w:val="21"/>
          <w:szCs w:val="21"/>
        </w:rPr>
        <w:t>)</w:t>
      </w:r>
      <w:r>
        <w:rPr>
          <w:rFonts w:hint="eastAsia" w:ascii="宋体" w:hAnsi="宋体"/>
          <w:sz w:val="21"/>
          <w:szCs w:val="21"/>
        </w:rPr>
        <w:t>，已接受</w:t>
      </w:r>
      <w:r>
        <w:rPr>
          <w:rFonts w:hint="eastAsia" w:ascii="宋体" w:hAnsi="宋体"/>
          <w:sz w:val="21"/>
          <w:szCs w:val="21"/>
          <w:u w:val="single"/>
        </w:rPr>
        <w:t>　　　　　</w:t>
      </w:r>
      <w:r>
        <w:rPr>
          <w:rFonts w:ascii="宋体" w:hAnsi="宋体"/>
          <w:sz w:val="21"/>
          <w:szCs w:val="21"/>
        </w:rPr>
        <w:t>(</w:t>
      </w:r>
      <w:r>
        <w:rPr>
          <w:rFonts w:hint="eastAsia" w:ascii="宋体" w:hAnsi="宋体"/>
          <w:sz w:val="21"/>
          <w:szCs w:val="21"/>
        </w:rPr>
        <w:t>承包人名称，以下简称“承包人”</w:t>
      </w:r>
      <w:r>
        <w:rPr>
          <w:rFonts w:ascii="宋体" w:hAnsi="宋体"/>
          <w:sz w:val="21"/>
          <w:szCs w:val="21"/>
        </w:rPr>
        <w:t>)</w:t>
      </w:r>
      <w:r>
        <w:rPr>
          <w:rFonts w:hint="eastAsia" w:ascii="宋体" w:hAnsi="宋体"/>
          <w:sz w:val="21"/>
          <w:szCs w:val="21"/>
          <w:u w:val="single"/>
        </w:rPr>
        <w:t>　　　　</w:t>
      </w:r>
      <w:r>
        <w:rPr>
          <w:rFonts w:hint="eastAsia" w:ascii="宋体" w:hAnsi="宋体"/>
          <w:sz w:val="21"/>
          <w:szCs w:val="21"/>
        </w:rPr>
        <w:t>对</w:t>
      </w:r>
      <w:r>
        <w:rPr>
          <w:rFonts w:ascii="宋体" w:hAnsi="宋体"/>
          <w:sz w:val="21"/>
          <w:szCs w:val="21"/>
        </w:rPr>
        <w:t>(</w:t>
      </w:r>
      <w:r>
        <w:rPr>
          <w:rFonts w:hint="eastAsia" w:ascii="宋体" w:hAnsi="宋体"/>
          <w:sz w:val="21"/>
          <w:szCs w:val="21"/>
        </w:rPr>
        <w:t>项目名称</w:t>
      </w:r>
      <w:r>
        <w:rPr>
          <w:rFonts w:ascii="宋体" w:hAnsi="宋体"/>
          <w:sz w:val="21"/>
          <w:szCs w:val="21"/>
        </w:rPr>
        <w:t>)</w:t>
      </w:r>
      <w:r>
        <w:rPr>
          <w:rFonts w:hint="eastAsia" w:ascii="宋体" w:hAnsi="宋体"/>
          <w:sz w:val="21"/>
          <w:szCs w:val="21"/>
          <w:u w:val="single"/>
        </w:rPr>
        <w:t>　　　　　</w:t>
      </w:r>
      <w:r>
        <w:rPr>
          <w:rFonts w:ascii="宋体" w:hAnsi="宋体"/>
          <w:sz w:val="21"/>
          <w:szCs w:val="21"/>
        </w:rPr>
        <w:t>(</w:t>
      </w:r>
      <w:r>
        <w:rPr>
          <w:rFonts w:hint="eastAsia" w:ascii="宋体" w:hAnsi="宋体"/>
          <w:sz w:val="21"/>
          <w:szCs w:val="21"/>
        </w:rPr>
        <w:t>标段名称</w:t>
      </w:r>
      <w:r>
        <w:rPr>
          <w:rFonts w:ascii="宋体" w:hAnsi="宋体"/>
          <w:sz w:val="21"/>
          <w:szCs w:val="21"/>
        </w:rPr>
        <w:t>)</w:t>
      </w:r>
      <w:r>
        <w:rPr>
          <w:rFonts w:hint="eastAsia" w:ascii="宋体" w:hAnsi="宋体"/>
          <w:sz w:val="21"/>
          <w:szCs w:val="21"/>
        </w:rPr>
        <w:t>的投标，并确定其为中标人。发包人和承包人共同达成如下协议。</w:t>
      </w:r>
      <w:r>
        <w:rPr>
          <w:rFonts w:ascii="宋体" w:hAnsi="宋体"/>
          <w:sz w:val="21"/>
          <w:szCs w:val="21"/>
        </w:rPr>
        <w:t xml:space="preserve"> </w:t>
      </w:r>
    </w:p>
    <w:p>
      <w:pPr>
        <w:snapToGrid w:val="0"/>
        <w:spacing w:line="360" w:lineRule="auto"/>
        <w:rPr>
          <w:rFonts w:ascii="宋体" w:hAnsi="宋体"/>
          <w:sz w:val="21"/>
          <w:szCs w:val="21"/>
        </w:rPr>
      </w:pPr>
      <w:r>
        <w:rPr>
          <w:rFonts w:hint="eastAsia" w:ascii="宋体" w:hAnsi="宋体"/>
          <w:sz w:val="21"/>
          <w:szCs w:val="21"/>
        </w:rPr>
        <w:t>　　</w:t>
      </w:r>
      <w:r>
        <w:rPr>
          <w:rFonts w:ascii="宋体" w:hAnsi="宋体"/>
          <w:sz w:val="21"/>
          <w:szCs w:val="21"/>
        </w:rPr>
        <w:t>1.</w:t>
      </w:r>
      <w:r>
        <w:rPr>
          <w:rFonts w:hint="eastAsia" w:ascii="宋体" w:hAnsi="宋体"/>
          <w:sz w:val="21"/>
          <w:szCs w:val="21"/>
        </w:rPr>
        <w:t>本协议书与下列文件一起构成合同文件：</w:t>
      </w:r>
    </w:p>
    <w:p>
      <w:pPr>
        <w:snapToGrid w:val="0"/>
        <w:spacing w:line="360" w:lineRule="auto"/>
        <w:rPr>
          <w:rFonts w:ascii="宋体" w:hAnsi="宋体"/>
          <w:sz w:val="21"/>
          <w:szCs w:val="21"/>
        </w:rPr>
      </w:pPr>
      <w:r>
        <w:rPr>
          <w:rFonts w:hint="eastAsia" w:ascii="宋体" w:hAnsi="宋体"/>
          <w:sz w:val="21"/>
          <w:szCs w:val="21"/>
        </w:rPr>
        <w:t>　　</w:t>
      </w:r>
      <w:r>
        <w:rPr>
          <w:rFonts w:ascii="宋体" w:hAnsi="宋体"/>
          <w:sz w:val="21"/>
          <w:szCs w:val="21"/>
        </w:rPr>
        <w:t>(1)</w:t>
      </w:r>
      <w:r>
        <w:rPr>
          <w:rFonts w:hint="eastAsia" w:ascii="宋体" w:hAnsi="宋体"/>
          <w:sz w:val="21"/>
          <w:szCs w:val="21"/>
        </w:rPr>
        <w:t>中标通知书；</w:t>
      </w:r>
    </w:p>
    <w:p>
      <w:pPr>
        <w:snapToGrid w:val="0"/>
        <w:spacing w:line="360" w:lineRule="auto"/>
        <w:rPr>
          <w:rFonts w:ascii="宋体" w:hAnsi="宋体"/>
          <w:sz w:val="21"/>
          <w:szCs w:val="21"/>
        </w:rPr>
      </w:pPr>
      <w:r>
        <w:rPr>
          <w:rFonts w:hint="eastAsia" w:ascii="宋体" w:hAnsi="宋体"/>
          <w:sz w:val="21"/>
          <w:szCs w:val="21"/>
        </w:rPr>
        <w:t>　　</w:t>
      </w:r>
      <w:r>
        <w:rPr>
          <w:rFonts w:ascii="宋体" w:hAnsi="宋体"/>
          <w:sz w:val="21"/>
          <w:szCs w:val="21"/>
        </w:rPr>
        <w:t>(2)</w:t>
      </w:r>
      <w:r>
        <w:rPr>
          <w:rFonts w:hint="eastAsia" w:ascii="宋体" w:hAnsi="宋体"/>
          <w:sz w:val="21"/>
          <w:szCs w:val="21"/>
        </w:rPr>
        <w:t>投标函及投标函附录；</w:t>
      </w:r>
    </w:p>
    <w:p>
      <w:pPr>
        <w:snapToGrid w:val="0"/>
        <w:spacing w:line="360" w:lineRule="auto"/>
        <w:rPr>
          <w:rFonts w:ascii="宋体" w:hAnsi="宋体"/>
          <w:sz w:val="21"/>
          <w:szCs w:val="21"/>
        </w:rPr>
      </w:pPr>
      <w:r>
        <w:rPr>
          <w:rFonts w:hint="eastAsia" w:ascii="宋体" w:hAnsi="宋体"/>
          <w:sz w:val="21"/>
          <w:szCs w:val="21"/>
        </w:rPr>
        <w:t>　　</w:t>
      </w:r>
      <w:r>
        <w:rPr>
          <w:rFonts w:ascii="宋体" w:hAnsi="宋体"/>
          <w:sz w:val="21"/>
          <w:szCs w:val="21"/>
        </w:rPr>
        <w:t>(3)</w:t>
      </w:r>
      <w:r>
        <w:rPr>
          <w:rFonts w:hint="eastAsia" w:ascii="宋体" w:hAnsi="宋体"/>
          <w:sz w:val="21"/>
          <w:szCs w:val="21"/>
        </w:rPr>
        <w:t>专用合同条款；</w:t>
      </w:r>
    </w:p>
    <w:p>
      <w:pPr>
        <w:snapToGrid w:val="0"/>
        <w:spacing w:line="360" w:lineRule="auto"/>
        <w:rPr>
          <w:rFonts w:ascii="宋体" w:hAnsi="宋体"/>
          <w:sz w:val="21"/>
          <w:szCs w:val="21"/>
        </w:rPr>
      </w:pPr>
      <w:r>
        <w:rPr>
          <w:rFonts w:hint="eastAsia" w:ascii="宋体" w:hAnsi="宋体"/>
          <w:sz w:val="21"/>
          <w:szCs w:val="21"/>
        </w:rPr>
        <w:t>　　</w:t>
      </w:r>
      <w:r>
        <w:rPr>
          <w:rFonts w:ascii="宋体" w:hAnsi="宋体"/>
          <w:sz w:val="21"/>
          <w:szCs w:val="21"/>
        </w:rPr>
        <w:t>(4)</w:t>
      </w:r>
      <w:r>
        <w:rPr>
          <w:rFonts w:hint="eastAsia" w:ascii="宋体" w:hAnsi="宋体"/>
          <w:sz w:val="21"/>
          <w:szCs w:val="21"/>
        </w:rPr>
        <w:t>通用合同条款；</w:t>
      </w:r>
    </w:p>
    <w:p>
      <w:pPr>
        <w:snapToGrid w:val="0"/>
        <w:spacing w:line="360" w:lineRule="auto"/>
        <w:rPr>
          <w:rFonts w:ascii="宋体" w:hAnsi="宋体"/>
          <w:sz w:val="21"/>
          <w:szCs w:val="21"/>
        </w:rPr>
      </w:pPr>
      <w:r>
        <w:rPr>
          <w:rFonts w:hint="eastAsia" w:ascii="宋体" w:hAnsi="宋体"/>
          <w:sz w:val="21"/>
          <w:szCs w:val="21"/>
        </w:rPr>
        <w:t>　　</w:t>
      </w:r>
      <w:r>
        <w:rPr>
          <w:rFonts w:ascii="宋体" w:hAnsi="宋体"/>
          <w:sz w:val="21"/>
          <w:szCs w:val="21"/>
        </w:rPr>
        <w:t>(5)</w:t>
      </w:r>
      <w:r>
        <w:rPr>
          <w:rFonts w:hint="eastAsia" w:ascii="宋体" w:hAnsi="宋体"/>
          <w:sz w:val="21"/>
          <w:szCs w:val="21"/>
        </w:rPr>
        <w:t>技术标准和要求</w:t>
      </w:r>
      <w:r>
        <w:rPr>
          <w:rFonts w:ascii="宋体" w:hAnsi="宋体"/>
          <w:sz w:val="21"/>
          <w:szCs w:val="21"/>
        </w:rPr>
        <w:t>(</w:t>
      </w:r>
      <w:r>
        <w:rPr>
          <w:rFonts w:hint="eastAsia" w:ascii="宋体" w:hAnsi="宋体"/>
          <w:sz w:val="21"/>
          <w:szCs w:val="21"/>
        </w:rPr>
        <w:t>合同技术条款</w:t>
      </w:r>
      <w:r>
        <w:rPr>
          <w:rFonts w:ascii="宋体" w:hAnsi="宋体"/>
          <w:sz w:val="21"/>
          <w:szCs w:val="21"/>
        </w:rPr>
        <w:t>)</w:t>
      </w:r>
      <w:r>
        <w:rPr>
          <w:rFonts w:hint="eastAsia" w:ascii="宋体" w:hAnsi="宋体"/>
          <w:sz w:val="21"/>
          <w:szCs w:val="21"/>
        </w:rPr>
        <w:t>；</w:t>
      </w:r>
    </w:p>
    <w:p>
      <w:pPr>
        <w:snapToGrid w:val="0"/>
        <w:spacing w:line="360" w:lineRule="auto"/>
        <w:rPr>
          <w:rFonts w:ascii="宋体" w:hAnsi="宋体"/>
          <w:sz w:val="21"/>
          <w:szCs w:val="21"/>
        </w:rPr>
      </w:pPr>
      <w:r>
        <w:rPr>
          <w:rFonts w:hint="eastAsia" w:ascii="宋体" w:hAnsi="宋体"/>
          <w:sz w:val="21"/>
          <w:szCs w:val="21"/>
        </w:rPr>
        <w:t>　　</w:t>
      </w:r>
      <w:r>
        <w:rPr>
          <w:rFonts w:ascii="宋体" w:hAnsi="宋体"/>
          <w:sz w:val="21"/>
          <w:szCs w:val="21"/>
        </w:rPr>
        <w:t>(6)</w:t>
      </w:r>
      <w:r>
        <w:rPr>
          <w:rFonts w:hint="eastAsia" w:ascii="宋体" w:hAnsi="宋体"/>
          <w:sz w:val="21"/>
          <w:szCs w:val="21"/>
        </w:rPr>
        <w:t>图纸；</w:t>
      </w:r>
    </w:p>
    <w:p>
      <w:pPr>
        <w:snapToGrid w:val="0"/>
        <w:spacing w:line="360" w:lineRule="auto"/>
        <w:rPr>
          <w:rFonts w:ascii="宋体" w:hAnsi="宋体"/>
          <w:sz w:val="21"/>
          <w:szCs w:val="21"/>
        </w:rPr>
      </w:pPr>
      <w:r>
        <w:rPr>
          <w:rFonts w:hint="eastAsia" w:ascii="宋体" w:hAnsi="宋体"/>
          <w:sz w:val="21"/>
          <w:szCs w:val="21"/>
        </w:rPr>
        <w:t>　　</w:t>
      </w:r>
      <w:r>
        <w:rPr>
          <w:rFonts w:ascii="宋体" w:hAnsi="宋体"/>
          <w:sz w:val="21"/>
          <w:szCs w:val="21"/>
        </w:rPr>
        <w:t>(7)</w:t>
      </w:r>
      <w:r>
        <w:rPr>
          <w:rFonts w:hint="eastAsia" w:ascii="宋体" w:hAnsi="宋体"/>
          <w:sz w:val="21"/>
          <w:szCs w:val="21"/>
        </w:rPr>
        <w:t>投标报价；</w:t>
      </w:r>
    </w:p>
    <w:p>
      <w:pPr>
        <w:snapToGrid w:val="0"/>
        <w:spacing w:line="360" w:lineRule="auto"/>
        <w:rPr>
          <w:rFonts w:ascii="宋体" w:hAnsi="宋体"/>
          <w:sz w:val="21"/>
          <w:szCs w:val="21"/>
        </w:rPr>
      </w:pPr>
      <w:r>
        <w:rPr>
          <w:rFonts w:hint="eastAsia" w:ascii="宋体" w:hAnsi="宋体"/>
          <w:sz w:val="21"/>
          <w:szCs w:val="21"/>
        </w:rPr>
        <w:t>　　</w:t>
      </w:r>
      <w:r>
        <w:rPr>
          <w:rFonts w:ascii="宋体" w:hAnsi="宋体"/>
          <w:sz w:val="21"/>
          <w:szCs w:val="21"/>
        </w:rPr>
        <w:t>(8)</w:t>
      </w:r>
      <w:r>
        <w:rPr>
          <w:rFonts w:hint="eastAsia" w:ascii="宋体" w:hAnsi="宋体"/>
          <w:sz w:val="21"/>
          <w:szCs w:val="21"/>
        </w:rPr>
        <w:t>其它合同文件。</w:t>
      </w:r>
    </w:p>
    <w:p>
      <w:pPr>
        <w:snapToGrid w:val="0"/>
        <w:spacing w:line="360" w:lineRule="auto"/>
        <w:rPr>
          <w:rFonts w:ascii="宋体" w:hAnsi="宋体"/>
          <w:sz w:val="21"/>
          <w:szCs w:val="21"/>
        </w:rPr>
      </w:pPr>
      <w:r>
        <w:rPr>
          <w:rFonts w:hint="eastAsia" w:ascii="宋体" w:hAnsi="宋体"/>
          <w:sz w:val="21"/>
          <w:szCs w:val="21"/>
        </w:rPr>
        <w:t>　　</w:t>
      </w:r>
      <w:r>
        <w:rPr>
          <w:rFonts w:ascii="宋体" w:hAnsi="宋体"/>
          <w:sz w:val="21"/>
          <w:szCs w:val="21"/>
        </w:rPr>
        <w:t>2.</w:t>
      </w:r>
      <w:r>
        <w:rPr>
          <w:rFonts w:hint="eastAsia" w:ascii="宋体" w:hAnsi="宋体"/>
          <w:sz w:val="21"/>
          <w:szCs w:val="21"/>
        </w:rPr>
        <w:t>上述文件互相补充和解释，如有不明确或不一致之处，以合同约定次序在先者为准。</w:t>
      </w:r>
    </w:p>
    <w:p>
      <w:pPr>
        <w:snapToGrid w:val="0"/>
        <w:spacing w:line="360" w:lineRule="auto"/>
        <w:rPr>
          <w:rFonts w:ascii="宋体" w:hAnsi="宋体"/>
          <w:sz w:val="21"/>
          <w:szCs w:val="21"/>
        </w:rPr>
      </w:pPr>
      <w:r>
        <w:rPr>
          <w:rFonts w:hint="eastAsia" w:ascii="宋体" w:hAnsi="宋体"/>
          <w:sz w:val="21"/>
          <w:szCs w:val="21"/>
        </w:rPr>
        <w:t>　　</w:t>
      </w:r>
      <w:r>
        <w:rPr>
          <w:rFonts w:ascii="宋体" w:hAnsi="宋体"/>
          <w:sz w:val="21"/>
          <w:szCs w:val="21"/>
        </w:rPr>
        <w:t>3.</w:t>
      </w:r>
      <w:r>
        <w:rPr>
          <w:rFonts w:hint="eastAsia" w:ascii="宋体" w:hAnsi="宋体"/>
          <w:sz w:val="21"/>
          <w:szCs w:val="21"/>
        </w:rPr>
        <w:t>签约合同价：人民币</w:t>
      </w:r>
      <w:r>
        <w:rPr>
          <w:rFonts w:ascii="宋体" w:hAnsi="宋体"/>
          <w:sz w:val="21"/>
          <w:szCs w:val="21"/>
        </w:rPr>
        <w:t>(</w:t>
      </w:r>
      <w:r>
        <w:rPr>
          <w:rFonts w:hint="eastAsia" w:ascii="宋体" w:hAnsi="宋体"/>
          <w:sz w:val="21"/>
          <w:szCs w:val="21"/>
        </w:rPr>
        <w:t>大写</w:t>
      </w:r>
      <w:r>
        <w:rPr>
          <w:rFonts w:ascii="宋体" w:hAnsi="宋体"/>
          <w:sz w:val="21"/>
          <w:szCs w:val="21"/>
        </w:rPr>
        <w:t>)</w:t>
      </w:r>
      <w:r>
        <w:rPr>
          <w:rFonts w:hint="eastAsia" w:ascii="宋体" w:hAnsi="宋体"/>
          <w:sz w:val="21"/>
          <w:szCs w:val="21"/>
          <w:u w:val="single"/>
        </w:rPr>
        <w:t>　　　　　</w:t>
      </w:r>
      <w:r>
        <w:rPr>
          <w:rFonts w:hint="eastAsia" w:ascii="宋体" w:hAnsi="宋体"/>
          <w:sz w:val="21"/>
          <w:szCs w:val="21"/>
        </w:rPr>
        <w:t>元</w:t>
      </w:r>
      <w:r>
        <w:rPr>
          <w:rFonts w:ascii="宋体" w:hAnsi="宋体"/>
          <w:sz w:val="21"/>
          <w:szCs w:val="21"/>
        </w:rPr>
        <w:t>(</w:t>
      </w:r>
      <w:r>
        <w:rPr>
          <w:rFonts w:hint="eastAsia" w:ascii="宋体" w:hAnsi="宋体"/>
          <w:sz w:val="21"/>
          <w:szCs w:val="21"/>
        </w:rPr>
        <w:t>￥</w:t>
      </w:r>
      <w:r>
        <w:rPr>
          <w:rFonts w:hint="eastAsia" w:ascii="宋体" w:hAnsi="宋体"/>
          <w:sz w:val="21"/>
          <w:szCs w:val="21"/>
          <w:u w:val="single"/>
        </w:rPr>
        <w:t>　　　　　</w:t>
      </w:r>
      <w:r>
        <w:rPr>
          <w:rFonts w:hint="eastAsia" w:ascii="宋体" w:hAnsi="宋体"/>
          <w:sz w:val="21"/>
          <w:szCs w:val="21"/>
        </w:rPr>
        <w:t>元</w:t>
      </w:r>
      <w:r>
        <w:rPr>
          <w:rFonts w:ascii="宋体" w:hAnsi="宋体"/>
          <w:sz w:val="21"/>
          <w:szCs w:val="21"/>
        </w:rPr>
        <w:t>)</w:t>
      </w:r>
      <w:r>
        <w:rPr>
          <w:rFonts w:hint="eastAsia" w:ascii="宋体" w:hAnsi="宋体"/>
          <w:sz w:val="21"/>
          <w:szCs w:val="21"/>
        </w:rPr>
        <w:t>,按全费用固定综合单价方式计。</w:t>
      </w:r>
    </w:p>
    <w:p>
      <w:pPr>
        <w:snapToGrid w:val="0"/>
        <w:spacing w:line="360" w:lineRule="auto"/>
        <w:rPr>
          <w:rFonts w:ascii="宋体" w:hAnsi="宋体"/>
          <w:sz w:val="21"/>
          <w:szCs w:val="21"/>
        </w:rPr>
      </w:pPr>
      <w:r>
        <w:rPr>
          <w:rFonts w:hint="eastAsia" w:ascii="宋体" w:hAnsi="宋体"/>
          <w:sz w:val="21"/>
          <w:szCs w:val="21"/>
        </w:rPr>
        <w:t>　　</w:t>
      </w:r>
      <w:r>
        <w:rPr>
          <w:rFonts w:ascii="宋体" w:hAnsi="宋体"/>
          <w:sz w:val="21"/>
          <w:szCs w:val="21"/>
        </w:rPr>
        <w:t>4.</w:t>
      </w:r>
      <w:r>
        <w:rPr>
          <w:rFonts w:hint="eastAsia" w:ascii="宋体" w:hAnsi="宋体"/>
          <w:sz w:val="21"/>
          <w:szCs w:val="21"/>
        </w:rPr>
        <w:t>承包人建造师：</w:t>
      </w:r>
      <w:r>
        <w:rPr>
          <w:rFonts w:hint="eastAsia" w:ascii="宋体" w:hAnsi="宋体"/>
          <w:sz w:val="21"/>
          <w:szCs w:val="21"/>
          <w:u w:val="single"/>
        </w:rPr>
        <w:t>　　　　</w:t>
      </w:r>
      <w:r>
        <w:rPr>
          <w:rFonts w:hint="eastAsia" w:ascii="宋体" w:hAnsi="宋体"/>
          <w:sz w:val="21"/>
          <w:szCs w:val="21"/>
        </w:rPr>
        <w:t>。</w:t>
      </w:r>
    </w:p>
    <w:p>
      <w:pPr>
        <w:snapToGrid w:val="0"/>
        <w:spacing w:line="360" w:lineRule="auto"/>
        <w:rPr>
          <w:rFonts w:ascii="宋体" w:hAnsi="宋体"/>
          <w:sz w:val="21"/>
          <w:szCs w:val="21"/>
        </w:rPr>
      </w:pPr>
      <w:r>
        <w:rPr>
          <w:rFonts w:hint="eastAsia" w:ascii="宋体" w:hAnsi="宋体"/>
          <w:sz w:val="21"/>
          <w:szCs w:val="21"/>
        </w:rPr>
        <w:t>　　</w:t>
      </w:r>
      <w:r>
        <w:rPr>
          <w:rFonts w:ascii="宋体" w:hAnsi="宋体"/>
          <w:sz w:val="21"/>
          <w:szCs w:val="21"/>
        </w:rPr>
        <w:t>5.</w:t>
      </w:r>
      <w:r>
        <w:rPr>
          <w:rFonts w:hint="eastAsia" w:ascii="宋体" w:hAnsi="宋体"/>
          <w:sz w:val="21"/>
          <w:szCs w:val="21"/>
        </w:rPr>
        <w:t>工程质量符合</w:t>
      </w:r>
      <w:r>
        <w:rPr>
          <w:rFonts w:hint="eastAsia" w:ascii="宋体" w:hAnsi="宋体"/>
          <w:sz w:val="21"/>
          <w:szCs w:val="21"/>
          <w:u w:val="single"/>
        </w:rPr>
        <w:t>　　　　</w:t>
      </w:r>
      <w:r>
        <w:rPr>
          <w:rFonts w:hint="eastAsia" w:ascii="宋体" w:hAnsi="宋体"/>
          <w:sz w:val="21"/>
          <w:szCs w:val="21"/>
        </w:rPr>
        <w:t>标准。</w:t>
      </w:r>
    </w:p>
    <w:p>
      <w:pPr>
        <w:snapToGrid w:val="0"/>
        <w:spacing w:line="360" w:lineRule="auto"/>
        <w:rPr>
          <w:rFonts w:ascii="宋体" w:hAnsi="宋体"/>
          <w:sz w:val="21"/>
          <w:szCs w:val="21"/>
        </w:rPr>
      </w:pPr>
      <w:r>
        <w:rPr>
          <w:rFonts w:hint="eastAsia" w:ascii="宋体" w:hAnsi="宋体"/>
          <w:sz w:val="21"/>
          <w:szCs w:val="21"/>
        </w:rPr>
        <w:t>　　</w:t>
      </w:r>
      <w:r>
        <w:rPr>
          <w:rFonts w:ascii="宋体" w:hAnsi="宋体"/>
          <w:sz w:val="21"/>
          <w:szCs w:val="21"/>
        </w:rPr>
        <w:t>6.</w:t>
      </w:r>
      <w:r>
        <w:rPr>
          <w:rFonts w:hint="eastAsia" w:ascii="宋体" w:hAnsi="宋体"/>
          <w:sz w:val="21"/>
          <w:szCs w:val="21"/>
        </w:rPr>
        <w:t>承包人承诺按合同约定承担工程的实施、完成及缺陷修复。</w:t>
      </w:r>
    </w:p>
    <w:p>
      <w:pPr>
        <w:snapToGrid w:val="0"/>
        <w:spacing w:line="360" w:lineRule="auto"/>
        <w:rPr>
          <w:rFonts w:ascii="宋体" w:hAnsi="宋体"/>
          <w:sz w:val="21"/>
          <w:szCs w:val="21"/>
        </w:rPr>
      </w:pPr>
      <w:r>
        <w:rPr>
          <w:rFonts w:hint="eastAsia" w:ascii="宋体" w:hAnsi="宋体"/>
          <w:sz w:val="21"/>
          <w:szCs w:val="21"/>
        </w:rPr>
        <w:t>　　</w:t>
      </w:r>
      <w:r>
        <w:rPr>
          <w:rFonts w:ascii="宋体" w:hAnsi="宋体"/>
          <w:sz w:val="21"/>
          <w:szCs w:val="21"/>
        </w:rPr>
        <w:t>7.</w:t>
      </w:r>
      <w:r>
        <w:rPr>
          <w:rFonts w:hint="eastAsia" w:ascii="宋体" w:hAnsi="宋体"/>
          <w:sz w:val="21"/>
          <w:szCs w:val="21"/>
        </w:rPr>
        <w:t>发包人承诺按合同约定的条件、时间和方式向承包人支付合同价款。</w:t>
      </w:r>
    </w:p>
    <w:p>
      <w:pPr>
        <w:snapToGrid w:val="0"/>
        <w:spacing w:line="360" w:lineRule="auto"/>
        <w:rPr>
          <w:rFonts w:ascii="宋体" w:hAnsi="宋体"/>
          <w:sz w:val="21"/>
          <w:szCs w:val="21"/>
        </w:rPr>
      </w:pPr>
      <w:r>
        <w:rPr>
          <w:rFonts w:hint="eastAsia" w:ascii="宋体" w:hAnsi="宋体"/>
          <w:sz w:val="21"/>
          <w:szCs w:val="21"/>
        </w:rPr>
        <w:t>　　</w:t>
      </w:r>
      <w:r>
        <w:rPr>
          <w:rFonts w:ascii="宋体" w:hAnsi="宋体"/>
          <w:sz w:val="21"/>
          <w:szCs w:val="21"/>
        </w:rPr>
        <w:t>8.</w:t>
      </w:r>
      <w:r>
        <w:rPr>
          <w:rFonts w:hint="eastAsia" w:ascii="宋体" w:hAnsi="宋体"/>
          <w:sz w:val="21"/>
          <w:szCs w:val="21"/>
        </w:rPr>
        <w:t>承包人承诺执行监理人开工通知，计划工期为</w:t>
      </w:r>
      <w:r>
        <w:rPr>
          <w:rFonts w:hint="eastAsia" w:ascii="宋体" w:hAnsi="宋体"/>
          <w:sz w:val="21"/>
          <w:szCs w:val="21"/>
          <w:u w:val="single"/>
        </w:rPr>
        <w:t>　　　</w:t>
      </w:r>
      <w:r>
        <w:rPr>
          <w:rFonts w:hint="eastAsia" w:ascii="宋体" w:hAnsi="宋体"/>
          <w:sz w:val="21"/>
          <w:szCs w:val="21"/>
        </w:rPr>
        <w:t>天。</w:t>
      </w:r>
    </w:p>
    <w:p>
      <w:pPr>
        <w:snapToGrid w:val="0"/>
        <w:spacing w:line="360" w:lineRule="auto"/>
        <w:rPr>
          <w:rFonts w:ascii="宋体" w:hAnsi="宋体"/>
          <w:sz w:val="21"/>
          <w:szCs w:val="21"/>
        </w:rPr>
      </w:pPr>
      <w:r>
        <w:rPr>
          <w:rFonts w:hint="eastAsia" w:ascii="宋体" w:hAnsi="宋体"/>
          <w:sz w:val="21"/>
          <w:szCs w:val="21"/>
        </w:rPr>
        <w:t>　　</w:t>
      </w:r>
      <w:r>
        <w:rPr>
          <w:rFonts w:ascii="宋体" w:hAnsi="宋体"/>
          <w:sz w:val="21"/>
          <w:szCs w:val="21"/>
        </w:rPr>
        <w:t>9.</w:t>
      </w:r>
      <w:r>
        <w:rPr>
          <w:rFonts w:hint="eastAsia" w:ascii="宋体" w:hAnsi="宋体"/>
          <w:sz w:val="21"/>
          <w:szCs w:val="21"/>
        </w:rPr>
        <w:t>本协议书一式</w:t>
      </w:r>
      <w:r>
        <w:rPr>
          <w:rFonts w:hint="eastAsia" w:ascii="宋体" w:hAnsi="宋体"/>
          <w:sz w:val="21"/>
          <w:szCs w:val="21"/>
          <w:u w:val="single"/>
        </w:rPr>
        <w:t>　　</w:t>
      </w:r>
      <w:r>
        <w:rPr>
          <w:rFonts w:hint="eastAsia" w:ascii="宋体" w:hAnsi="宋体"/>
          <w:sz w:val="21"/>
          <w:szCs w:val="21"/>
        </w:rPr>
        <w:t>份，合同双方各执</w:t>
      </w:r>
      <w:r>
        <w:rPr>
          <w:rFonts w:ascii="宋体" w:hAnsi="宋体"/>
          <w:sz w:val="21"/>
          <w:szCs w:val="21"/>
          <w:u w:val="single"/>
        </w:rPr>
        <w:t xml:space="preserve">    </w:t>
      </w:r>
      <w:r>
        <w:rPr>
          <w:rFonts w:hint="eastAsia" w:ascii="宋体" w:hAnsi="宋体"/>
          <w:sz w:val="21"/>
          <w:szCs w:val="21"/>
        </w:rPr>
        <w:t>份。</w:t>
      </w:r>
    </w:p>
    <w:p>
      <w:pPr>
        <w:snapToGrid w:val="0"/>
        <w:spacing w:line="360" w:lineRule="auto"/>
        <w:rPr>
          <w:rFonts w:ascii="宋体" w:hAnsi="宋体"/>
          <w:sz w:val="21"/>
          <w:szCs w:val="21"/>
        </w:rPr>
      </w:pPr>
      <w:r>
        <w:rPr>
          <w:rFonts w:hint="eastAsia" w:ascii="宋体" w:hAnsi="宋体"/>
          <w:sz w:val="21"/>
          <w:szCs w:val="21"/>
        </w:rPr>
        <w:t>　　</w:t>
      </w:r>
      <w:r>
        <w:rPr>
          <w:rFonts w:ascii="宋体" w:hAnsi="宋体"/>
          <w:sz w:val="21"/>
          <w:szCs w:val="21"/>
        </w:rPr>
        <w:t>10.</w:t>
      </w:r>
      <w:r>
        <w:rPr>
          <w:rFonts w:hint="eastAsia" w:ascii="宋体" w:hAnsi="宋体"/>
          <w:sz w:val="21"/>
          <w:szCs w:val="21"/>
        </w:rPr>
        <w:t>合同未尽事宜，双方另行签订补充协议。补充协议是合同的组成部分。</w:t>
      </w:r>
    </w:p>
    <w:p>
      <w:pPr>
        <w:snapToGrid w:val="0"/>
        <w:spacing w:line="360" w:lineRule="auto"/>
        <w:rPr>
          <w:rFonts w:ascii="宋体" w:hAnsi="宋体"/>
          <w:sz w:val="21"/>
          <w:szCs w:val="21"/>
        </w:rPr>
      </w:pPr>
    </w:p>
    <w:p>
      <w:pPr>
        <w:snapToGrid w:val="0"/>
        <w:spacing w:line="360" w:lineRule="auto"/>
        <w:rPr>
          <w:rFonts w:ascii="宋体" w:hAnsi="宋体"/>
          <w:sz w:val="21"/>
          <w:szCs w:val="21"/>
        </w:rPr>
      </w:pPr>
      <w:r>
        <w:rPr>
          <w:rFonts w:hint="eastAsia" w:ascii="宋体" w:hAnsi="宋体"/>
          <w:sz w:val="21"/>
          <w:szCs w:val="21"/>
        </w:rPr>
        <w:t>发包人：</w:t>
      </w:r>
      <w:r>
        <w:rPr>
          <w:rFonts w:hint="eastAsia" w:ascii="宋体" w:hAnsi="宋体"/>
          <w:sz w:val="21"/>
          <w:szCs w:val="21"/>
          <w:u w:val="single"/>
        </w:rPr>
        <w:t>　　　　　　　　　</w:t>
      </w:r>
      <w:r>
        <w:rPr>
          <w:rFonts w:ascii="宋体" w:hAnsi="宋体"/>
          <w:sz w:val="21"/>
          <w:szCs w:val="21"/>
        </w:rPr>
        <w:t>(</w:t>
      </w:r>
      <w:r>
        <w:rPr>
          <w:rFonts w:hint="eastAsia" w:ascii="宋体" w:hAnsi="宋体"/>
          <w:sz w:val="21"/>
          <w:szCs w:val="21"/>
        </w:rPr>
        <w:t>盖单位章</w:t>
      </w:r>
      <w:r>
        <w:rPr>
          <w:rFonts w:ascii="宋体" w:hAnsi="宋体"/>
          <w:sz w:val="21"/>
          <w:szCs w:val="21"/>
        </w:rPr>
        <w:t>)</w:t>
      </w:r>
      <w:r>
        <w:rPr>
          <w:rFonts w:hint="eastAsia" w:ascii="宋体" w:hAnsi="宋体"/>
          <w:sz w:val="21"/>
          <w:szCs w:val="21"/>
        </w:rPr>
        <w:t>　　　承包人：</w:t>
      </w:r>
      <w:r>
        <w:rPr>
          <w:rFonts w:hint="eastAsia" w:ascii="宋体" w:hAnsi="宋体"/>
          <w:sz w:val="21"/>
          <w:szCs w:val="21"/>
          <w:u w:val="single"/>
        </w:rPr>
        <w:t>　　　　　　　　　　　　　</w:t>
      </w:r>
      <w:r>
        <w:rPr>
          <w:rFonts w:ascii="宋体" w:hAnsi="宋体"/>
          <w:sz w:val="21"/>
          <w:szCs w:val="21"/>
        </w:rPr>
        <w:t>(</w:t>
      </w:r>
      <w:r>
        <w:rPr>
          <w:rFonts w:hint="eastAsia" w:ascii="宋体" w:hAnsi="宋体"/>
          <w:sz w:val="21"/>
          <w:szCs w:val="21"/>
        </w:rPr>
        <w:t>盖单位章</w:t>
      </w:r>
      <w:r>
        <w:rPr>
          <w:rFonts w:ascii="宋体" w:hAnsi="宋体"/>
          <w:sz w:val="21"/>
          <w:szCs w:val="21"/>
        </w:rPr>
        <w:t>)</w:t>
      </w:r>
    </w:p>
    <w:p>
      <w:pPr>
        <w:snapToGrid w:val="0"/>
        <w:spacing w:line="360" w:lineRule="auto"/>
        <w:rPr>
          <w:rFonts w:ascii="宋体" w:hAnsi="宋体"/>
          <w:sz w:val="21"/>
          <w:szCs w:val="21"/>
        </w:rPr>
      </w:pPr>
    </w:p>
    <w:p>
      <w:pPr>
        <w:snapToGrid w:val="0"/>
        <w:spacing w:line="360" w:lineRule="auto"/>
        <w:rPr>
          <w:rFonts w:ascii="宋体" w:hAnsi="宋体"/>
          <w:sz w:val="21"/>
          <w:szCs w:val="21"/>
        </w:rPr>
      </w:pPr>
      <w:r>
        <w:rPr>
          <w:rFonts w:hint="eastAsia" w:ascii="宋体" w:hAnsi="宋体"/>
          <w:sz w:val="21"/>
          <w:szCs w:val="21"/>
        </w:rPr>
        <w:t>法定代表人或其委托代理人：</w:t>
      </w:r>
      <w:r>
        <w:rPr>
          <w:rFonts w:hint="eastAsia" w:ascii="宋体" w:hAnsi="宋体"/>
          <w:sz w:val="21"/>
          <w:szCs w:val="21"/>
          <w:u w:val="single"/>
        </w:rPr>
        <w:t>　　　　</w:t>
      </w:r>
      <w:r>
        <w:rPr>
          <w:rFonts w:ascii="宋体" w:hAnsi="宋体"/>
          <w:sz w:val="21"/>
          <w:szCs w:val="21"/>
        </w:rPr>
        <w:t>(</w:t>
      </w:r>
      <w:r>
        <w:rPr>
          <w:rFonts w:hint="eastAsia" w:ascii="宋体" w:hAnsi="宋体"/>
          <w:sz w:val="21"/>
          <w:szCs w:val="21"/>
        </w:rPr>
        <w:t>签字</w:t>
      </w:r>
      <w:r>
        <w:rPr>
          <w:rFonts w:ascii="宋体" w:hAnsi="宋体"/>
          <w:sz w:val="21"/>
          <w:szCs w:val="21"/>
        </w:rPr>
        <w:t>)</w:t>
      </w:r>
      <w:r>
        <w:rPr>
          <w:rFonts w:hint="eastAsia" w:ascii="宋体" w:hAnsi="宋体"/>
          <w:sz w:val="21"/>
          <w:szCs w:val="21"/>
        </w:rPr>
        <w:t>　法定代表人或其委托代理人：</w:t>
      </w:r>
      <w:r>
        <w:rPr>
          <w:rFonts w:hint="eastAsia" w:ascii="宋体" w:hAnsi="宋体"/>
          <w:sz w:val="21"/>
          <w:szCs w:val="21"/>
          <w:u w:val="single"/>
        </w:rPr>
        <w:t>　　　　　　</w:t>
      </w:r>
      <w:r>
        <w:rPr>
          <w:rFonts w:ascii="宋体" w:hAnsi="宋体"/>
          <w:sz w:val="21"/>
          <w:szCs w:val="21"/>
        </w:rPr>
        <w:t>(</w:t>
      </w:r>
      <w:r>
        <w:rPr>
          <w:rFonts w:hint="eastAsia" w:ascii="宋体" w:hAnsi="宋体"/>
          <w:sz w:val="21"/>
          <w:szCs w:val="21"/>
        </w:rPr>
        <w:t>签字</w:t>
      </w:r>
      <w:r>
        <w:rPr>
          <w:rFonts w:ascii="宋体" w:hAnsi="宋体"/>
          <w:sz w:val="21"/>
          <w:szCs w:val="21"/>
        </w:rPr>
        <w:t>)</w:t>
      </w:r>
    </w:p>
    <w:p>
      <w:pPr>
        <w:snapToGrid w:val="0"/>
        <w:spacing w:line="360" w:lineRule="auto"/>
        <w:rPr>
          <w:rFonts w:ascii="宋体" w:hAnsi="宋体"/>
          <w:sz w:val="21"/>
          <w:szCs w:val="21"/>
        </w:rPr>
      </w:pPr>
      <w:r>
        <w:rPr>
          <w:rFonts w:hint="eastAsia" w:ascii="宋体" w:hAnsi="宋体"/>
          <w:sz w:val="21"/>
          <w:szCs w:val="21"/>
        </w:rPr>
        <w:t>　　　　</w:t>
      </w:r>
    </w:p>
    <w:p>
      <w:pPr>
        <w:snapToGrid w:val="0"/>
        <w:spacing w:line="360" w:lineRule="auto"/>
        <w:rPr>
          <w:rFonts w:hint="eastAsia" w:ascii="宋体" w:hAnsi="宋体"/>
          <w:b/>
          <w:color w:val="000000"/>
          <w:sz w:val="21"/>
          <w:szCs w:val="21"/>
        </w:rPr>
      </w:pPr>
      <w:r>
        <w:rPr>
          <w:rFonts w:hint="eastAsia" w:ascii="宋体" w:hAnsi="宋体"/>
          <w:sz w:val="21"/>
          <w:szCs w:val="21"/>
        </w:rPr>
        <w:t>　　</w:t>
      </w:r>
      <w:r>
        <w:rPr>
          <w:rFonts w:ascii="宋体" w:hAnsi="宋体"/>
          <w:sz w:val="21"/>
          <w:szCs w:val="21"/>
        </w:rPr>
        <w:t xml:space="preserve">              </w:t>
      </w:r>
      <w:r>
        <w:rPr>
          <w:rFonts w:hint="eastAsia" w:ascii="宋体" w:hAnsi="宋体"/>
          <w:sz w:val="21"/>
          <w:szCs w:val="21"/>
          <w:u w:val="single"/>
        </w:rPr>
        <w:t>　　</w:t>
      </w:r>
      <w:r>
        <w:rPr>
          <w:rFonts w:ascii="宋体" w:hAnsi="宋体"/>
          <w:sz w:val="21"/>
          <w:szCs w:val="21"/>
          <w:u w:val="single"/>
        </w:rPr>
        <w:t xml:space="preserve">   </w:t>
      </w:r>
      <w:r>
        <w:rPr>
          <w:rFonts w:hint="eastAsia" w:ascii="宋体" w:hAnsi="宋体"/>
          <w:sz w:val="21"/>
          <w:szCs w:val="21"/>
        </w:rPr>
        <w:t>年</w:t>
      </w:r>
      <w:r>
        <w:rPr>
          <w:rFonts w:hint="eastAsia" w:ascii="宋体" w:hAnsi="宋体"/>
          <w:sz w:val="21"/>
          <w:szCs w:val="21"/>
          <w:u w:val="single"/>
        </w:rPr>
        <w:t>　　</w:t>
      </w:r>
      <w:r>
        <w:rPr>
          <w:rFonts w:hint="eastAsia" w:ascii="宋体" w:hAnsi="宋体"/>
          <w:sz w:val="21"/>
          <w:szCs w:val="21"/>
        </w:rPr>
        <w:t>月</w:t>
      </w:r>
      <w:r>
        <w:rPr>
          <w:rFonts w:hint="eastAsia" w:ascii="宋体" w:hAnsi="宋体"/>
          <w:sz w:val="21"/>
          <w:szCs w:val="21"/>
          <w:u w:val="single"/>
        </w:rPr>
        <w:t>　　</w:t>
      </w:r>
      <w:r>
        <w:rPr>
          <w:rFonts w:hint="eastAsia" w:ascii="宋体" w:hAnsi="宋体"/>
          <w:sz w:val="21"/>
          <w:szCs w:val="21"/>
        </w:rPr>
        <w:t>日　　　　　　</w:t>
      </w:r>
      <w:r>
        <w:rPr>
          <w:rFonts w:ascii="宋体" w:hAnsi="宋体"/>
          <w:sz w:val="21"/>
          <w:szCs w:val="21"/>
        </w:rPr>
        <w:t xml:space="preserve">      </w:t>
      </w:r>
      <w:r>
        <w:rPr>
          <w:rFonts w:hint="eastAsia" w:ascii="宋体" w:hAnsi="宋体"/>
          <w:sz w:val="21"/>
          <w:szCs w:val="21"/>
        </w:rPr>
        <w:t>　</w:t>
      </w:r>
      <w:r>
        <w:rPr>
          <w:rFonts w:hint="eastAsia" w:ascii="宋体" w:hAnsi="宋体"/>
          <w:sz w:val="21"/>
          <w:szCs w:val="21"/>
          <w:u w:val="single"/>
        </w:rPr>
        <w:t>　　　</w:t>
      </w:r>
      <w:r>
        <w:rPr>
          <w:rFonts w:hint="eastAsia" w:ascii="宋体" w:hAnsi="宋体"/>
          <w:sz w:val="21"/>
          <w:szCs w:val="21"/>
        </w:rPr>
        <w:t>年</w:t>
      </w:r>
      <w:r>
        <w:rPr>
          <w:rFonts w:hint="eastAsia" w:ascii="宋体" w:hAnsi="宋体"/>
          <w:sz w:val="21"/>
          <w:szCs w:val="21"/>
          <w:u w:val="single"/>
        </w:rPr>
        <w:t>　　</w:t>
      </w:r>
      <w:r>
        <w:rPr>
          <w:rFonts w:hint="eastAsia" w:ascii="宋体" w:hAnsi="宋体"/>
          <w:sz w:val="21"/>
          <w:szCs w:val="21"/>
        </w:rPr>
        <w:t>月</w:t>
      </w:r>
      <w:r>
        <w:rPr>
          <w:rFonts w:hint="eastAsia" w:ascii="宋体" w:hAnsi="宋体"/>
          <w:sz w:val="21"/>
          <w:szCs w:val="21"/>
          <w:u w:val="single"/>
        </w:rPr>
        <w:t>　　</w:t>
      </w:r>
      <w:r>
        <w:rPr>
          <w:rFonts w:hint="eastAsia" w:ascii="宋体" w:hAnsi="宋体"/>
          <w:sz w:val="21"/>
          <w:szCs w:val="21"/>
        </w:rPr>
        <w:t>日</w:t>
      </w:r>
    </w:p>
    <w:p>
      <w:pPr>
        <w:snapToGrid w:val="0"/>
        <w:spacing w:line="340" w:lineRule="exact"/>
        <w:jc w:val="left"/>
        <w:rPr>
          <w:rFonts w:hint="eastAsia" w:ascii="宋体" w:hAnsi="宋体"/>
          <w:b/>
          <w:color w:val="000000"/>
          <w:sz w:val="21"/>
          <w:szCs w:val="21"/>
        </w:rPr>
      </w:pPr>
      <w:r>
        <w:rPr>
          <w:rFonts w:hint="eastAsia" w:ascii="宋体" w:hAnsi="宋体" w:eastAsia="宋体" w:cs="宋体"/>
          <w:color w:val="auto"/>
          <w:sz w:val="21"/>
          <w:szCs w:val="21"/>
          <w:highlight w:val="none"/>
        </w:rPr>
        <w:t>附件</w:t>
      </w:r>
      <w:r>
        <w:rPr>
          <w:rFonts w:hint="eastAsia" w:ascii="宋体" w:hAnsi="宋体" w:eastAsia="宋体" w:cs="宋体"/>
          <w:color w:val="auto"/>
          <w:sz w:val="21"/>
          <w:szCs w:val="21"/>
          <w:highlight w:val="none"/>
          <w:lang w:val="en-US" w:eastAsia="zh-CN"/>
        </w:rPr>
        <w:t>二：</w:t>
      </w:r>
    </w:p>
    <w:p>
      <w:pPr>
        <w:snapToGrid w:val="0"/>
        <w:spacing w:line="340" w:lineRule="exact"/>
        <w:jc w:val="center"/>
        <w:rPr>
          <w:rFonts w:hint="eastAsia" w:ascii="宋体" w:hAnsi="宋体"/>
          <w:b/>
          <w:color w:val="000000"/>
          <w:sz w:val="21"/>
          <w:szCs w:val="21"/>
        </w:rPr>
      </w:pPr>
    </w:p>
    <w:p>
      <w:pPr>
        <w:snapToGrid w:val="0"/>
        <w:spacing w:line="340" w:lineRule="exact"/>
        <w:jc w:val="center"/>
        <w:rPr>
          <w:rFonts w:ascii="宋体" w:hAnsi="宋体"/>
          <w:b/>
          <w:color w:val="000000"/>
          <w:sz w:val="21"/>
          <w:szCs w:val="21"/>
        </w:rPr>
      </w:pPr>
      <w:r>
        <w:rPr>
          <w:rFonts w:hint="eastAsia" w:ascii="宋体" w:hAnsi="宋体"/>
          <w:b/>
          <w:color w:val="000000"/>
          <w:sz w:val="21"/>
          <w:szCs w:val="21"/>
        </w:rPr>
        <w:t>工程质量保修书</w:t>
      </w:r>
    </w:p>
    <w:p>
      <w:pPr>
        <w:snapToGrid w:val="0"/>
        <w:spacing w:line="340" w:lineRule="exact"/>
        <w:jc w:val="center"/>
        <w:rPr>
          <w:rFonts w:ascii="宋体" w:hAnsi="宋体"/>
          <w:b/>
          <w:color w:val="000000"/>
          <w:sz w:val="21"/>
          <w:szCs w:val="21"/>
        </w:rPr>
      </w:pPr>
    </w:p>
    <w:p>
      <w:pPr>
        <w:snapToGrid w:val="0"/>
        <w:spacing w:line="340" w:lineRule="exact"/>
        <w:ind w:firstLine="480"/>
        <w:rPr>
          <w:rFonts w:ascii="宋体" w:hAnsi="宋体"/>
          <w:color w:val="000000"/>
          <w:sz w:val="21"/>
          <w:szCs w:val="21"/>
        </w:rPr>
      </w:pPr>
      <w:r>
        <w:rPr>
          <w:rFonts w:hint="eastAsia" w:ascii="宋体" w:hAnsi="宋体"/>
          <w:color w:val="000000"/>
          <w:sz w:val="21"/>
          <w:szCs w:val="21"/>
        </w:rPr>
        <w:t>发包人（全称）：</w:t>
      </w:r>
      <w:r>
        <w:rPr>
          <w:rFonts w:hint="eastAsia" w:ascii="宋体" w:hAnsi="宋体"/>
          <w:color w:val="000000"/>
          <w:sz w:val="21"/>
          <w:szCs w:val="21"/>
          <w:u w:val="single"/>
        </w:rPr>
        <w:t xml:space="preserve">  </w:t>
      </w:r>
      <w:r>
        <w:rPr>
          <w:rFonts w:hint="eastAsia" w:ascii="宋体" w:hAnsi="宋体"/>
          <w:color w:val="000000"/>
          <w:sz w:val="21"/>
          <w:szCs w:val="21"/>
          <w:u w:val="single"/>
          <w:lang w:val="en-US" w:eastAsia="zh-CN"/>
        </w:rPr>
        <w:t xml:space="preserve">                 </w:t>
      </w:r>
      <w:r>
        <w:rPr>
          <w:rFonts w:hint="eastAsia" w:ascii="宋体" w:hAnsi="宋体"/>
          <w:color w:val="000000"/>
          <w:sz w:val="21"/>
          <w:szCs w:val="21"/>
          <w:u w:val="single"/>
        </w:rPr>
        <w:t xml:space="preserve"> </w:t>
      </w:r>
    </w:p>
    <w:p>
      <w:pPr>
        <w:snapToGrid w:val="0"/>
        <w:spacing w:line="360" w:lineRule="auto"/>
        <w:ind w:firstLine="420" w:firstLineChars="200"/>
        <w:rPr>
          <w:rFonts w:hint="default" w:ascii="宋体" w:hAnsi="宋体" w:eastAsia="宋体"/>
          <w:color w:val="000000"/>
          <w:sz w:val="21"/>
          <w:szCs w:val="21"/>
          <w:u w:val="single"/>
          <w:lang w:val="en-US" w:eastAsia="zh-CN"/>
        </w:rPr>
      </w:pPr>
      <w:r>
        <w:rPr>
          <w:rFonts w:hint="eastAsia" w:ascii="宋体" w:hAnsi="宋体"/>
          <w:color w:val="000000"/>
          <w:sz w:val="21"/>
          <w:szCs w:val="21"/>
        </w:rPr>
        <w:t>承包人（全称）：</w:t>
      </w:r>
      <w:r>
        <w:rPr>
          <w:rFonts w:ascii="宋体" w:hAnsi="宋体"/>
          <w:color w:val="000000"/>
          <w:sz w:val="21"/>
          <w:szCs w:val="21"/>
          <w:u w:val="single"/>
        </w:rPr>
        <w:t xml:space="preserve"> </w:t>
      </w:r>
      <w:r>
        <w:rPr>
          <w:rFonts w:hint="eastAsia" w:ascii="宋体" w:hAnsi="宋体"/>
          <w:color w:val="000000"/>
          <w:sz w:val="21"/>
          <w:szCs w:val="21"/>
          <w:u w:val="single"/>
          <w:lang w:val="en-US" w:eastAsia="zh-CN"/>
        </w:rPr>
        <w:t xml:space="preserve">                    </w:t>
      </w:r>
    </w:p>
    <w:p>
      <w:pPr>
        <w:snapToGrid w:val="0"/>
        <w:spacing w:line="360" w:lineRule="auto"/>
        <w:jc w:val="center"/>
        <w:rPr>
          <w:rFonts w:ascii="宋体" w:hAnsi="宋体"/>
          <w:color w:val="000000"/>
          <w:sz w:val="21"/>
          <w:szCs w:val="21"/>
        </w:rPr>
      </w:pPr>
      <w:r>
        <w:rPr>
          <w:rFonts w:hint="eastAsia" w:ascii="宋体" w:hAnsi="宋体"/>
          <w:color w:val="000000"/>
          <w:sz w:val="21"/>
          <w:szCs w:val="21"/>
        </w:rPr>
        <w:t xml:space="preserve">    为保证</w:t>
      </w:r>
      <w:r>
        <w:rPr>
          <w:rFonts w:hint="eastAsia" w:ascii="宋体" w:hAnsi="宋体"/>
          <w:color w:val="000000"/>
          <w:sz w:val="21"/>
          <w:szCs w:val="21"/>
          <w:u w:val="single"/>
        </w:rPr>
        <w:t xml:space="preserve">               （</w:t>
      </w:r>
      <w:r>
        <w:rPr>
          <w:rFonts w:hint="eastAsia" w:ascii="宋体" w:hAnsi="宋体"/>
          <w:color w:val="000000"/>
          <w:sz w:val="21"/>
          <w:szCs w:val="21"/>
        </w:rPr>
        <w:t>工程名称）在合理使用期限内正常使用，发包人承包人协商一致签订工程质量保修书。承包人在质量保修期内按照有关管理规定及双方约定承担工程质量保修责任。</w:t>
      </w:r>
    </w:p>
    <w:p>
      <w:pPr>
        <w:snapToGrid w:val="0"/>
        <w:spacing w:line="340" w:lineRule="exact"/>
        <w:rPr>
          <w:rFonts w:ascii="宋体" w:hAnsi="宋体"/>
          <w:color w:val="000000"/>
          <w:sz w:val="21"/>
          <w:szCs w:val="21"/>
        </w:rPr>
      </w:pPr>
      <w:r>
        <w:rPr>
          <w:rFonts w:hint="eastAsia" w:ascii="宋体" w:hAnsi="宋体"/>
          <w:color w:val="000000"/>
          <w:sz w:val="21"/>
          <w:szCs w:val="21"/>
        </w:rPr>
        <w:t xml:space="preserve">    一、工程质量保修范围和内容</w:t>
      </w:r>
    </w:p>
    <w:p>
      <w:pPr>
        <w:snapToGrid w:val="0"/>
        <w:spacing w:line="340" w:lineRule="exact"/>
        <w:rPr>
          <w:rFonts w:ascii="宋体" w:hAnsi="宋体"/>
          <w:color w:val="000000"/>
          <w:sz w:val="21"/>
          <w:szCs w:val="21"/>
        </w:rPr>
      </w:pPr>
      <w:r>
        <w:rPr>
          <w:rFonts w:hint="eastAsia" w:ascii="宋体" w:hAnsi="宋体"/>
          <w:color w:val="000000"/>
          <w:sz w:val="21"/>
          <w:szCs w:val="21"/>
        </w:rPr>
        <w:t xml:space="preserve">    质量保修范围包括</w:t>
      </w:r>
      <w:r>
        <w:rPr>
          <w:rFonts w:hint="eastAsia" w:ascii="宋体" w:hAnsi="宋体"/>
          <w:sz w:val="21"/>
          <w:szCs w:val="21"/>
          <w:u w:val="single"/>
        </w:rPr>
        <w:t xml:space="preserve">                            </w:t>
      </w:r>
      <w:r>
        <w:rPr>
          <w:rFonts w:hint="eastAsia" w:ascii="宋体" w:hAnsi="宋体"/>
          <w:snapToGrid w:val="0"/>
          <w:color w:val="000000"/>
          <w:sz w:val="21"/>
          <w:szCs w:val="21"/>
        </w:rPr>
        <w:t>等</w:t>
      </w:r>
      <w:r>
        <w:rPr>
          <w:rFonts w:hint="eastAsia" w:ascii="宋体" w:hAnsi="宋体"/>
          <w:color w:val="000000"/>
          <w:sz w:val="21"/>
          <w:szCs w:val="21"/>
        </w:rPr>
        <w:t>工程，具体质量保修内容双方约定如下：</w:t>
      </w:r>
      <w:r>
        <w:rPr>
          <w:rFonts w:hint="eastAsia" w:ascii="宋体" w:hAnsi="宋体"/>
          <w:color w:val="000000"/>
          <w:sz w:val="21"/>
          <w:szCs w:val="21"/>
          <w:u w:val="single"/>
        </w:rPr>
        <w:t xml:space="preserve"> </w:t>
      </w:r>
      <w:r>
        <w:rPr>
          <w:rFonts w:hint="eastAsia" w:ascii="宋体" w:hAnsi="宋体"/>
          <w:b/>
          <w:color w:val="000000"/>
          <w:sz w:val="21"/>
          <w:szCs w:val="21"/>
          <w:u w:val="single"/>
        </w:rPr>
        <w:t>按现行国家有关法律、法规规定的承包人所有承包范围内项目工程质量缺陷。</w:t>
      </w:r>
      <w:r>
        <w:rPr>
          <w:rFonts w:hint="eastAsia" w:ascii="宋体" w:hAnsi="宋体"/>
          <w:color w:val="000000"/>
          <w:sz w:val="21"/>
          <w:szCs w:val="21"/>
          <w:u w:val="single"/>
        </w:rPr>
        <w:t xml:space="preserve">                                                                                                                         </w:t>
      </w:r>
    </w:p>
    <w:p>
      <w:pPr>
        <w:snapToGrid w:val="0"/>
        <w:spacing w:line="340" w:lineRule="exact"/>
        <w:rPr>
          <w:rFonts w:ascii="宋体" w:hAnsi="宋体"/>
          <w:color w:val="000000"/>
          <w:sz w:val="21"/>
          <w:szCs w:val="21"/>
        </w:rPr>
      </w:pPr>
      <w:r>
        <w:rPr>
          <w:rFonts w:hint="eastAsia" w:ascii="宋体" w:hAnsi="宋体"/>
          <w:color w:val="000000"/>
          <w:sz w:val="21"/>
          <w:szCs w:val="21"/>
        </w:rPr>
        <w:t xml:space="preserve">    二、质量保修期</w:t>
      </w:r>
    </w:p>
    <w:p>
      <w:pPr>
        <w:snapToGrid w:val="0"/>
        <w:spacing w:line="340" w:lineRule="exact"/>
        <w:rPr>
          <w:rFonts w:ascii="宋体" w:hAnsi="宋体"/>
          <w:color w:val="000000"/>
          <w:sz w:val="21"/>
          <w:szCs w:val="21"/>
        </w:rPr>
      </w:pPr>
      <w:r>
        <w:rPr>
          <w:rFonts w:hint="eastAsia" w:ascii="宋体" w:hAnsi="宋体"/>
          <w:color w:val="000000"/>
          <w:sz w:val="21"/>
          <w:szCs w:val="21"/>
        </w:rPr>
        <w:t xml:space="preserve">    质量保修期从工程实际竣工之日算起。分单项竣工验收的工程，按单项工程分别计算质量保修期。</w:t>
      </w:r>
    </w:p>
    <w:p>
      <w:pPr>
        <w:snapToGrid w:val="0"/>
        <w:spacing w:line="340" w:lineRule="exact"/>
        <w:rPr>
          <w:rFonts w:ascii="宋体" w:hAnsi="宋体"/>
          <w:color w:val="000000"/>
          <w:sz w:val="21"/>
          <w:szCs w:val="21"/>
        </w:rPr>
      </w:pPr>
      <w:r>
        <w:rPr>
          <w:rFonts w:hint="eastAsia" w:ascii="宋体" w:hAnsi="宋体"/>
          <w:color w:val="000000"/>
          <w:sz w:val="21"/>
          <w:szCs w:val="21"/>
        </w:rPr>
        <w:t xml:space="preserve">    双方根据国家有关规定，结合具体工程约定质量保修期如下。</w:t>
      </w:r>
    </w:p>
    <w:p>
      <w:pPr>
        <w:snapToGrid w:val="0"/>
        <w:spacing w:line="340" w:lineRule="exact"/>
        <w:ind w:left="840" w:hanging="840" w:hangingChars="400"/>
        <w:rPr>
          <w:rFonts w:ascii="宋体" w:hAnsi="宋体"/>
          <w:color w:val="000000"/>
          <w:sz w:val="21"/>
          <w:szCs w:val="21"/>
          <w:u w:val="single"/>
        </w:rPr>
      </w:pPr>
      <w:r>
        <w:rPr>
          <w:rFonts w:hint="eastAsia" w:ascii="宋体" w:hAnsi="宋体"/>
          <w:color w:val="000000"/>
          <w:sz w:val="21"/>
          <w:szCs w:val="21"/>
        </w:rPr>
        <w:t xml:space="preserve"> </w:t>
      </w:r>
      <w:r>
        <w:rPr>
          <w:rFonts w:hint="eastAsia" w:ascii="宋体" w:hAnsi="宋体"/>
          <w:color w:val="0000FF"/>
          <w:sz w:val="21"/>
          <w:szCs w:val="21"/>
        </w:rPr>
        <w:t xml:space="preserve">  </w:t>
      </w:r>
      <w:r>
        <w:rPr>
          <w:rFonts w:hint="eastAsia" w:ascii="宋体" w:hAnsi="宋体" w:eastAsia="宋体" w:cs="Times New Roman"/>
          <w:color w:val="000000"/>
          <w:sz w:val="21"/>
          <w:szCs w:val="21"/>
        </w:rPr>
        <w:t xml:space="preserve"> l、本工程质量保修期为</w:t>
      </w:r>
      <w:r>
        <w:rPr>
          <w:rFonts w:hint="eastAsia" w:ascii="宋体" w:hAnsi="宋体" w:eastAsia="宋体" w:cs="Times New Roman"/>
          <w:color w:val="000000"/>
          <w:sz w:val="21"/>
          <w:szCs w:val="21"/>
          <w:lang w:eastAsia="zh-CN"/>
        </w:rPr>
        <w:t xml:space="preserve">：竣工验收合格后一年 </w:t>
      </w:r>
      <w:r>
        <w:rPr>
          <w:rFonts w:hint="eastAsia" w:ascii="宋体" w:hAnsi="宋体" w:eastAsia="宋体" w:cs="Times New Roman"/>
          <w:color w:val="000000"/>
          <w:sz w:val="21"/>
          <w:szCs w:val="21"/>
        </w:rPr>
        <w:t>；</w:t>
      </w:r>
    </w:p>
    <w:p>
      <w:pPr>
        <w:snapToGrid w:val="0"/>
        <w:spacing w:line="340" w:lineRule="exact"/>
        <w:rPr>
          <w:rFonts w:ascii="宋体" w:hAnsi="宋体"/>
          <w:color w:val="000000"/>
          <w:sz w:val="21"/>
          <w:szCs w:val="21"/>
        </w:rPr>
      </w:pPr>
      <w:r>
        <w:rPr>
          <w:rFonts w:hint="eastAsia" w:ascii="宋体" w:hAnsi="宋体"/>
          <w:color w:val="000000"/>
          <w:sz w:val="21"/>
          <w:szCs w:val="21"/>
        </w:rPr>
        <w:t xml:space="preserve">  三、质量保修责任</w:t>
      </w:r>
    </w:p>
    <w:p>
      <w:pPr>
        <w:snapToGrid w:val="0"/>
        <w:spacing w:line="340" w:lineRule="exact"/>
        <w:rPr>
          <w:rFonts w:ascii="宋体" w:hAnsi="宋体"/>
          <w:color w:val="000000"/>
          <w:sz w:val="21"/>
          <w:szCs w:val="21"/>
        </w:rPr>
      </w:pPr>
      <w:r>
        <w:rPr>
          <w:rFonts w:hint="eastAsia" w:ascii="宋体" w:hAnsi="宋体"/>
          <w:color w:val="000000"/>
          <w:sz w:val="21"/>
          <w:szCs w:val="21"/>
        </w:rPr>
        <w:t xml:space="preserve">    l、属于保修范围和内容的项目，承包人应在接到修理通知之日后7天内派人修理。承包人不在约定期限内派人修理，发包人可委托其他人员修理，保修费用从质量保修金内扣除。</w:t>
      </w:r>
    </w:p>
    <w:p>
      <w:pPr>
        <w:snapToGrid w:val="0"/>
        <w:spacing w:line="340" w:lineRule="exact"/>
        <w:rPr>
          <w:rFonts w:ascii="宋体" w:hAnsi="宋体"/>
          <w:color w:val="000000"/>
          <w:sz w:val="21"/>
          <w:szCs w:val="21"/>
        </w:rPr>
      </w:pPr>
      <w:r>
        <w:rPr>
          <w:rFonts w:hint="eastAsia" w:ascii="宋体" w:hAnsi="宋体"/>
          <w:color w:val="000000"/>
          <w:sz w:val="21"/>
          <w:szCs w:val="21"/>
        </w:rPr>
        <w:t xml:space="preserve">    2、发生须紧急抢修事故，承包人接到事故通知后，应立即到达事故现场抢修。非承包人施工质量引起的事故，抢修费用由发包人承担。</w:t>
      </w:r>
    </w:p>
    <w:p>
      <w:pPr>
        <w:snapToGrid w:val="0"/>
        <w:spacing w:line="340" w:lineRule="exact"/>
        <w:rPr>
          <w:rFonts w:ascii="宋体" w:hAnsi="宋体"/>
          <w:color w:val="000000"/>
          <w:sz w:val="21"/>
          <w:szCs w:val="21"/>
        </w:rPr>
      </w:pPr>
      <w:r>
        <w:rPr>
          <w:rFonts w:hint="eastAsia" w:ascii="宋体" w:hAnsi="宋体"/>
          <w:color w:val="000000"/>
          <w:sz w:val="21"/>
          <w:szCs w:val="21"/>
        </w:rPr>
        <w:t xml:space="preserve">    3、在国家规定的工程合理使用期限内，承包人确保工程的质量。因承包人原因致使工程在合理使用期限内造成人身和财产损害的，承包人应承担损其赔偿责任。</w:t>
      </w:r>
    </w:p>
    <w:p>
      <w:pPr>
        <w:snapToGrid w:val="0"/>
        <w:spacing w:line="340" w:lineRule="exact"/>
        <w:rPr>
          <w:rFonts w:ascii="宋体" w:hAnsi="宋体"/>
          <w:color w:val="000000"/>
          <w:sz w:val="21"/>
          <w:szCs w:val="21"/>
        </w:rPr>
      </w:pPr>
      <w:r>
        <w:rPr>
          <w:rFonts w:hint="eastAsia" w:ascii="宋体" w:hAnsi="宋体"/>
          <w:color w:val="000000"/>
          <w:sz w:val="21"/>
          <w:szCs w:val="21"/>
        </w:rPr>
        <w:t xml:space="preserve">    四、质量保修金的支付</w:t>
      </w:r>
    </w:p>
    <w:p>
      <w:pPr>
        <w:snapToGrid w:val="0"/>
        <w:spacing w:line="340" w:lineRule="exact"/>
        <w:rPr>
          <w:rFonts w:ascii="宋体" w:hAnsi="宋体"/>
          <w:color w:val="000000"/>
          <w:sz w:val="21"/>
          <w:szCs w:val="21"/>
        </w:rPr>
      </w:pPr>
      <w:r>
        <w:rPr>
          <w:rFonts w:hint="eastAsia" w:ascii="宋体" w:hAnsi="宋体"/>
          <w:color w:val="000000"/>
          <w:sz w:val="21"/>
          <w:szCs w:val="21"/>
        </w:rPr>
        <w:t xml:space="preserve">    工程质量保修金一般不超过施工合同价款的3％，本工程约定的工程质量保修金为施工合同价款的</w:t>
      </w:r>
      <w:r>
        <w:rPr>
          <w:rFonts w:hint="eastAsia" w:ascii="宋体" w:hAnsi="宋体"/>
          <w:color w:val="000000"/>
          <w:sz w:val="21"/>
          <w:szCs w:val="21"/>
          <w:u w:val="single"/>
        </w:rPr>
        <w:t xml:space="preserve">     3</w:t>
      </w:r>
      <w:r>
        <w:rPr>
          <w:rFonts w:hint="eastAsia" w:ascii="宋体" w:hAnsi="宋体"/>
          <w:b/>
          <w:color w:val="000000"/>
          <w:sz w:val="21"/>
          <w:szCs w:val="21"/>
          <w:u w:val="single"/>
        </w:rPr>
        <w:t xml:space="preserve"> </w:t>
      </w:r>
      <w:r>
        <w:rPr>
          <w:rFonts w:hint="eastAsia" w:ascii="宋体" w:hAnsi="宋体"/>
          <w:color w:val="000000"/>
          <w:sz w:val="21"/>
          <w:szCs w:val="21"/>
        </w:rPr>
        <w:t>％。</w:t>
      </w:r>
    </w:p>
    <w:p>
      <w:pPr>
        <w:snapToGrid w:val="0"/>
        <w:spacing w:line="340" w:lineRule="exact"/>
        <w:rPr>
          <w:rFonts w:ascii="宋体" w:hAnsi="宋体"/>
          <w:color w:val="000000"/>
          <w:sz w:val="21"/>
          <w:szCs w:val="21"/>
        </w:rPr>
      </w:pPr>
      <w:r>
        <w:rPr>
          <w:rFonts w:hint="eastAsia" w:ascii="宋体" w:hAnsi="宋体"/>
          <w:color w:val="000000"/>
          <w:sz w:val="21"/>
          <w:szCs w:val="21"/>
        </w:rPr>
        <w:t xml:space="preserve">    本工程双方约定承包人向发包人支付工程质量保修金金额为</w:t>
      </w:r>
      <w:r>
        <w:rPr>
          <w:rFonts w:hint="eastAsia" w:ascii="宋体" w:hAnsi="宋体"/>
          <w:color w:val="000000"/>
          <w:sz w:val="21"/>
          <w:szCs w:val="21"/>
          <w:u w:val="single"/>
        </w:rPr>
        <w:t xml:space="preserve">      /   </w:t>
      </w:r>
      <w:r>
        <w:rPr>
          <w:rFonts w:hint="eastAsia" w:ascii="宋体" w:hAnsi="宋体"/>
          <w:color w:val="000000"/>
          <w:sz w:val="21"/>
          <w:szCs w:val="21"/>
        </w:rPr>
        <w:t>（大写）。质量保修金银行利率为</w:t>
      </w:r>
      <w:r>
        <w:rPr>
          <w:rFonts w:hint="eastAsia" w:ascii="宋体" w:hAnsi="宋体"/>
          <w:color w:val="000000"/>
          <w:sz w:val="21"/>
          <w:szCs w:val="21"/>
          <w:u w:val="single"/>
        </w:rPr>
        <w:t xml:space="preserve">                   /                    </w:t>
      </w:r>
      <w:r>
        <w:rPr>
          <w:rFonts w:hint="eastAsia" w:ascii="宋体" w:hAnsi="宋体"/>
          <w:color w:val="000000"/>
          <w:sz w:val="21"/>
          <w:szCs w:val="21"/>
        </w:rPr>
        <w:t>。</w:t>
      </w:r>
    </w:p>
    <w:p>
      <w:pPr>
        <w:snapToGrid w:val="0"/>
        <w:spacing w:line="340" w:lineRule="exact"/>
        <w:rPr>
          <w:rFonts w:ascii="宋体" w:hAnsi="宋体"/>
          <w:color w:val="000000"/>
          <w:sz w:val="21"/>
          <w:szCs w:val="21"/>
        </w:rPr>
      </w:pPr>
      <w:r>
        <w:rPr>
          <w:rFonts w:hint="eastAsia" w:ascii="宋体" w:hAnsi="宋体"/>
          <w:color w:val="000000"/>
          <w:sz w:val="21"/>
          <w:szCs w:val="21"/>
        </w:rPr>
        <w:t xml:space="preserve">    五、质量保修金的返还</w:t>
      </w:r>
    </w:p>
    <w:p>
      <w:pPr>
        <w:snapToGrid w:val="0"/>
        <w:spacing w:line="340" w:lineRule="exact"/>
        <w:rPr>
          <w:rFonts w:ascii="宋体" w:hAnsi="宋体"/>
          <w:color w:val="000000"/>
          <w:sz w:val="21"/>
          <w:szCs w:val="21"/>
        </w:rPr>
      </w:pPr>
      <w:r>
        <w:rPr>
          <w:rFonts w:hint="eastAsia" w:ascii="宋体" w:hAnsi="宋体"/>
          <w:color w:val="000000"/>
          <w:sz w:val="21"/>
          <w:szCs w:val="21"/>
        </w:rPr>
        <w:t xml:space="preserve">    发包人在质量保修期满后一个月内。将剩余保修金返还承包人。</w:t>
      </w:r>
    </w:p>
    <w:p>
      <w:pPr>
        <w:snapToGrid w:val="0"/>
        <w:spacing w:line="340" w:lineRule="exact"/>
        <w:rPr>
          <w:rFonts w:ascii="宋体" w:hAnsi="宋体"/>
          <w:color w:val="000000"/>
          <w:sz w:val="21"/>
          <w:szCs w:val="21"/>
        </w:rPr>
      </w:pPr>
      <w:r>
        <w:rPr>
          <w:rFonts w:hint="eastAsia" w:ascii="宋体" w:hAnsi="宋体"/>
          <w:color w:val="000000"/>
          <w:sz w:val="21"/>
          <w:szCs w:val="21"/>
        </w:rPr>
        <w:t xml:space="preserve">    六、其他</w:t>
      </w:r>
    </w:p>
    <w:p>
      <w:pPr>
        <w:snapToGrid w:val="0"/>
        <w:spacing w:line="340" w:lineRule="exact"/>
        <w:rPr>
          <w:rFonts w:ascii="宋体" w:hAnsi="宋体"/>
          <w:color w:val="000000"/>
          <w:sz w:val="21"/>
          <w:szCs w:val="21"/>
          <w:u w:val="single"/>
        </w:rPr>
      </w:pPr>
      <w:r>
        <w:rPr>
          <w:rFonts w:hint="eastAsia" w:ascii="宋体" w:hAnsi="宋体"/>
          <w:color w:val="000000"/>
          <w:sz w:val="21"/>
          <w:szCs w:val="21"/>
        </w:rPr>
        <w:t xml:space="preserve">    双方约定的其他工程质量保修事项：</w:t>
      </w:r>
      <w:r>
        <w:rPr>
          <w:rFonts w:hint="eastAsia" w:ascii="宋体" w:hAnsi="宋体"/>
          <w:color w:val="000000"/>
          <w:sz w:val="21"/>
          <w:szCs w:val="21"/>
          <w:u w:val="single"/>
        </w:rPr>
        <w:t xml:space="preserve">              /               </w:t>
      </w:r>
    </w:p>
    <w:p>
      <w:pPr>
        <w:snapToGrid w:val="0"/>
        <w:spacing w:line="340" w:lineRule="exact"/>
        <w:ind w:firstLine="570"/>
        <w:rPr>
          <w:rFonts w:ascii="宋体" w:hAnsi="宋体"/>
          <w:b/>
          <w:color w:val="000000"/>
          <w:sz w:val="21"/>
          <w:szCs w:val="21"/>
        </w:rPr>
      </w:pPr>
      <w:r>
        <w:rPr>
          <w:rFonts w:hint="eastAsia" w:ascii="宋体" w:hAnsi="宋体"/>
          <w:color w:val="000000"/>
          <w:sz w:val="21"/>
          <w:szCs w:val="21"/>
        </w:rPr>
        <w:t>本工程质量保修书作为施工合同附件．与施工合同具有同等效力。</w:t>
      </w:r>
    </w:p>
    <w:p>
      <w:pPr>
        <w:adjustRightInd w:val="0"/>
        <w:snapToGrid w:val="0"/>
        <w:spacing w:line="340" w:lineRule="exact"/>
        <w:ind w:firstLine="912"/>
        <w:rPr>
          <w:rFonts w:ascii="宋体" w:hAnsi="宋体"/>
          <w:color w:val="000000"/>
          <w:sz w:val="21"/>
          <w:szCs w:val="21"/>
        </w:rPr>
      </w:pPr>
    </w:p>
    <w:p>
      <w:pPr>
        <w:adjustRightInd w:val="0"/>
        <w:snapToGrid w:val="0"/>
        <w:spacing w:line="340" w:lineRule="exact"/>
        <w:ind w:firstLine="912"/>
        <w:rPr>
          <w:rFonts w:ascii="宋体" w:hAnsi="宋体"/>
          <w:color w:val="000000"/>
          <w:sz w:val="21"/>
          <w:szCs w:val="21"/>
        </w:rPr>
      </w:pPr>
    </w:p>
    <w:p>
      <w:pPr>
        <w:adjustRightInd w:val="0"/>
        <w:snapToGrid w:val="0"/>
        <w:spacing w:line="340" w:lineRule="exact"/>
        <w:ind w:firstLine="912"/>
        <w:rPr>
          <w:rFonts w:ascii="宋体" w:hAnsi="宋体"/>
          <w:color w:val="000000"/>
          <w:sz w:val="21"/>
          <w:szCs w:val="21"/>
        </w:rPr>
      </w:pPr>
    </w:p>
    <w:p>
      <w:pPr>
        <w:adjustRightInd w:val="0"/>
        <w:snapToGrid w:val="0"/>
        <w:spacing w:line="340" w:lineRule="exact"/>
        <w:ind w:firstLine="912"/>
        <w:rPr>
          <w:rFonts w:ascii="宋体" w:hAnsi="宋体"/>
          <w:color w:val="000000"/>
          <w:sz w:val="21"/>
          <w:szCs w:val="21"/>
        </w:rPr>
      </w:pPr>
      <w:r>
        <w:rPr>
          <w:rFonts w:hint="eastAsia" w:ascii="宋体" w:hAnsi="宋体"/>
          <w:color w:val="000000"/>
          <w:sz w:val="21"/>
          <w:szCs w:val="21"/>
        </w:rPr>
        <w:t>发  包  人(公章)：              承  包  人(公章)：</w:t>
      </w:r>
    </w:p>
    <w:p>
      <w:pPr>
        <w:adjustRightInd w:val="0"/>
        <w:snapToGrid w:val="0"/>
        <w:spacing w:line="340" w:lineRule="exact"/>
        <w:ind w:firstLine="912"/>
        <w:rPr>
          <w:rFonts w:ascii="宋体" w:hAnsi="宋体"/>
          <w:color w:val="000000"/>
          <w:sz w:val="21"/>
          <w:szCs w:val="21"/>
        </w:rPr>
      </w:pPr>
      <w:r>
        <w:rPr>
          <w:rFonts w:hint="eastAsia" w:ascii="宋体" w:hAnsi="宋体"/>
          <w:color w:val="000000"/>
          <w:sz w:val="21"/>
          <w:szCs w:val="21"/>
        </w:rPr>
        <w:t>法定代表人(签字)：              法定代表人(签字)：</w:t>
      </w:r>
    </w:p>
    <w:p>
      <w:pPr>
        <w:adjustRightInd w:val="0"/>
        <w:snapToGrid w:val="0"/>
        <w:spacing w:line="340" w:lineRule="exact"/>
        <w:ind w:firstLine="435"/>
        <w:rPr>
          <w:rFonts w:ascii="宋体" w:hAnsi="宋体"/>
          <w:color w:val="000000"/>
          <w:sz w:val="21"/>
          <w:szCs w:val="21"/>
        </w:rPr>
      </w:pPr>
      <w:r>
        <w:rPr>
          <w:rFonts w:hint="eastAsia" w:ascii="宋体" w:hAnsi="宋体"/>
          <w:color w:val="000000"/>
          <w:sz w:val="21"/>
          <w:szCs w:val="21"/>
        </w:rPr>
        <w:t>　　</w:t>
      </w:r>
      <w:r>
        <w:rPr>
          <w:rFonts w:hint="eastAsia" w:ascii="宋体" w:hAnsi="宋体"/>
          <w:color w:val="000000"/>
          <w:sz w:val="21"/>
          <w:szCs w:val="21"/>
          <w:u w:val="single"/>
        </w:rPr>
        <w:t xml:space="preserve">    </w:t>
      </w:r>
      <w:r>
        <w:rPr>
          <w:rFonts w:hint="eastAsia" w:ascii="宋体" w:hAnsi="宋体"/>
          <w:color w:val="000000"/>
          <w:sz w:val="21"/>
          <w:szCs w:val="21"/>
        </w:rPr>
        <w:t xml:space="preserve"> 年 </w:t>
      </w:r>
      <w:r>
        <w:rPr>
          <w:rFonts w:hint="eastAsia" w:ascii="宋体" w:hAnsi="宋体"/>
          <w:color w:val="000000"/>
          <w:sz w:val="21"/>
          <w:szCs w:val="21"/>
          <w:u w:val="single"/>
        </w:rPr>
        <w:t xml:space="preserve">    </w:t>
      </w:r>
      <w:r>
        <w:rPr>
          <w:rFonts w:hint="eastAsia" w:ascii="宋体" w:hAnsi="宋体"/>
          <w:color w:val="000000"/>
          <w:sz w:val="21"/>
          <w:szCs w:val="21"/>
        </w:rPr>
        <w:t xml:space="preserve">月 </w:t>
      </w:r>
      <w:r>
        <w:rPr>
          <w:rFonts w:hint="eastAsia" w:ascii="宋体" w:hAnsi="宋体"/>
          <w:color w:val="000000"/>
          <w:sz w:val="21"/>
          <w:szCs w:val="21"/>
          <w:u w:val="single"/>
        </w:rPr>
        <w:t xml:space="preserve">   </w:t>
      </w:r>
      <w:r>
        <w:rPr>
          <w:rFonts w:hint="eastAsia" w:ascii="宋体" w:hAnsi="宋体"/>
          <w:color w:val="000000"/>
          <w:sz w:val="21"/>
          <w:szCs w:val="21"/>
        </w:rPr>
        <w:t xml:space="preserve"> 日             </w:t>
      </w:r>
      <w:r>
        <w:rPr>
          <w:rFonts w:ascii="宋体" w:hAnsi="宋体"/>
          <w:color w:val="000000"/>
          <w:sz w:val="21"/>
          <w:szCs w:val="21"/>
          <w:u w:val="single"/>
        </w:rPr>
        <w:t xml:space="preserve">     </w:t>
      </w:r>
      <w:r>
        <w:rPr>
          <w:rFonts w:hint="eastAsia" w:ascii="宋体" w:hAnsi="宋体"/>
          <w:color w:val="000000"/>
          <w:sz w:val="21"/>
          <w:szCs w:val="21"/>
        </w:rPr>
        <w:t xml:space="preserve"> 年 </w:t>
      </w:r>
      <w:r>
        <w:rPr>
          <w:rFonts w:hint="eastAsia" w:ascii="宋体" w:hAnsi="宋体"/>
          <w:color w:val="000000"/>
          <w:sz w:val="21"/>
          <w:szCs w:val="21"/>
          <w:u w:val="single"/>
        </w:rPr>
        <w:t xml:space="preserve">    </w:t>
      </w:r>
      <w:r>
        <w:rPr>
          <w:rFonts w:hint="eastAsia" w:ascii="宋体" w:hAnsi="宋体"/>
          <w:color w:val="000000"/>
          <w:sz w:val="21"/>
          <w:szCs w:val="21"/>
        </w:rPr>
        <w:t xml:space="preserve"> 月 </w:t>
      </w:r>
      <w:r>
        <w:rPr>
          <w:rFonts w:hint="eastAsia" w:ascii="宋体" w:hAnsi="宋体"/>
          <w:color w:val="000000"/>
          <w:sz w:val="21"/>
          <w:szCs w:val="21"/>
          <w:u w:val="single"/>
        </w:rPr>
        <w:t xml:space="preserve">    </w:t>
      </w:r>
      <w:r>
        <w:rPr>
          <w:rFonts w:hint="eastAsia" w:ascii="宋体" w:hAnsi="宋体"/>
          <w:color w:val="000000"/>
          <w:sz w:val="21"/>
          <w:szCs w:val="21"/>
        </w:rPr>
        <w:t xml:space="preserve"> 日</w:t>
      </w:r>
    </w:p>
    <w:p>
      <w:pPr>
        <w:snapToGrid w:val="0"/>
        <w:spacing w:line="360" w:lineRule="auto"/>
        <w:rPr>
          <w:rFonts w:ascii="宋体" w:hAnsi="宋体"/>
          <w:sz w:val="21"/>
          <w:szCs w:val="21"/>
        </w:rPr>
      </w:pPr>
    </w:p>
    <w:p>
      <w:pPr>
        <w:adjustRightInd w:val="0"/>
        <w:snapToGrid w:val="0"/>
        <w:spacing w:before="120" w:after="120" w:line="300" w:lineRule="auto"/>
        <w:jc w:val="both"/>
        <w:outlineLvl w:val="1"/>
        <w:rPr>
          <w:rFonts w:hint="eastAsia" w:ascii="宋体" w:hAnsi="宋体"/>
          <w:b/>
          <w:sz w:val="21"/>
          <w:szCs w:val="21"/>
          <w:lang w:val="en-US" w:eastAsia="zh-CN"/>
        </w:rPr>
      </w:pPr>
      <w:bookmarkStart w:id="247" w:name="_Toc29303"/>
      <w:bookmarkStart w:id="248" w:name="_Toc41468238"/>
    </w:p>
    <w:p>
      <w:pPr>
        <w:adjustRightInd w:val="0"/>
        <w:snapToGrid w:val="0"/>
        <w:spacing w:before="120" w:after="120" w:line="300" w:lineRule="auto"/>
        <w:jc w:val="both"/>
        <w:outlineLvl w:val="1"/>
        <w:rPr>
          <w:rFonts w:hint="eastAsia" w:ascii="宋体" w:hAnsi="宋体"/>
          <w:b/>
          <w:sz w:val="21"/>
          <w:szCs w:val="21"/>
          <w:lang w:val="en-US" w:eastAsia="zh-CN"/>
        </w:rPr>
      </w:pPr>
    </w:p>
    <w:p>
      <w:pPr>
        <w:adjustRightInd w:val="0"/>
        <w:snapToGrid w:val="0"/>
        <w:spacing w:before="120" w:after="120" w:line="300" w:lineRule="auto"/>
        <w:jc w:val="both"/>
        <w:outlineLvl w:val="1"/>
        <w:rPr>
          <w:rFonts w:hint="default" w:ascii="宋体" w:hAnsi="宋体" w:eastAsia="宋体"/>
          <w:b/>
          <w:sz w:val="21"/>
          <w:szCs w:val="21"/>
          <w:lang w:val="en-US" w:eastAsia="zh-CN"/>
        </w:rPr>
      </w:pPr>
      <w:r>
        <w:rPr>
          <w:rFonts w:hint="eastAsia" w:ascii="宋体" w:hAnsi="宋体"/>
          <w:b/>
          <w:sz w:val="21"/>
          <w:szCs w:val="21"/>
          <w:lang w:val="en-US" w:eastAsia="zh-CN"/>
        </w:rPr>
        <w:t>附件三</w:t>
      </w:r>
    </w:p>
    <w:p>
      <w:pPr>
        <w:adjustRightInd w:val="0"/>
        <w:snapToGrid w:val="0"/>
        <w:spacing w:before="120" w:after="120" w:line="300" w:lineRule="auto"/>
        <w:jc w:val="center"/>
        <w:outlineLvl w:val="1"/>
        <w:rPr>
          <w:rFonts w:ascii="宋体" w:hAnsi="宋体"/>
          <w:b/>
          <w:sz w:val="21"/>
          <w:szCs w:val="21"/>
        </w:rPr>
      </w:pPr>
      <w:r>
        <w:rPr>
          <w:rFonts w:hint="eastAsia" w:ascii="宋体" w:hAnsi="宋体"/>
          <w:b/>
          <w:sz w:val="21"/>
          <w:szCs w:val="21"/>
        </w:rPr>
        <w:t>工程安全生产合同</w:t>
      </w:r>
      <w:bookmarkEnd w:id="247"/>
      <w:bookmarkEnd w:id="248"/>
    </w:p>
    <w:p>
      <w:pPr>
        <w:spacing w:line="380" w:lineRule="exact"/>
        <w:ind w:firstLine="420"/>
        <w:rPr>
          <w:rFonts w:ascii="宋体" w:hAnsi="宋体" w:cs="宋体"/>
          <w:sz w:val="21"/>
          <w:szCs w:val="21"/>
        </w:rPr>
      </w:pPr>
    </w:p>
    <w:p>
      <w:pPr>
        <w:spacing w:line="380" w:lineRule="exact"/>
        <w:ind w:firstLine="420"/>
        <w:rPr>
          <w:rFonts w:ascii="宋体" w:hAnsi="宋体"/>
          <w:sz w:val="21"/>
          <w:szCs w:val="21"/>
        </w:rPr>
      </w:pPr>
      <w:r>
        <w:rPr>
          <w:rFonts w:hint="eastAsia" w:ascii="宋体" w:hAnsi="宋体" w:cs="宋体"/>
          <w:sz w:val="21"/>
          <w:szCs w:val="21"/>
        </w:rPr>
        <w:t>发包人：　　</w:t>
      </w:r>
      <w:r>
        <w:rPr>
          <w:rFonts w:ascii="宋体" w:hAnsi="宋体"/>
          <w:sz w:val="21"/>
          <w:szCs w:val="21"/>
        </w:rPr>
        <w:t xml:space="preserve">                             </w:t>
      </w:r>
      <w:r>
        <w:rPr>
          <w:rFonts w:hint="eastAsia" w:ascii="宋体" w:hAnsi="宋体" w:cs="宋体"/>
          <w:sz w:val="21"/>
          <w:szCs w:val="21"/>
        </w:rPr>
        <w:t>（</w:t>
      </w:r>
      <w:r>
        <w:rPr>
          <w:rFonts w:ascii="宋体" w:hAnsi="宋体"/>
          <w:snapToGrid w:val="0"/>
          <w:sz w:val="21"/>
          <w:szCs w:val="21"/>
        </w:rPr>
        <w:t xml:space="preserve"> </w:t>
      </w:r>
      <w:r>
        <w:rPr>
          <w:rFonts w:hint="eastAsia" w:ascii="宋体" w:hAnsi="宋体" w:cs="宋体"/>
          <w:sz w:val="21"/>
          <w:szCs w:val="21"/>
        </w:rPr>
        <w:t>以下简称“甲方”</w:t>
      </w:r>
      <w:r>
        <w:rPr>
          <w:rFonts w:ascii="宋体" w:hAnsi="宋体"/>
          <w:snapToGrid w:val="0"/>
          <w:sz w:val="21"/>
          <w:szCs w:val="21"/>
        </w:rPr>
        <w:t xml:space="preserve"> </w:t>
      </w:r>
      <w:r>
        <w:rPr>
          <w:rFonts w:hint="eastAsia" w:ascii="宋体" w:hAnsi="宋体" w:cs="宋体"/>
          <w:sz w:val="21"/>
          <w:szCs w:val="21"/>
        </w:rPr>
        <w:t>）</w:t>
      </w:r>
    </w:p>
    <w:p>
      <w:pPr>
        <w:spacing w:line="380" w:lineRule="exact"/>
        <w:ind w:firstLine="420"/>
        <w:rPr>
          <w:rFonts w:ascii="宋体" w:hAnsi="宋体"/>
          <w:sz w:val="21"/>
          <w:szCs w:val="21"/>
        </w:rPr>
      </w:pPr>
      <w:r>
        <w:rPr>
          <w:rFonts w:hint="eastAsia" w:ascii="宋体" w:hAnsi="宋体" w:cs="宋体"/>
          <w:sz w:val="21"/>
          <w:szCs w:val="21"/>
        </w:rPr>
        <w:t>承包人：</w:t>
      </w:r>
      <w:r>
        <w:rPr>
          <w:rFonts w:ascii="宋体" w:hAnsi="宋体"/>
          <w:sz w:val="21"/>
          <w:szCs w:val="21"/>
        </w:rPr>
        <w:t xml:space="preserve">                                 </w:t>
      </w:r>
      <w:r>
        <w:rPr>
          <w:rFonts w:hint="eastAsia" w:ascii="宋体" w:hAnsi="宋体" w:cs="宋体"/>
          <w:sz w:val="21"/>
          <w:szCs w:val="21"/>
        </w:rPr>
        <w:t>（</w:t>
      </w:r>
      <w:r>
        <w:rPr>
          <w:rFonts w:ascii="宋体" w:hAnsi="宋体"/>
          <w:snapToGrid w:val="0"/>
          <w:sz w:val="21"/>
          <w:szCs w:val="21"/>
        </w:rPr>
        <w:t xml:space="preserve"> </w:t>
      </w:r>
      <w:r>
        <w:rPr>
          <w:rFonts w:hint="eastAsia" w:ascii="宋体" w:hAnsi="宋体" w:cs="宋体"/>
          <w:sz w:val="21"/>
          <w:szCs w:val="21"/>
        </w:rPr>
        <w:t>以下简称“乙方”</w:t>
      </w:r>
      <w:r>
        <w:rPr>
          <w:rFonts w:ascii="宋体" w:hAnsi="宋体"/>
          <w:snapToGrid w:val="0"/>
          <w:sz w:val="21"/>
          <w:szCs w:val="21"/>
        </w:rPr>
        <w:t xml:space="preserve"> </w:t>
      </w:r>
      <w:r>
        <w:rPr>
          <w:rFonts w:hint="eastAsia" w:ascii="宋体" w:hAnsi="宋体" w:cs="宋体"/>
          <w:sz w:val="21"/>
          <w:szCs w:val="21"/>
        </w:rPr>
        <w:t>）</w:t>
      </w:r>
    </w:p>
    <w:p>
      <w:pPr>
        <w:spacing w:line="380" w:lineRule="exact"/>
        <w:ind w:firstLine="420"/>
        <w:rPr>
          <w:rFonts w:ascii="宋体" w:hAnsi="宋体"/>
          <w:sz w:val="21"/>
          <w:szCs w:val="21"/>
        </w:rPr>
      </w:pPr>
    </w:p>
    <w:p>
      <w:pPr>
        <w:spacing w:line="380" w:lineRule="exact"/>
        <w:ind w:firstLine="420"/>
        <w:rPr>
          <w:rFonts w:ascii="宋体" w:hAnsi="宋体"/>
          <w:sz w:val="21"/>
          <w:szCs w:val="21"/>
        </w:rPr>
      </w:pPr>
      <w:r>
        <w:rPr>
          <w:rFonts w:hint="eastAsia" w:ascii="宋体" w:hAnsi="宋体" w:cs="宋体"/>
          <w:sz w:val="21"/>
          <w:szCs w:val="21"/>
        </w:rPr>
        <w:t>为在</w:t>
      </w:r>
      <w:r>
        <w:rPr>
          <w:rFonts w:ascii="宋体" w:hAnsi="宋体"/>
          <w:sz w:val="21"/>
          <w:szCs w:val="21"/>
          <w:u w:val="single"/>
        </w:rPr>
        <w:t xml:space="preserve">                  </w:t>
      </w:r>
      <w:r>
        <w:rPr>
          <w:rFonts w:hint="eastAsia" w:ascii="宋体" w:hAnsi="宋体" w:cs="宋体"/>
          <w:sz w:val="21"/>
          <w:szCs w:val="21"/>
        </w:rPr>
        <w:t>施工合同的实施过程中创造安全、高效的施工环境，切实搞好本项目的安全管理工作，项目实施过程中达到“零责任事故，无人员重伤、无人员死亡事故”的安全目标，特此签订安全生产合同。具体如下：</w:t>
      </w:r>
    </w:p>
    <w:p>
      <w:pPr>
        <w:spacing w:line="380" w:lineRule="exact"/>
        <w:ind w:firstLine="422"/>
        <w:rPr>
          <w:rFonts w:ascii="宋体" w:hAnsi="宋体" w:cs="宋体"/>
          <w:b/>
          <w:sz w:val="21"/>
          <w:szCs w:val="21"/>
        </w:rPr>
      </w:pPr>
      <w:r>
        <w:rPr>
          <w:rFonts w:hint="eastAsia" w:ascii="宋体" w:hAnsi="宋体" w:cs="宋体"/>
          <w:b/>
          <w:sz w:val="21"/>
          <w:szCs w:val="21"/>
        </w:rPr>
        <w:t>一、</w:t>
      </w:r>
      <w:r>
        <w:rPr>
          <w:rFonts w:hint="eastAsia" w:ascii="宋体" w:hAnsi="宋体" w:cs="宋体"/>
          <w:sz w:val="21"/>
          <w:szCs w:val="21"/>
        </w:rPr>
        <w:t>甲方职责</w:t>
      </w:r>
    </w:p>
    <w:p>
      <w:pPr>
        <w:spacing w:line="380" w:lineRule="exact"/>
        <w:ind w:firstLine="420"/>
        <w:rPr>
          <w:rFonts w:ascii="宋体" w:hAnsi="宋体"/>
          <w:sz w:val="21"/>
          <w:szCs w:val="21"/>
        </w:rPr>
      </w:pPr>
      <w:r>
        <w:rPr>
          <w:rFonts w:ascii="宋体" w:hAnsi="宋体"/>
          <w:sz w:val="21"/>
          <w:szCs w:val="21"/>
        </w:rPr>
        <w:t>1</w:t>
      </w:r>
      <w:r>
        <w:rPr>
          <w:rFonts w:hint="eastAsia" w:ascii="宋体" w:hAnsi="宋体" w:cs="宋体"/>
          <w:sz w:val="21"/>
          <w:szCs w:val="21"/>
        </w:rPr>
        <w:t>．严格遵守国家有关安全生产的法律法规，认真执行工程承包合同中的有关安全要求。</w:t>
      </w:r>
    </w:p>
    <w:p>
      <w:pPr>
        <w:spacing w:line="380" w:lineRule="exact"/>
        <w:ind w:firstLine="420"/>
        <w:rPr>
          <w:rFonts w:ascii="宋体" w:hAnsi="宋体"/>
          <w:sz w:val="21"/>
          <w:szCs w:val="21"/>
        </w:rPr>
      </w:pPr>
      <w:r>
        <w:rPr>
          <w:rFonts w:ascii="宋体" w:hAnsi="宋体"/>
          <w:sz w:val="21"/>
          <w:szCs w:val="21"/>
        </w:rPr>
        <w:t>2</w:t>
      </w:r>
      <w:r>
        <w:rPr>
          <w:rFonts w:hint="eastAsia" w:ascii="宋体" w:hAnsi="宋体" w:cs="宋体"/>
          <w:sz w:val="21"/>
          <w:szCs w:val="21"/>
        </w:rPr>
        <w:t>．按照“安全第一、预防为主”和坚持“管生产必需管安全”的原则进行安全生产管理，做到生产与安全工作同时计划、布置、检查、总结和评比。</w:t>
      </w:r>
    </w:p>
    <w:p>
      <w:pPr>
        <w:spacing w:line="380" w:lineRule="exact"/>
        <w:ind w:firstLine="420"/>
        <w:rPr>
          <w:rFonts w:ascii="宋体" w:hAnsi="宋体"/>
          <w:sz w:val="21"/>
          <w:szCs w:val="21"/>
        </w:rPr>
      </w:pPr>
      <w:r>
        <w:rPr>
          <w:rFonts w:ascii="宋体" w:hAnsi="宋体"/>
          <w:sz w:val="21"/>
          <w:szCs w:val="21"/>
        </w:rPr>
        <w:t>3</w:t>
      </w:r>
      <w:r>
        <w:rPr>
          <w:rFonts w:hint="eastAsia" w:ascii="宋体" w:hAnsi="宋体" w:cs="宋体"/>
          <w:sz w:val="21"/>
          <w:szCs w:val="21"/>
        </w:rPr>
        <w:t>．传达中央及地方有关安全生产的精神。</w:t>
      </w:r>
    </w:p>
    <w:p>
      <w:pPr>
        <w:spacing w:line="380" w:lineRule="exact"/>
        <w:ind w:firstLine="420"/>
        <w:rPr>
          <w:rFonts w:ascii="宋体" w:hAnsi="宋体"/>
          <w:sz w:val="21"/>
          <w:szCs w:val="21"/>
        </w:rPr>
      </w:pPr>
      <w:r>
        <w:rPr>
          <w:rFonts w:ascii="宋体" w:hAnsi="宋体"/>
          <w:sz w:val="21"/>
          <w:szCs w:val="21"/>
        </w:rPr>
        <w:t>4</w:t>
      </w:r>
      <w:r>
        <w:rPr>
          <w:rFonts w:hint="eastAsia" w:ascii="宋体" w:hAnsi="宋体" w:cs="宋体"/>
          <w:sz w:val="21"/>
          <w:szCs w:val="21"/>
        </w:rPr>
        <w:t>．组织对乙方施工现场安全生产检查，监督乙方及时处理发现的各种安全隐患。</w:t>
      </w:r>
    </w:p>
    <w:p>
      <w:pPr>
        <w:spacing w:line="380" w:lineRule="exact"/>
        <w:ind w:firstLine="422"/>
        <w:rPr>
          <w:rFonts w:ascii="宋体" w:hAnsi="宋体" w:cs="宋体"/>
          <w:b/>
          <w:sz w:val="21"/>
          <w:szCs w:val="21"/>
        </w:rPr>
      </w:pPr>
      <w:r>
        <w:rPr>
          <w:rFonts w:hint="eastAsia" w:ascii="宋体" w:hAnsi="宋体" w:cs="宋体"/>
          <w:b/>
          <w:sz w:val="21"/>
          <w:szCs w:val="21"/>
        </w:rPr>
        <w:t>二、</w:t>
      </w:r>
      <w:r>
        <w:rPr>
          <w:rFonts w:hint="eastAsia" w:ascii="宋体" w:hAnsi="宋体" w:cs="宋体"/>
          <w:sz w:val="21"/>
          <w:szCs w:val="21"/>
        </w:rPr>
        <w:t>乙方职责</w:t>
      </w:r>
    </w:p>
    <w:p>
      <w:pPr>
        <w:spacing w:line="380" w:lineRule="exact"/>
        <w:ind w:firstLine="420"/>
        <w:rPr>
          <w:rFonts w:ascii="宋体" w:hAnsi="宋体"/>
          <w:sz w:val="21"/>
          <w:szCs w:val="21"/>
        </w:rPr>
      </w:pPr>
      <w:r>
        <w:rPr>
          <w:rFonts w:ascii="宋体" w:hAnsi="宋体"/>
          <w:sz w:val="21"/>
          <w:szCs w:val="21"/>
        </w:rPr>
        <w:t>1</w:t>
      </w:r>
      <w:r>
        <w:rPr>
          <w:rFonts w:hint="eastAsia" w:ascii="宋体" w:hAnsi="宋体" w:cs="宋体"/>
          <w:sz w:val="21"/>
          <w:szCs w:val="21"/>
        </w:rPr>
        <w:t>．严格遵守国家有关安全生产的法律法规、有关安全生产的规定，认真执行工程承包合同中的有关安全要求，接受甲方和监理工程师对安全生产工作的指导。</w:t>
      </w:r>
    </w:p>
    <w:p>
      <w:pPr>
        <w:spacing w:line="380" w:lineRule="exact"/>
        <w:ind w:firstLine="420"/>
        <w:rPr>
          <w:rFonts w:ascii="宋体" w:hAnsi="宋体"/>
          <w:sz w:val="21"/>
          <w:szCs w:val="21"/>
        </w:rPr>
      </w:pPr>
      <w:r>
        <w:rPr>
          <w:rFonts w:ascii="宋体" w:hAnsi="宋体"/>
          <w:sz w:val="21"/>
          <w:szCs w:val="21"/>
        </w:rPr>
        <w:t>2</w:t>
      </w:r>
      <w:r>
        <w:rPr>
          <w:rFonts w:hint="eastAsia" w:ascii="宋体" w:hAnsi="宋体" w:cs="宋体"/>
          <w:sz w:val="21"/>
          <w:szCs w:val="21"/>
        </w:rPr>
        <w:t>．坚持“安全第一、预防为主”和“管生产必须管安全”的原则，加强安全生产宣传教育，增强全员安全生产意识，建立健全各项安全生产管理制度，配备专职及兼职安全检查人员，有组织有领导地开展安全生产活动。各级领导、工程技术人员、生产管理人员和具体操作人员，必须熟悉和遵守本条款的各项规定，做到生产与安全工作同时计划、布置、检查、总结和评比。</w:t>
      </w:r>
    </w:p>
    <w:p>
      <w:pPr>
        <w:spacing w:line="380" w:lineRule="exact"/>
        <w:ind w:firstLine="420"/>
        <w:rPr>
          <w:rFonts w:ascii="宋体" w:hAnsi="宋体"/>
          <w:sz w:val="21"/>
          <w:szCs w:val="21"/>
        </w:rPr>
      </w:pPr>
      <w:r>
        <w:rPr>
          <w:rFonts w:ascii="宋体" w:hAnsi="宋体"/>
          <w:sz w:val="21"/>
          <w:szCs w:val="21"/>
        </w:rPr>
        <w:t>3</w:t>
      </w:r>
      <w:r>
        <w:rPr>
          <w:rFonts w:hint="eastAsia" w:ascii="宋体" w:hAnsi="宋体" w:cs="宋体"/>
          <w:sz w:val="21"/>
          <w:szCs w:val="21"/>
        </w:rPr>
        <w:t>．建立健全安全生产责任制网络。从派往项目实施的项目经理到生产工人（包括临时雇请的民工）的安全生产管理系统必须做到纵向到底，一环不漏；各职能部门、人员的安全生产责任制做到横向到边，人人有责。施工单位的主要负责人是工程的安全生产负责人，对安全生产负领导责任，项目经理是工程的安全生产责任人，对安全生产负直接责任，专职安全员和安全员是工程现场的安全生产直接责任人，对安全生产具体负责。现场设置的安全机构，应按施工合同约定，配备安全员（其中专职安全员不少于</w:t>
      </w:r>
      <w:r>
        <w:rPr>
          <w:rFonts w:ascii="宋体" w:hAnsi="宋体"/>
          <w:sz w:val="21"/>
          <w:szCs w:val="21"/>
        </w:rPr>
        <w:t>1</w:t>
      </w:r>
      <w:r>
        <w:rPr>
          <w:rFonts w:hint="eastAsia" w:ascii="宋体" w:hAnsi="宋体" w:cs="宋体"/>
          <w:sz w:val="21"/>
          <w:szCs w:val="21"/>
        </w:rPr>
        <w:t>人），专职负责所有员工的安全和治安保卫工作及预防事故的发生。安全机构人员，有权按有关规定发布指令，并采取保护性措施防止事故发生。</w:t>
      </w:r>
    </w:p>
    <w:p>
      <w:pPr>
        <w:spacing w:line="380" w:lineRule="exact"/>
        <w:ind w:firstLine="420"/>
        <w:rPr>
          <w:rFonts w:ascii="宋体" w:hAnsi="宋体"/>
          <w:sz w:val="21"/>
          <w:szCs w:val="21"/>
        </w:rPr>
      </w:pPr>
      <w:r>
        <w:rPr>
          <w:rFonts w:ascii="宋体" w:hAnsi="宋体"/>
          <w:sz w:val="21"/>
          <w:szCs w:val="21"/>
        </w:rPr>
        <w:t>4</w:t>
      </w:r>
      <w:r>
        <w:rPr>
          <w:rFonts w:hint="eastAsia" w:ascii="宋体" w:hAnsi="宋体" w:cs="宋体"/>
          <w:sz w:val="21"/>
          <w:szCs w:val="21"/>
        </w:rPr>
        <w:t>．乙方在任何时侯都应采取各种合理的预防措施，防止其人员发生任何违法、违禁、暴力、违规或妨碍治安的行为。</w:t>
      </w:r>
    </w:p>
    <w:p>
      <w:pPr>
        <w:spacing w:line="380" w:lineRule="exact"/>
        <w:ind w:firstLine="420"/>
        <w:rPr>
          <w:rFonts w:ascii="宋体" w:hAnsi="宋体"/>
          <w:sz w:val="21"/>
          <w:szCs w:val="21"/>
        </w:rPr>
      </w:pPr>
      <w:r>
        <w:rPr>
          <w:rFonts w:ascii="宋体" w:hAnsi="宋体"/>
          <w:sz w:val="21"/>
          <w:szCs w:val="21"/>
        </w:rPr>
        <w:t>5</w:t>
      </w:r>
      <w:r>
        <w:rPr>
          <w:rFonts w:hint="eastAsia" w:ascii="宋体" w:hAnsi="宋体" w:cs="宋体"/>
          <w:sz w:val="21"/>
          <w:szCs w:val="21"/>
        </w:rPr>
        <w:t>．乙方必须具有省部级行政主管部门颁发的安全生产证书，参加施工的人员，必须按受安全技术教育，熟知和遵守本工程的各项安全技术操作规程，定期进行安全技术考核，合格者方准上岗操作，对于从事机动车驾驶、电气、起重、建筑登高架设作业、焊接等特殊工程的人员须持证上岗。施工现场如发现无证操作现象时，项目经理必须承担管理责任。</w:t>
      </w:r>
    </w:p>
    <w:p>
      <w:pPr>
        <w:spacing w:line="380" w:lineRule="exact"/>
        <w:ind w:firstLine="420"/>
        <w:rPr>
          <w:rFonts w:ascii="宋体" w:hAnsi="宋体"/>
          <w:sz w:val="21"/>
          <w:szCs w:val="21"/>
        </w:rPr>
      </w:pPr>
      <w:r>
        <w:rPr>
          <w:rFonts w:ascii="宋体" w:hAnsi="宋体"/>
          <w:sz w:val="21"/>
          <w:szCs w:val="21"/>
        </w:rPr>
        <w:t>6</w:t>
      </w:r>
      <w:r>
        <w:rPr>
          <w:rFonts w:hint="eastAsia" w:ascii="宋体" w:hAnsi="宋体" w:cs="宋体"/>
          <w:sz w:val="21"/>
          <w:szCs w:val="21"/>
        </w:rPr>
        <w:t>．加强施工中交通运输安全管理，各种运输机械等需划定运输路线行驶。</w:t>
      </w:r>
    </w:p>
    <w:p>
      <w:pPr>
        <w:spacing w:line="380" w:lineRule="exact"/>
        <w:ind w:firstLine="420"/>
        <w:rPr>
          <w:rFonts w:ascii="宋体" w:hAnsi="宋体"/>
          <w:sz w:val="21"/>
          <w:szCs w:val="21"/>
        </w:rPr>
      </w:pPr>
      <w:r>
        <w:rPr>
          <w:rFonts w:ascii="宋体" w:hAnsi="宋体"/>
          <w:sz w:val="21"/>
          <w:szCs w:val="21"/>
        </w:rPr>
        <w:t>7</w:t>
      </w:r>
      <w:r>
        <w:rPr>
          <w:rFonts w:hint="eastAsia" w:ascii="宋体" w:hAnsi="宋体" w:cs="宋体"/>
          <w:sz w:val="21"/>
          <w:szCs w:val="21"/>
        </w:rPr>
        <w:t>．对于易燃易爆的材料除应专门有效封闭、妥善保管之外，还应配备有足够的消防设施，所有施工人员都应熟悉消防设备的性能和使用方法。</w:t>
      </w:r>
    </w:p>
    <w:p>
      <w:pPr>
        <w:spacing w:line="380" w:lineRule="exact"/>
        <w:ind w:firstLine="420"/>
        <w:rPr>
          <w:rFonts w:ascii="宋体" w:hAnsi="宋体"/>
          <w:sz w:val="21"/>
          <w:szCs w:val="21"/>
        </w:rPr>
      </w:pPr>
      <w:r>
        <w:rPr>
          <w:rFonts w:ascii="宋体" w:hAnsi="宋体"/>
          <w:sz w:val="21"/>
          <w:szCs w:val="21"/>
        </w:rPr>
        <w:t>8</w:t>
      </w:r>
      <w:r>
        <w:rPr>
          <w:rFonts w:hint="eastAsia" w:ascii="宋体" w:hAnsi="宋体" w:cs="宋体"/>
          <w:sz w:val="21"/>
          <w:szCs w:val="21"/>
        </w:rPr>
        <w:t>．操作人员上岗，必须按规定穿戴防护用品。施工负责人和安全检查员应随时检查劳动防护用品的穿戴情况，不按规定穿戴防护用品的人员不得上岗。</w:t>
      </w:r>
    </w:p>
    <w:p>
      <w:pPr>
        <w:spacing w:line="380" w:lineRule="exact"/>
        <w:ind w:firstLine="420"/>
        <w:rPr>
          <w:rFonts w:ascii="宋体" w:hAnsi="宋体"/>
          <w:sz w:val="21"/>
          <w:szCs w:val="21"/>
        </w:rPr>
      </w:pPr>
      <w:r>
        <w:rPr>
          <w:rFonts w:ascii="宋体" w:hAnsi="宋体"/>
          <w:sz w:val="21"/>
          <w:szCs w:val="21"/>
        </w:rPr>
        <w:t>9</w:t>
      </w:r>
      <w:r>
        <w:rPr>
          <w:rFonts w:hint="eastAsia" w:ascii="宋体" w:hAnsi="宋体" w:cs="宋体"/>
          <w:sz w:val="21"/>
          <w:szCs w:val="21"/>
        </w:rPr>
        <w:t>．所有施工机具、设备和劳动保护用品应具备有效的安检合格证明，并经安全员签字同意后方可使用，施工期间应定期检查，保证其处于完好状态；不合格的机具、设备和劳动保护用品严禁使用。</w:t>
      </w:r>
    </w:p>
    <w:p>
      <w:pPr>
        <w:spacing w:line="380" w:lineRule="exact"/>
        <w:ind w:firstLine="420"/>
        <w:rPr>
          <w:rFonts w:ascii="宋体" w:hAnsi="宋体"/>
          <w:sz w:val="21"/>
          <w:szCs w:val="21"/>
        </w:rPr>
      </w:pPr>
      <w:r>
        <w:rPr>
          <w:rFonts w:ascii="宋体" w:hAnsi="宋体"/>
          <w:sz w:val="21"/>
          <w:szCs w:val="21"/>
        </w:rPr>
        <w:t>10</w:t>
      </w:r>
      <w:r>
        <w:rPr>
          <w:rFonts w:hint="eastAsia" w:ascii="宋体" w:hAnsi="宋体" w:cs="宋体"/>
          <w:sz w:val="21"/>
          <w:szCs w:val="21"/>
        </w:rPr>
        <w:t>．施工现场必须具有相关的安全标志牌。</w:t>
      </w:r>
    </w:p>
    <w:p>
      <w:pPr>
        <w:spacing w:line="380" w:lineRule="exact"/>
        <w:ind w:firstLine="420"/>
        <w:rPr>
          <w:rFonts w:ascii="宋体" w:hAnsi="宋体"/>
          <w:sz w:val="21"/>
          <w:szCs w:val="21"/>
        </w:rPr>
      </w:pPr>
      <w:r>
        <w:rPr>
          <w:rFonts w:ascii="宋体" w:hAnsi="宋体"/>
          <w:sz w:val="21"/>
          <w:szCs w:val="21"/>
        </w:rPr>
        <w:t>11</w:t>
      </w:r>
      <w:r>
        <w:rPr>
          <w:rFonts w:hint="eastAsia" w:ascii="宋体" w:hAnsi="宋体" w:cs="宋体"/>
          <w:sz w:val="21"/>
          <w:szCs w:val="21"/>
        </w:rPr>
        <w:t>．建立主要危险源备案制度，要明确潜在隐患、防范措施和落实责任人。</w:t>
      </w:r>
    </w:p>
    <w:p>
      <w:pPr>
        <w:spacing w:line="380" w:lineRule="exact"/>
        <w:ind w:firstLine="420"/>
        <w:rPr>
          <w:rFonts w:ascii="宋体" w:hAnsi="宋体"/>
          <w:sz w:val="21"/>
          <w:szCs w:val="21"/>
        </w:rPr>
      </w:pPr>
      <w:r>
        <w:rPr>
          <w:rFonts w:ascii="宋体" w:hAnsi="宋体"/>
          <w:sz w:val="21"/>
          <w:szCs w:val="21"/>
        </w:rPr>
        <w:t>12</w:t>
      </w:r>
      <w:r>
        <w:rPr>
          <w:rFonts w:hint="eastAsia" w:ascii="宋体" w:hAnsi="宋体" w:cs="宋体"/>
          <w:sz w:val="21"/>
          <w:szCs w:val="21"/>
        </w:rPr>
        <w:t>．乙方必须按照本工程项目特点，组织制定本工程实施中的生产安全事故应急救援预案；如果发生安全事故，应按照《国务院关于特大安全事故行政责任追究的规定》以及其它有关规定，及时上报有关部门，并坚持“三不放过”的原则，严肃处理相关责任人。</w:t>
      </w:r>
    </w:p>
    <w:p>
      <w:pPr>
        <w:spacing w:line="380" w:lineRule="exact"/>
        <w:ind w:firstLine="422"/>
        <w:rPr>
          <w:rFonts w:ascii="宋体" w:hAnsi="宋体" w:cs="宋体"/>
          <w:b/>
          <w:sz w:val="21"/>
          <w:szCs w:val="21"/>
        </w:rPr>
      </w:pPr>
      <w:r>
        <w:rPr>
          <w:rFonts w:hint="eastAsia" w:ascii="宋体" w:hAnsi="宋体" w:cs="宋体"/>
          <w:b/>
          <w:sz w:val="21"/>
          <w:szCs w:val="21"/>
        </w:rPr>
        <w:t>三、</w:t>
      </w:r>
      <w:r>
        <w:rPr>
          <w:rFonts w:hint="eastAsia" w:ascii="宋体" w:hAnsi="宋体" w:cs="宋体"/>
          <w:sz w:val="21"/>
          <w:szCs w:val="21"/>
        </w:rPr>
        <w:t>违约责任</w:t>
      </w:r>
    </w:p>
    <w:p>
      <w:pPr>
        <w:spacing w:line="380" w:lineRule="exact"/>
        <w:ind w:firstLine="420"/>
        <w:rPr>
          <w:rFonts w:ascii="宋体" w:hAnsi="宋体"/>
          <w:sz w:val="21"/>
          <w:szCs w:val="21"/>
        </w:rPr>
      </w:pPr>
      <w:r>
        <w:rPr>
          <w:rFonts w:hint="eastAsia" w:ascii="宋体" w:hAnsi="宋体" w:cs="宋体"/>
          <w:sz w:val="21"/>
          <w:szCs w:val="21"/>
        </w:rPr>
        <w:t>如因乙方违约造成安全事故，将报请有关部门依法追究责任。</w:t>
      </w:r>
    </w:p>
    <w:p>
      <w:pPr>
        <w:spacing w:line="380" w:lineRule="exact"/>
        <w:ind w:firstLine="420"/>
        <w:rPr>
          <w:rFonts w:ascii="宋体" w:hAnsi="宋体"/>
          <w:sz w:val="21"/>
          <w:szCs w:val="21"/>
        </w:rPr>
      </w:pPr>
      <w:r>
        <w:rPr>
          <w:rFonts w:hint="eastAsia" w:ascii="宋体" w:hAnsi="宋体" w:cs="宋体"/>
          <w:sz w:val="21"/>
          <w:szCs w:val="21"/>
        </w:rPr>
        <w:t>本合同一式二份，由双方法定代表人或其授权的代理人签署和加盖公章后生效，全部工程竣工验收后失效。</w:t>
      </w:r>
    </w:p>
    <w:p>
      <w:pPr>
        <w:spacing w:line="380" w:lineRule="exact"/>
        <w:ind w:firstLine="420"/>
        <w:rPr>
          <w:rFonts w:ascii="宋体" w:hAnsi="宋体"/>
          <w:sz w:val="21"/>
          <w:szCs w:val="21"/>
        </w:rPr>
      </w:pPr>
    </w:p>
    <w:p>
      <w:pPr>
        <w:spacing w:line="380" w:lineRule="exact"/>
        <w:ind w:firstLine="420"/>
        <w:rPr>
          <w:rFonts w:ascii="宋体" w:hAnsi="宋体" w:cs="宋体"/>
          <w:sz w:val="21"/>
          <w:szCs w:val="21"/>
        </w:rPr>
      </w:pPr>
    </w:p>
    <w:p>
      <w:pPr>
        <w:spacing w:line="380" w:lineRule="exact"/>
        <w:ind w:firstLine="420"/>
        <w:rPr>
          <w:rFonts w:ascii="宋体" w:hAnsi="宋体"/>
          <w:sz w:val="21"/>
          <w:szCs w:val="21"/>
        </w:rPr>
      </w:pPr>
      <w:r>
        <w:rPr>
          <w:rFonts w:hint="eastAsia" w:ascii="宋体" w:hAnsi="宋体" w:cs="宋体"/>
          <w:sz w:val="21"/>
          <w:szCs w:val="21"/>
        </w:rPr>
        <w:t>甲</w:t>
      </w:r>
      <w:r>
        <w:rPr>
          <w:rFonts w:ascii="宋体" w:hAnsi="宋体"/>
          <w:sz w:val="21"/>
          <w:szCs w:val="21"/>
        </w:rPr>
        <w:t xml:space="preserve">      </w:t>
      </w:r>
      <w:r>
        <w:rPr>
          <w:rFonts w:hint="eastAsia" w:ascii="宋体" w:hAnsi="宋体" w:cs="宋体"/>
          <w:sz w:val="21"/>
          <w:szCs w:val="21"/>
        </w:rPr>
        <w:t>方：</w:t>
      </w:r>
      <w:r>
        <w:rPr>
          <w:rFonts w:ascii="宋体" w:hAnsi="宋体"/>
          <w:sz w:val="21"/>
          <w:szCs w:val="21"/>
        </w:rPr>
        <w:t xml:space="preserve">                         </w:t>
      </w:r>
      <w:r>
        <w:rPr>
          <w:rFonts w:hint="eastAsia" w:ascii="宋体" w:hAnsi="宋体" w:cs="宋体"/>
          <w:sz w:val="21"/>
          <w:szCs w:val="21"/>
        </w:rPr>
        <w:t>乙</w:t>
      </w:r>
      <w:r>
        <w:rPr>
          <w:rFonts w:ascii="宋体" w:hAnsi="宋体"/>
          <w:sz w:val="21"/>
          <w:szCs w:val="21"/>
        </w:rPr>
        <w:t xml:space="preserve">    </w:t>
      </w:r>
      <w:r>
        <w:rPr>
          <w:rFonts w:hint="eastAsia" w:ascii="宋体" w:hAnsi="宋体" w:cs="宋体"/>
          <w:sz w:val="21"/>
          <w:szCs w:val="21"/>
        </w:rPr>
        <w:t>方：</w:t>
      </w:r>
      <w:r>
        <w:rPr>
          <w:rFonts w:ascii="宋体" w:hAnsi="宋体"/>
          <w:sz w:val="21"/>
          <w:szCs w:val="21"/>
        </w:rPr>
        <w:t xml:space="preserve">                     </w:t>
      </w:r>
    </w:p>
    <w:p>
      <w:pPr>
        <w:spacing w:line="380" w:lineRule="exact"/>
        <w:ind w:firstLine="420"/>
        <w:rPr>
          <w:rFonts w:ascii="宋体" w:hAnsi="宋体"/>
          <w:sz w:val="21"/>
          <w:szCs w:val="21"/>
        </w:rPr>
      </w:pPr>
      <w:r>
        <w:rPr>
          <w:rFonts w:hint="eastAsia" w:ascii="宋体" w:hAnsi="宋体" w:cs="宋体"/>
          <w:sz w:val="21"/>
          <w:szCs w:val="21"/>
        </w:rPr>
        <w:t>法定代表人（或授权代理人）：</w:t>
      </w:r>
      <w:r>
        <w:rPr>
          <w:rFonts w:ascii="宋体" w:hAnsi="宋体"/>
          <w:sz w:val="21"/>
          <w:szCs w:val="21"/>
        </w:rPr>
        <w:t xml:space="preserve">         </w:t>
      </w:r>
      <w:r>
        <w:rPr>
          <w:rFonts w:hint="eastAsia" w:ascii="宋体" w:hAnsi="宋体" w:cs="宋体"/>
          <w:sz w:val="21"/>
          <w:szCs w:val="21"/>
        </w:rPr>
        <w:t>法定代表人（或授权代理人）：</w:t>
      </w:r>
    </w:p>
    <w:p>
      <w:pPr>
        <w:spacing w:line="380" w:lineRule="exact"/>
        <w:ind w:firstLine="420"/>
        <w:rPr>
          <w:rFonts w:ascii="宋体" w:hAnsi="宋体"/>
          <w:sz w:val="21"/>
          <w:szCs w:val="21"/>
        </w:rPr>
      </w:pPr>
      <w:r>
        <w:rPr>
          <w:rFonts w:hint="eastAsia" w:ascii="宋体" w:hAnsi="宋体" w:cs="宋体"/>
          <w:sz w:val="21"/>
          <w:szCs w:val="21"/>
        </w:rPr>
        <w:t>地</w:t>
      </w:r>
      <w:r>
        <w:rPr>
          <w:rFonts w:ascii="宋体" w:hAnsi="宋体"/>
          <w:sz w:val="21"/>
          <w:szCs w:val="21"/>
        </w:rPr>
        <w:t xml:space="preserve">       </w:t>
      </w:r>
      <w:r>
        <w:rPr>
          <w:rFonts w:hint="eastAsia" w:ascii="宋体" w:hAnsi="宋体" w:cs="宋体"/>
          <w:sz w:val="21"/>
          <w:szCs w:val="21"/>
        </w:rPr>
        <w:t>址：</w:t>
      </w:r>
      <w:r>
        <w:rPr>
          <w:rFonts w:ascii="宋体" w:hAnsi="宋体"/>
          <w:sz w:val="21"/>
          <w:szCs w:val="21"/>
        </w:rPr>
        <w:t xml:space="preserve">                        </w:t>
      </w:r>
      <w:r>
        <w:rPr>
          <w:rFonts w:hint="eastAsia" w:ascii="宋体" w:hAnsi="宋体" w:cs="宋体"/>
          <w:sz w:val="21"/>
          <w:szCs w:val="21"/>
        </w:rPr>
        <w:t>地</w:t>
      </w:r>
      <w:r>
        <w:rPr>
          <w:rFonts w:ascii="宋体" w:hAnsi="宋体"/>
          <w:sz w:val="21"/>
          <w:szCs w:val="21"/>
        </w:rPr>
        <w:t xml:space="preserve">     </w:t>
      </w:r>
      <w:r>
        <w:rPr>
          <w:rFonts w:hint="eastAsia" w:ascii="宋体" w:hAnsi="宋体" w:cs="宋体"/>
          <w:sz w:val="21"/>
          <w:szCs w:val="21"/>
        </w:rPr>
        <w:t>址：</w:t>
      </w:r>
      <w:r>
        <w:rPr>
          <w:rFonts w:ascii="宋体" w:hAnsi="宋体"/>
          <w:sz w:val="21"/>
          <w:szCs w:val="21"/>
        </w:rPr>
        <w:t xml:space="preserve">             </w:t>
      </w:r>
    </w:p>
    <w:p>
      <w:pPr>
        <w:spacing w:line="380" w:lineRule="exact"/>
        <w:ind w:firstLine="420"/>
        <w:rPr>
          <w:rFonts w:ascii="宋体" w:hAnsi="宋体"/>
          <w:sz w:val="21"/>
          <w:szCs w:val="21"/>
        </w:rPr>
      </w:pPr>
      <w:r>
        <w:rPr>
          <w:rFonts w:hint="eastAsia" w:ascii="宋体" w:hAnsi="宋体" w:cs="宋体"/>
          <w:sz w:val="21"/>
          <w:szCs w:val="21"/>
        </w:rPr>
        <w:t>电</w:t>
      </w:r>
      <w:r>
        <w:rPr>
          <w:rFonts w:ascii="宋体" w:hAnsi="宋体"/>
          <w:sz w:val="21"/>
          <w:szCs w:val="21"/>
        </w:rPr>
        <w:t xml:space="preserve">       </w:t>
      </w:r>
      <w:r>
        <w:rPr>
          <w:rFonts w:hint="eastAsia" w:ascii="宋体" w:hAnsi="宋体" w:cs="宋体"/>
          <w:sz w:val="21"/>
          <w:szCs w:val="21"/>
        </w:rPr>
        <w:t>话：</w:t>
      </w:r>
      <w:r>
        <w:rPr>
          <w:rFonts w:ascii="宋体" w:hAnsi="宋体"/>
          <w:sz w:val="21"/>
          <w:szCs w:val="21"/>
        </w:rPr>
        <w:t xml:space="preserve">                        </w:t>
      </w:r>
      <w:r>
        <w:rPr>
          <w:rFonts w:hint="eastAsia" w:ascii="宋体" w:hAnsi="宋体" w:cs="宋体"/>
          <w:sz w:val="21"/>
          <w:szCs w:val="21"/>
        </w:rPr>
        <w:t>电</w:t>
      </w:r>
      <w:r>
        <w:rPr>
          <w:rFonts w:ascii="宋体" w:hAnsi="宋体"/>
          <w:sz w:val="21"/>
          <w:szCs w:val="21"/>
        </w:rPr>
        <w:t xml:space="preserve">     </w:t>
      </w:r>
      <w:r>
        <w:rPr>
          <w:rFonts w:hint="eastAsia" w:ascii="宋体" w:hAnsi="宋体" w:cs="宋体"/>
          <w:sz w:val="21"/>
          <w:szCs w:val="21"/>
        </w:rPr>
        <w:t>话：</w:t>
      </w:r>
      <w:r>
        <w:rPr>
          <w:rFonts w:ascii="宋体" w:hAnsi="宋体"/>
          <w:sz w:val="21"/>
          <w:szCs w:val="21"/>
        </w:rPr>
        <w:t xml:space="preserve">              </w:t>
      </w:r>
    </w:p>
    <w:p>
      <w:pPr>
        <w:spacing w:line="380" w:lineRule="exact"/>
        <w:ind w:firstLine="420"/>
        <w:rPr>
          <w:rFonts w:ascii="宋体" w:hAnsi="宋体" w:cs="宋体"/>
          <w:position w:val="2"/>
          <w:sz w:val="21"/>
          <w:szCs w:val="21"/>
        </w:rPr>
      </w:pPr>
    </w:p>
    <w:p>
      <w:pPr>
        <w:spacing w:line="380" w:lineRule="exact"/>
        <w:ind w:firstLine="420"/>
        <w:rPr>
          <w:rFonts w:ascii="宋体" w:hAnsi="宋体" w:cs="宋体"/>
          <w:sz w:val="21"/>
          <w:szCs w:val="21"/>
        </w:rPr>
      </w:pPr>
    </w:p>
    <w:p>
      <w:pPr>
        <w:spacing w:line="380" w:lineRule="exact"/>
        <w:ind w:firstLine="420"/>
        <w:jc w:val="right"/>
        <w:rPr>
          <w:rFonts w:ascii="宋体" w:hAnsi="宋体"/>
          <w:sz w:val="21"/>
          <w:szCs w:val="21"/>
        </w:rPr>
      </w:pPr>
      <w:r>
        <w:rPr>
          <w:rFonts w:hint="eastAsia" w:ascii="宋体" w:hAnsi="宋体" w:cs="宋体"/>
          <w:sz w:val="21"/>
          <w:szCs w:val="21"/>
        </w:rPr>
        <w:t>签订日期：</w:t>
      </w:r>
      <w:r>
        <w:rPr>
          <w:rFonts w:ascii="宋体" w:hAnsi="宋体"/>
          <w:sz w:val="21"/>
          <w:szCs w:val="21"/>
        </w:rPr>
        <w:t xml:space="preserve">      </w:t>
      </w:r>
      <w:r>
        <w:rPr>
          <w:rFonts w:hint="eastAsia" w:ascii="宋体" w:hAnsi="宋体" w:cs="宋体"/>
          <w:sz w:val="21"/>
          <w:szCs w:val="21"/>
        </w:rPr>
        <w:t>年</w:t>
      </w:r>
      <w:r>
        <w:rPr>
          <w:rFonts w:ascii="宋体" w:hAnsi="宋体"/>
          <w:sz w:val="21"/>
          <w:szCs w:val="21"/>
        </w:rPr>
        <w:t xml:space="preserve">    </w:t>
      </w:r>
      <w:r>
        <w:rPr>
          <w:rFonts w:hint="eastAsia" w:ascii="宋体" w:hAnsi="宋体" w:cs="宋体"/>
          <w:sz w:val="21"/>
          <w:szCs w:val="21"/>
        </w:rPr>
        <w:t>月</w:t>
      </w:r>
      <w:r>
        <w:rPr>
          <w:rFonts w:ascii="宋体" w:hAnsi="宋体"/>
          <w:sz w:val="21"/>
          <w:szCs w:val="21"/>
        </w:rPr>
        <w:t xml:space="preserve">    </w:t>
      </w:r>
      <w:r>
        <w:rPr>
          <w:rFonts w:hint="eastAsia" w:ascii="宋体" w:hAnsi="宋体" w:cs="宋体"/>
          <w:sz w:val="21"/>
          <w:szCs w:val="21"/>
        </w:rPr>
        <w:t>日</w:t>
      </w: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rPr>
          <w:rFonts w:ascii="宋体" w:hAnsi="宋体"/>
        </w:rPr>
      </w:pPr>
    </w:p>
    <w:p>
      <w:pPr>
        <w:pStyle w:val="2"/>
        <w:rPr>
          <w:rFonts w:ascii="宋体" w:hAnsi="宋体"/>
        </w:rPr>
      </w:pPr>
    </w:p>
    <w:p>
      <w:pPr>
        <w:rPr>
          <w:rFonts w:ascii="宋体" w:hAnsi="宋体"/>
        </w:rPr>
      </w:pPr>
    </w:p>
    <w:p>
      <w:pPr>
        <w:rPr>
          <w:rFonts w:ascii="宋体" w:hAnsi="宋体"/>
        </w:rPr>
      </w:pPr>
    </w:p>
    <w:p>
      <w:pPr>
        <w:rPr>
          <w:rFonts w:ascii="宋体" w:hAnsi="宋体"/>
        </w:rPr>
      </w:pPr>
    </w:p>
    <w:p>
      <w:pPr>
        <w:pStyle w:val="4"/>
        <w:spacing w:line="380" w:lineRule="exact"/>
        <w:rPr>
          <w:rFonts w:hint="eastAsia" w:ascii="宋体" w:hAnsi="宋体" w:eastAsia="宋体" w:cs="宋体"/>
          <w:color w:val="auto"/>
          <w:sz w:val="21"/>
          <w:szCs w:val="21"/>
          <w:highlight w:val="none"/>
        </w:rPr>
      </w:pPr>
      <w:bookmarkStart w:id="249" w:name="_Toc522970381"/>
      <w:bookmarkStart w:id="250" w:name="_Toc27576511"/>
      <w:bookmarkStart w:id="251" w:name="_Toc525977344"/>
      <w:bookmarkStart w:id="252" w:name="_Toc12319"/>
      <w:bookmarkStart w:id="253" w:name="_Toc11195"/>
      <w:bookmarkStart w:id="254" w:name="_Toc340483327"/>
      <w:r>
        <w:rPr>
          <w:rFonts w:hint="eastAsia" w:ascii="宋体" w:hAnsi="宋体" w:eastAsia="宋体" w:cs="宋体"/>
          <w:color w:val="auto"/>
          <w:sz w:val="21"/>
          <w:szCs w:val="21"/>
          <w:highlight w:val="none"/>
        </w:rPr>
        <w:t>附件</w:t>
      </w:r>
      <w:r>
        <w:rPr>
          <w:rFonts w:hint="eastAsia" w:ascii="宋体" w:hAnsi="宋体" w:eastAsia="宋体" w:cs="宋体"/>
          <w:color w:val="auto"/>
          <w:sz w:val="21"/>
          <w:szCs w:val="21"/>
          <w:highlight w:val="none"/>
          <w:lang w:val="en-US" w:eastAsia="zh-CN"/>
        </w:rPr>
        <w:t>四</w:t>
      </w:r>
      <w:r>
        <w:rPr>
          <w:rFonts w:hint="eastAsia" w:ascii="宋体" w:hAnsi="宋体" w:eastAsia="宋体" w:cs="宋体"/>
          <w:color w:val="auto"/>
          <w:sz w:val="21"/>
          <w:szCs w:val="21"/>
          <w:highlight w:val="none"/>
        </w:rPr>
        <w:t>：</w:t>
      </w:r>
      <w:bookmarkEnd w:id="249"/>
      <w:bookmarkEnd w:id="250"/>
      <w:bookmarkEnd w:id="251"/>
      <w:r>
        <w:rPr>
          <w:rFonts w:hint="eastAsia" w:ascii="宋体" w:hAnsi="宋体" w:eastAsia="宋体" w:cs="宋体"/>
          <w:color w:val="auto"/>
          <w:sz w:val="21"/>
          <w:szCs w:val="21"/>
          <w:highlight w:val="none"/>
        </w:rPr>
        <w:t xml:space="preserve">  </w:t>
      </w:r>
    </w:p>
    <w:p>
      <w:pPr>
        <w:pStyle w:val="4"/>
        <w:spacing w:line="400" w:lineRule="exact"/>
        <w:jc w:val="center"/>
        <w:rPr>
          <w:rFonts w:hint="eastAsia" w:ascii="宋体" w:hAnsi="宋体" w:eastAsia="宋体" w:cs="宋体"/>
          <w:color w:val="auto"/>
          <w:sz w:val="21"/>
          <w:szCs w:val="21"/>
          <w:highlight w:val="none"/>
        </w:rPr>
      </w:pPr>
      <w:bookmarkStart w:id="255" w:name="_Toc522970382"/>
      <w:bookmarkStart w:id="256" w:name="_Toc27576512"/>
      <w:bookmarkStart w:id="257" w:name="_Toc525977345"/>
      <w:r>
        <w:rPr>
          <w:rFonts w:hint="eastAsia" w:ascii="宋体" w:hAnsi="宋体" w:eastAsia="宋体" w:cs="宋体"/>
          <w:color w:val="auto"/>
          <w:sz w:val="21"/>
          <w:szCs w:val="21"/>
          <w:highlight w:val="none"/>
        </w:rPr>
        <w:t>关于不拖欠农民工工资的承诺(格式)</w:t>
      </w:r>
      <w:bookmarkEnd w:id="252"/>
      <w:bookmarkEnd w:id="253"/>
      <w:bookmarkEnd w:id="254"/>
      <w:bookmarkEnd w:id="255"/>
      <w:bookmarkEnd w:id="256"/>
      <w:bookmarkEnd w:id="257"/>
    </w:p>
    <w:p>
      <w:pPr>
        <w:pStyle w:val="7"/>
        <w:spacing w:line="400" w:lineRule="exact"/>
        <w:ind w:firstLine="0"/>
        <w:rPr>
          <w:rFonts w:hint="eastAsia" w:ascii="宋体" w:hAnsi="宋体" w:eastAsia="宋体" w:cs="宋体"/>
          <w:b/>
          <w:color w:val="auto"/>
          <w:sz w:val="21"/>
          <w:szCs w:val="21"/>
          <w:highlight w:val="none"/>
        </w:rPr>
      </w:pPr>
    </w:p>
    <w:p>
      <w:pPr>
        <w:spacing w:line="4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致: </w:t>
      </w:r>
    </w:p>
    <w:p>
      <w:pPr>
        <w:spacing w:line="400" w:lineRule="exact"/>
        <w:rPr>
          <w:rFonts w:hint="eastAsia" w:ascii="宋体" w:hAnsi="宋体" w:eastAsia="宋体" w:cs="宋体"/>
          <w:color w:val="auto"/>
          <w:sz w:val="21"/>
          <w:szCs w:val="21"/>
          <w:highlight w:val="none"/>
          <w:u w:val="single"/>
        </w:rPr>
      </w:pPr>
    </w:p>
    <w:p>
      <w:pPr>
        <w:pStyle w:val="7"/>
        <w:spacing w:line="400" w:lineRule="exac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我方对</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(招标编号：</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)进行投标。我方承诺:我方将保障农民工的权益，不拖欠农民工工资。如违反承诺,我方同意你方有权在进度款中扣除相应款项，用于直接支付农民工工资。</w:t>
      </w:r>
    </w:p>
    <w:p>
      <w:pPr>
        <w:pStyle w:val="7"/>
        <w:spacing w:line="400" w:lineRule="exact"/>
        <w:jc w:val="right"/>
        <w:rPr>
          <w:rFonts w:hint="eastAsia" w:ascii="宋体" w:hAnsi="宋体" w:eastAsia="宋体" w:cs="宋体"/>
          <w:color w:val="auto"/>
          <w:sz w:val="21"/>
          <w:szCs w:val="21"/>
          <w:highlight w:val="none"/>
        </w:rPr>
      </w:pPr>
    </w:p>
    <w:p>
      <w:pPr>
        <w:pStyle w:val="7"/>
        <w:spacing w:line="400" w:lineRule="exact"/>
        <w:ind w:right="420"/>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投标人：      （盖单位章）</w:t>
      </w:r>
    </w:p>
    <w:p>
      <w:pPr>
        <w:pStyle w:val="7"/>
        <w:spacing w:line="400" w:lineRule="exact"/>
        <w:ind w:right="210"/>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法定代表人（或委托代理人）：</w:t>
      </w:r>
      <w:r>
        <w:rPr>
          <w:rFonts w:hint="eastAsia" w:ascii="宋体" w:hAnsi="宋体" w:eastAsia="宋体" w:cs="宋体"/>
          <w:color w:val="auto"/>
          <w:sz w:val="21"/>
          <w:szCs w:val="21"/>
          <w:highlight w:val="none"/>
          <w:u w:val="single"/>
        </w:rPr>
        <w:t>（签名）</w:t>
      </w:r>
    </w:p>
    <w:p>
      <w:pPr>
        <w:spacing w:line="360" w:lineRule="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xml:space="preserve">                                   日   期： </w:t>
      </w:r>
    </w:p>
    <w:p>
      <w:pPr>
        <w:spacing w:line="240" w:lineRule="auto"/>
        <w:ind w:firstLine="420" w:firstLineChars="200"/>
        <w:rPr>
          <w:rFonts w:hint="eastAsia" w:ascii="宋体" w:hAnsi="宋体" w:eastAsia="宋体" w:cs="宋体"/>
          <w:snapToGrid w:val="0"/>
          <w:sz w:val="21"/>
          <w:szCs w:val="21"/>
        </w:rPr>
      </w:pPr>
    </w:p>
    <w:p>
      <w:pPr>
        <w:pStyle w:val="6"/>
        <w:rPr>
          <w:rFonts w:hint="eastAsia" w:ascii="宋体" w:hAnsi="宋体" w:eastAsia="宋体" w:cs="宋体"/>
          <w:snapToGrid w:val="0"/>
          <w:sz w:val="21"/>
          <w:szCs w:val="21"/>
        </w:rPr>
      </w:pPr>
    </w:p>
    <w:p>
      <w:pPr>
        <w:rPr>
          <w:rFonts w:hint="eastAsia" w:ascii="宋体" w:hAnsi="宋体" w:eastAsia="宋体" w:cs="宋体"/>
          <w:snapToGrid w:val="0"/>
          <w:sz w:val="21"/>
          <w:szCs w:val="21"/>
        </w:rPr>
      </w:pPr>
    </w:p>
    <w:p>
      <w:pPr>
        <w:pStyle w:val="2"/>
        <w:rPr>
          <w:rFonts w:hint="eastAsia" w:ascii="宋体" w:hAnsi="宋体" w:eastAsia="宋体" w:cs="宋体"/>
          <w:snapToGrid w:val="0"/>
          <w:sz w:val="21"/>
          <w:szCs w:val="21"/>
        </w:rPr>
      </w:pPr>
    </w:p>
    <w:p>
      <w:pPr>
        <w:rPr>
          <w:rFonts w:hint="eastAsia" w:ascii="宋体" w:hAnsi="宋体" w:eastAsia="宋体" w:cs="宋体"/>
          <w:snapToGrid w:val="0"/>
          <w:sz w:val="21"/>
          <w:szCs w:val="21"/>
        </w:rPr>
      </w:pPr>
    </w:p>
    <w:p>
      <w:pPr>
        <w:pStyle w:val="2"/>
        <w:rPr>
          <w:rFonts w:hint="eastAsia" w:ascii="宋体" w:hAnsi="宋体" w:eastAsia="宋体" w:cs="宋体"/>
          <w:snapToGrid w:val="0"/>
          <w:sz w:val="21"/>
          <w:szCs w:val="21"/>
        </w:rPr>
      </w:pPr>
    </w:p>
    <w:p>
      <w:pPr>
        <w:rPr>
          <w:rFonts w:hint="eastAsia" w:ascii="宋体" w:hAnsi="宋体" w:eastAsia="宋体" w:cs="宋体"/>
          <w:snapToGrid w:val="0"/>
          <w:sz w:val="21"/>
          <w:szCs w:val="21"/>
        </w:rPr>
      </w:pPr>
    </w:p>
    <w:p>
      <w:pPr>
        <w:pStyle w:val="2"/>
        <w:rPr>
          <w:rFonts w:hint="eastAsia" w:ascii="宋体" w:hAnsi="宋体" w:eastAsia="宋体" w:cs="宋体"/>
          <w:snapToGrid w:val="0"/>
          <w:sz w:val="21"/>
          <w:szCs w:val="21"/>
        </w:rPr>
      </w:pPr>
    </w:p>
    <w:p>
      <w:pPr>
        <w:rPr>
          <w:rFonts w:hint="eastAsia" w:ascii="宋体" w:hAnsi="宋体" w:eastAsia="宋体" w:cs="宋体"/>
          <w:snapToGrid w:val="0"/>
          <w:sz w:val="21"/>
          <w:szCs w:val="21"/>
        </w:rPr>
      </w:pPr>
    </w:p>
    <w:p>
      <w:pPr>
        <w:pStyle w:val="2"/>
        <w:rPr>
          <w:rFonts w:hint="eastAsia" w:ascii="宋体" w:hAnsi="宋体" w:eastAsia="宋体" w:cs="宋体"/>
          <w:snapToGrid w:val="0"/>
          <w:sz w:val="21"/>
          <w:szCs w:val="21"/>
        </w:rPr>
      </w:pPr>
    </w:p>
    <w:p>
      <w:pPr>
        <w:rPr>
          <w:rFonts w:hint="eastAsia" w:ascii="宋体" w:hAnsi="宋体" w:eastAsia="宋体" w:cs="宋体"/>
          <w:snapToGrid w:val="0"/>
          <w:sz w:val="21"/>
          <w:szCs w:val="21"/>
        </w:rPr>
      </w:pPr>
    </w:p>
    <w:p>
      <w:pPr>
        <w:pStyle w:val="2"/>
        <w:rPr>
          <w:rFonts w:hint="eastAsia" w:ascii="宋体" w:hAnsi="宋体" w:eastAsia="宋体" w:cs="宋体"/>
          <w:snapToGrid w:val="0"/>
          <w:sz w:val="21"/>
          <w:szCs w:val="21"/>
        </w:rPr>
      </w:pPr>
    </w:p>
    <w:p>
      <w:pPr>
        <w:rPr>
          <w:rFonts w:hint="eastAsia" w:ascii="宋体" w:hAnsi="宋体" w:eastAsia="宋体" w:cs="宋体"/>
          <w:snapToGrid w:val="0"/>
          <w:sz w:val="21"/>
          <w:szCs w:val="21"/>
        </w:rPr>
      </w:pPr>
    </w:p>
    <w:p>
      <w:pPr>
        <w:pStyle w:val="2"/>
        <w:rPr>
          <w:rFonts w:hint="eastAsia" w:ascii="宋体" w:hAnsi="宋体" w:eastAsia="宋体" w:cs="宋体"/>
          <w:snapToGrid w:val="0"/>
          <w:sz w:val="21"/>
          <w:szCs w:val="21"/>
        </w:rPr>
      </w:pPr>
    </w:p>
    <w:p>
      <w:pPr>
        <w:rPr>
          <w:rFonts w:hint="eastAsia" w:ascii="宋体" w:hAnsi="宋体" w:eastAsia="宋体" w:cs="宋体"/>
          <w:snapToGrid w:val="0"/>
          <w:sz w:val="21"/>
          <w:szCs w:val="21"/>
        </w:rPr>
      </w:pPr>
    </w:p>
    <w:p>
      <w:pPr>
        <w:rPr>
          <w:rFonts w:hint="eastAsia"/>
        </w:rPr>
      </w:pPr>
    </w:p>
    <w:p>
      <w:pPr>
        <w:pStyle w:val="19"/>
        <w:ind w:left="0" w:leftChars="0" w:firstLine="0" w:firstLineChars="0"/>
        <w:rPr>
          <w:rFonts w:hint="eastAsia" w:ascii="宋体" w:hAnsi="宋体" w:eastAsia="宋体" w:cs="宋体"/>
          <w:color w:val="auto"/>
          <w:sz w:val="21"/>
          <w:szCs w:val="21"/>
          <w:highlight w:val="none"/>
          <w:u w:val="single"/>
        </w:rPr>
      </w:pPr>
    </w:p>
    <w:p>
      <w:pPr>
        <w:pStyle w:val="18"/>
        <w:numPr>
          <w:ilvl w:val="0"/>
          <w:numId w:val="9"/>
        </w:numPr>
        <w:rPr>
          <w:rFonts w:hint="eastAsia" w:ascii="宋体" w:hAnsi="宋体" w:eastAsia="宋体" w:cs="宋体"/>
          <w:color w:val="auto"/>
          <w:sz w:val="21"/>
          <w:szCs w:val="21"/>
          <w:highlight w:val="none"/>
        </w:rPr>
      </w:pPr>
      <w:bookmarkStart w:id="258" w:name="_Toc10040"/>
      <w:bookmarkStart w:id="259" w:name="_Toc30298"/>
      <w:bookmarkStart w:id="260" w:name="_Toc523759154"/>
      <w:bookmarkStart w:id="261" w:name="_Toc470"/>
      <w:bookmarkStart w:id="262" w:name="_Toc25209"/>
      <w:bookmarkStart w:id="263" w:name="_Toc341256074"/>
      <w:r>
        <w:rPr>
          <w:rFonts w:hint="eastAsia" w:ascii="宋体" w:hAnsi="宋体" w:eastAsia="宋体" w:cs="宋体"/>
          <w:color w:val="auto"/>
          <w:sz w:val="21"/>
          <w:szCs w:val="21"/>
          <w:highlight w:val="none"/>
        </w:rPr>
        <w:t>评标方法</w:t>
      </w:r>
      <w:bookmarkEnd w:id="258"/>
      <w:bookmarkEnd w:id="259"/>
      <w:bookmarkEnd w:id="260"/>
      <w:bookmarkStart w:id="264" w:name="_Toc4084"/>
      <w:bookmarkStart w:id="265" w:name="_Toc19528"/>
    </w:p>
    <w:bookmarkEnd w:id="264"/>
    <w:bookmarkEnd w:id="265"/>
    <w:p>
      <w:pPr>
        <w:spacing w:line="360" w:lineRule="auto"/>
        <w:ind w:firstLine="413" w:firstLineChars="196"/>
        <w:outlineLvl w:val="1"/>
        <w:rPr>
          <w:rFonts w:hint="eastAsia" w:ascii="宋体" w:hAnsi="宋体" w:eastAsia="宋体" w:cs="宋体"/>
          <w:sz w:val="21"/>
          <w:szCs w:val="21"/>
        </w:rPr>
      </w:pPr>
      <w:bookmarkStart w:id="266" w:name="_Toc10551"/>
      <w:r>
        <w:rPr>
          <w:rFonts w:hint="eastAsia" w:ascii="宋体" w:hAnsi="宋体" w:eastAsia="宋体" w:cs="宋体"/>
          <w:b/>
          <w:sz w:val="21"/>
          <w:szCs w:val="21"/>
        </w:rPr>
        <w:t>一、技术标</w:t>
      </w:r>
      <w:r>
        <w:rPr>
          <w:rFonts w:hint="eastAsia" w:ascii="宋体" w:hAnsi="宋体" w:eastAsia="宋体" w:cs="宋体"/>
          <w:b/>
          <w:sz w:val="21"/>
          <w:szCs w:val="21"/>
          <w:lang w:eastAsia="zh-CN"/>
        </w:rPr>
        <w:t>：</w:t>
      </w:r>
      <w:r>
        <w:rPr>
          <w:rFonts w:hint="eastAsia" w:ascii="宋体" w:hAnsi="宋体" w:eastAsia="宋体" w:cs="宋体"/>
          <w:sz w:val="21"/>
          <w:szCs w:val="21"/>
        </w:rPr>
        <w:t>（不需要）</w:t>
      </w:r>
    </w:p>
    <w:p>
      <w:pPr>
        <w:spacing w:line="360" w:lineRule="auto"/>
        <w:ind w:firstLine="413" w:firstLineChars="196"/>
        <w:outlineLvl w:val="1"/>
        <w:rPr>
          <w:rFonts w:hint="eastAsia" w:ascii="宋体" w:hAnsi="宋体" w:eastAsia="宋体" w:cs="宋体"/>
          <w:b/>
          <w:kern w:val="0"/>
          <w:sz w:val="21"/>
          <w:szCs w:val="21"/>
        </w:rPr>
      </w:pPr>
      <w:r>
        <w:rPr>
          <w:rFonts w:hint="eastAsia" w:ascii="宋体" w:hAnsi="宋体" w:eastAsia="宋体" w:cs="宋体"/>
          <w:b/>
          <w:bCs/>
          <w:kern w:val="0"/>
          <w:sz w:val="21"/>
          <w:szCs w:val="21"/>
        </w:rPr>
        <w:t>二、商务标评审：</w:t>
      </w:r>
    </w:p>
    <w:p>
      <w:pPr>
        <w:autoSpaceDE w:val="0"/>
        <w:autoSpaceDN w:val="0"/>
        <w:adjustRightInd w:val="0"/>
        <w:spacing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 xml:space="preserve">1. 符合性审查，确定有效投标报价。 </w:t>
      </w:r>
    </w:p>
    <w:p>
      <w:pPr>
        <w:autoSpaceDE w:val="0"/>
        <w:autoSpaceDN w:val="0"/>
        <w:adjustRightInd w:val="0"/>
        <w:spacing w:line="360" w:lineRule="auto"/>
        <w:ind w:firstLine="420" w:firstLineChars="200"/>
        <w:jc w:val="left"/>
        <w:rPr>
          <w:rFonts w:hint="eastAsia" w:ascii="宋体" w:hAnsi="宋体" w:eastAsia="宋体" w:cs="宋体"/>
          <w:kern w:val="0"/>
          <w:sz w:val="21"/>
          <w:szCs w:val="21"/>
        </w:rPr>
      </w:pPr>
      <w:r>
        <w:rPr>
          <w:rFonts w:hint="eastAsia" w:ascii="宋体" w:hAnsi="宋体" w:eastAsia="宋体" w:cs="宋体"/>
          <w:kern w:val="0"/>
          <w:sz w:val="21"/>
          <w:szCs w:val="21"/>
        </w:rPr>
        <w:t xml:space="preserve">2. 凡符合招标文件、招标答疑纪要等有关招标要求，并且在招标控制总价以下的投标报价均为有效投标报价。高于招标控制价的投标报价为废标。 </w:t>
      </w:r>
    </w:p>
    <w:p>
      <w:pPr>
        <w:tabs>
          <w:tab w:val="left" w:pos="720"/>
        </w:tabs>
        <w:spacing w:line="360" w:lineRule="auto"/>
        <w:ind w:left="-90" w:leftChars="-45" w:firstLine="527" w:firstLineChars="250"/>
        <w:rPr>
          <w:rFonts w:hint="eastAsia" w:ascii="宋体" w:hAnsi="宋体" w:eastAsia="宋体" w:cs="宋体"/>
          <w:b/>
          <w:kern w:val="0"/>
          <w:sz w:val="21"/>
          <w:szCs w:val="21"/>
        </w:rPr>
      </w:pPr>
      <w:r>
        <w:rPr>
          <w:rFonts w:hint="eastAsia" w:ascii="宋体" w:hAnsi="宋体" w:eastAsia="宋体" w:cs="宋体"/>
          <w:b/>
          <w:kern w:val="0"/>
          <w:sz w:val="21"/>
          <w:szCs w:val="21"/>
        </w:rPr>
        <w:t>3. 投标报价总价得分（100分）：</w:t>
      </w:r>
    </w:p>
    <w:p>
      <w:pPr>
        <w:pStyle w:val="8"/>
        <w:keepNext w:val="0"/>
        <w:keepLines w:val="0"/>
        <w:pageBreakBefore w:val="0"/>
        <w:widowControl w:val="0"/>
        <w:kinsoku/>
        <w:wordWrap/>
        <w:overflowPunct/>
        <w:topLinePunct w:val="0"/>
        <w:autoSpaceDE w:val="0"/>
        <w:autoSpaceDN w:val="0"/>
        <w:bidi w:val="0"/>
        <w:adjustRightInd/>
        <w:snapToGrid/>
        <w:spacing w:before="94" w:line="440" w:lineRule="exact"/>
        <w:ind w:left="0" w:leftChars="0" w:right="-302" w:rightChars="-151" w:firstLine="440" w:firstLineChars="200"/>
        <w:textAlignment w:val="auto"/>
        <w:rPr>
          <w:rFonts w:hint="eastAsia" w:ascii="宋体" w:hAnsi="宋体" w:eastAsia="宋体" w:cs="宋体"/>
          <w:color w:val="0000FF"/>
          <w:spacing w:val="0"/>
          <w:kern w:val="2"/>
          <w:sz w:val="22"/>
          <w:szCs w:val="22"/>
          <w:highlight w:val="none"/>
          <w:lang w:val="en-US" w:eastAsia="zh-CN" w:bidi="zh-CN"/>
        </w:rPr>
      </w:pPr>
      <w:r>
        <w:rPr>
          <w:rFonts w:hint="eastAsia" w:ascii="宋体" w:hAnsi="宋体" w:eastAsia="宋体" w:cs="宋体"/>
          <w:color w:val="0000FF"/>
          <w:spacing w:val="0"/>
          <w:sz w:val="22"/>
          <w:szCs w:val="22"/>
          <w:highlight w:val="none"/>
          <w:lang w:val="en-US" w:eastAsia="zh-CN"/>
        </w:rPr>
        <w:t>单因素评标法</w:t>
      </w:r>
      <w:r>
        <w:rPr>
          <w:rFonts w:hint="eastAsia" w:cs="宋体"/>
          <w:color w:val="0000FF"/>
          <w:spacing w:val="0"/>
          <w:sz w:val="22"/>
          <w:szCs w:val="22"/>
          <w:highlight w:val="none"/>
          <w:lang w:val="en-US" w:eastAsia="zh-CN"/>
        </w:rPr>
        <w:t>三</w:t>
      </w:r>
      <w:r>
        <w:rPr>
          <w:rFonts w:hint="eastAsia" w:ascii="宋体" w:hAnsi="宋体" w:eastAsia="宋体" w:cs="宋体"/>
          <w:color w:val="0000FF"/>
          <w:spacing w:val="0"/>
          <w:sz w:val="22"/>
          <w:szCs w:val="22"/>
          <w:highlight w:val="none"/>
          <w:lang w:val="en-US" w:eastAsia="zh-CN"/>
        </w:rPr>
        <w:t>：</w:t>
      </w:r>
      <w:r>
        <w:rPr>
          <w:rFonts w:hint="eastAsia" w:ascii="宋体" w:hAnsi="宋体" w:eastAsia="宋体" w:cs="宋体"/>
          <w:color w:val="0000FF"/>
          <w:spacing w:val="0"/>
          <w:kern w:val="2"/>
          <w:sz w:val="22"/>
          <w:szCs w:val="22"/>
          <w:highlight w:val="none"/>
          <w:lang w:val="en-US" w:eastAsia="zh-CN" w:bidi="zh-CN"/>
        </w:rPr>
        <w:t>以有效投标文件（有效投标文件是指初步评审合格的投标文件）的次低评标价（评标价是指经澄清、补正和修正算术计算错误的投标报价）为评标基准价，等于评标基准价的得最高分（100 分），并以此为基准确定其他投标人的价格得分：投标价格高于该基准价的，每高1%扣0.9分；投标价格低于该基准价的，每低1%扣0.6 分。[中间用插入法，计算过程及结果保留至小数点后第二位（小数点后第三位四舍五入）]。</w:t>
      </w:r>
    </w:p>
    <w:p>
      <w:pPr>
        <w:widowControl/>
        <w:spacing w:line="360" w:lineRule="auto"/>
        <w:ind w:firstLine="480"/>
        <w:outlineLvl w:val="1"/>
        <w:rPr>
          <w:rFonts w:hint="eastAsia" w:ascii="宋体" w:hAnsi="宋体" w:eastAsia="宋体" w:cs="宋体"/>
          <w:b/>
          <w:bCs/>
          <w:kern w:val="0"/>
          <w:sz w:val="21"/>
          <w:szCs w:val="21"/>
        </w:rPr>
      </w:pPr>
      <w:r>
        <w:rPr>
          <w:rFonts w:hint="eastAsia" w:ascii="宋体" w:hAnsi="宋体" w:eastAsia="宋体" w:cs="宋体"/>
          <w:b/>
          <w:bCs/>
          <w:kern w:val="0"/>
          <w:sz w:val="21"/>
          <w:szCs w:val="21"/>
        </w:rPr>
        <w:t xml:space="preserve">三、定标 </w:t>
      </w:r>
    </w:p>
    <w:p>
      <w:pPr>
        <w:autoSpaceDE w:val="0"/>
        <w:autoSpaceDN w:val="0"/>
        <w:adjustRightInd w:val="0"/>
        <w:spacing w:line="360" w:lineRule="auto"/>
        <w:ind w:firstLine="315" w:firstLineChars="150"/>
        <w:jc w:val="left"/>
        <w:rPr>
          <w:rFonts w:hint="eastAsia" w:ascii="宋体" w:hAnsi="宋体" w:eastAsia="宋体" w:cs="宋体"/>
          <w:kern w:val="0"/>
          <w:sz w:val="21"/>
          <w:szCs w:val="21"/>
        </w:rPr>
      </w:pPr>
      <w:r>
        <w:rPr>
          <w:rFonts w:hint="eastAsia" w:ascii="宋体" w:hAnsi="宋体" w:eastAsia="宋体" w:cs="宋体"/>
          <w:kern w:val="0"/>
          <w:sz w:val="21"/>
          <w:szCs w:val="21"/>
        </w:rPr>
        <w:t xml:space="preserve">（1）各投标单位最终得分=投标报价总价得分； </w:t>
      </w:r>
    </w:p>
    <w:p>
      <w:pPr>
        <w:autoSpaceDE w:val="0"/>
        <w:autoSpaceDN w:val="0"/>
        <w:adjustRightInd w:val="0"/>
        <w:spacing w:line="360" w:lineRule="auto"/>
        <w:ind w:firstLine="315" w:firstLineChars="150"/>
        <w:jc w:val="left"/>
        <w:rPr>
          <w:rFonts w:hint="eastAsia" w:ascii="宋体" w:hAnsi="宋体" w:eastAsia="宋体" w:cs="宋体"/>
          <w:kern w:val="0"/>
          <w:sz w:val="21"/>
          <w:szCs w:val="21"/>
        </w:rPr>
      </w:pPr>
      <w:r>
        <w:rPr>
          <w:rFonts w:hint="eastAsia" w:ascii="宋体" w:hAnsi="宋体" w:eastAsia="宋体" w:cs="宋体"/>
          <w:kern w:val="0"/>
          <w:sz w:val="21"/>
          <w:szCs w:val="21"/>
        </w:rPr>
        <w:t xml:space="preserve">（2）在所有有效投标文件中得分最高的投标单位为第一中标候选人，其他依次为第二、三中标候选人。 </w:t>
      </w:r>
    </w:p>
    <w:p>
      <w:pPr>
        <w:tabs>
          <w:tab w:val="left" w:pos="720"/>
        </w:tabs>
        <w:spacing w:line="360" w:lineRule="auto"/>
        <w:ind w:left="-90" w:leftChars="-45" w:firstLine="420" w:firstLineChars="200"/>
        <w:rPr>
          <w:rFonts w:hint="eastAsia" w:ascii="宋体" w:hAnsi="宋体" w:eastAsia="宋体" w:cs="宋体"/>
          <w:kern w:val="0"/>
          <w:sz w:val="21"/>
          <w:szCs w:val="21"/>
        </w:rPr>
      </w:pPr>
      <w:r>
        <w:rPr>
          <w:rFonts w:hint="eastAsia" w:ascii="宋体" w:hAnsi="宋体" w:eastAsia="宋体" w:cs="宋体"/>
          <w:kern w:val="0"/>
          <w:sz w:val="21"/>
          <w:szCs w:val="21"/>
        </w:rPr>
        <w:t>（3）如有两家或两家以上投标单位得分相同且为最高分，则确定投标报价低的单位为第一中标候选人，若报价也相同，则按照送达标书签到的顺序抽签确定第一中标候选人。</w:t>
      </w:r>
    </w:p>
    <w:p>
      <w:pPr>
        <w:widowControl/>
        <w:spacing w:line="360" w:lineRule="auto"/>
        <w:ind w:firstLine="480"/>
        <w:rPr>
          <w:rFonts w:hint="eastAsia" w:ascii="宋体" w:hAnsi="宋体" w:eastAsia="宋体" w:cs="宋体"/>
          <w:b/>
          <w:kern w:val="0"/>
          <w:sz w:val="21"/>
          <w:szCs w:val="21"/>
        </w:rPr>
      </w:pPr>
      <w:r>
        <w:rPr>
          <w:rFonts w:hint="eastAsia" w:ascii="宋体" w:hAnsi="宋体" w:eastAsia="宋体" w:cs="宋体"/>
          <w:b/>
          <w:bCs/>
          <w:kern w:val="0"/>
          <w:sz w:val="21"/>
          <w:szCs w:val="21"/>
        </w:rPr>
        <w:t>注：开标、评标、定标流程：</w:t>
      </w:r>
      <w:r>
        <w:rPr>
          <w:rFonts w:hint="eastAsia" w:ascii="宋体" w:hAnsi="宋体" w:eastAsia="宋体" w:cs="宋体"/>
          <w:kern w:val="0"/>
          <w:sz w:val="21"/>
          <w:szCs w:val="21"/>
        </w:rPr>
        <w:t>投标人员身份核验--投标文件密封检查--投标文件唱标--资格审查、清标---定标。</w:t>
      </w:r>
    </w:p>
    <w:p>
      <w:pPr>
        <w:pStyle w:val="37"/>
        <w:outlineLvl w:val="1"/>
        <w:rPr>
          <w:rFonts w:hint="eastAsia" w:ascii="宋体" w:hAnsi="宋体" w:eastAsia="宋体" w:cs="宋体"/>
          <w:color w:val="auto"/>
          <w:sz w:val="21"/>
          <w:szCs w:val="21"/>
        </w:rPr>
      </w:pPr>
      <w:r>
        <w:rPr>
          <w:rFonts w:hint="eastAsia" w:ascii="宋体" w:hAnsi="宋体" w:eastAsia="宋体" w:cs="宋体"/>
          <w:b/>
          <w:color w:val="auto"/>
          <w:sz w:val="21"/>
          <w:szCs w:val="21"/>
        </w:rPr>
        <w:t>提醒：</w:t>
      </w:r>
    </w:p>
    <w:p>
      <w:pPr>
        <w:widowControl/>
        <w:spacing w:line="360" w:lineRule="auto"/>
        <w:ind w:firstLine="422" w:firstLineChars="200"/>
        <w:jc w:val="left"/>
        <w:rPr>
          <w:rFonts w:hint="eastAsia" w:ascii="宋体" w:hAnsi="宋体" w:eastAsia="宋体" w:cs="宋体"/>
          <w:b/>
          <w:kern w:val="0"/>
          <w:sz w:val="21"/>
          <w:szCs w:val="21"/>
        </w:rPr>
      </w:pPr>
      <w:r>
        <w:rPr>
          <w:rFonts w:hint="eastAsia" w:ascii="宋体" w:hAnsi="宋体" w:eastAsia="宋体" w:cs="宋体"/>
          <w:b/>
          <w:kern w:val="0"/>
          <w:sz w:val="21"/>
          <w:szCs w:val="21"/>
        </w:rPr>
        <w:t xml:space="preserve">1、凡涉及投标单位无故离开开标会议室导致其未参加评分办法及相应系数抽取此类质疑等一概不予受理。 </w:t>
      </w:r>
    </w:p>
    <w:p>
      <w:pPr>
        <w:widowControl/>
        <w:spacing w:line="360" w:lineRule="auto"/>
        <w:ind w:firstLine="422" w:firstLineChars="200"/>
        <w:jc w:val="left"/>
        <w:rPr>
          <w:rFonts w:hint="eastAsia" w:ascii="宋体" w:hAnsi="宋体" w:eastAsia="宋体" w:cs="宋体"/>
          <w:b/>
          <w:kern w:val="0"/>
          <w:sz w:val="21"/>
          <w:szCs w:val="21"/>
        </w:rPr>
      </w:pPr>
      <w:r>
        <w:rPr>
          <w:rFonts w:hint="eastAsia" w:ascii="宋体" w:hAnsi="宋体" w:eastAsia="宋体" w:cs="宋体"/>
          <w:b/>
          <w:kern w:val="0"/>
          <w:sz w:val="21"/>
          <w:szCs w:val="21"/>
        </w:rPr>
        <w:t>2、根据苏建招办（2017）7号文“省招标办关于印发《江苏省房屋建筑和市政基础设施工程施工招标评标入围、报价评审和预选招标规则》的通知”，本项目评标入围方法招标人采用方法一：全部入围。 进入评标入围环节的投标人全部进入后续评标程序。</w:t>
      </w:r>
    </w:p>
    <w:p>
      <w:pPr>
        <w:widowControl/>
        <w:spacing w:line="360" w:lineRule="auto"/>
        <w:ind w:firstLine="480"/>
        <w:jc w:val="left"/>
        <w:rPr>
          <w:rFonts w:hint="eastAsia" w:ascii="宋体" w:hAnsi="宋体" w:eastAsia="宋体" w:cs="宋体"/>
          <w:b/>
          <w:kern w:val="0"/>
          <w:sz w:val="21"/>
          <w:szCs w:val="21"/>
        </w:rPr>
      </w:pPr>
      <w:r>
        <w:rPr>
          <w:rFonts w:hint="eastAsia" w:ascii="宋体" w:hAnsi="宋体" w:eastAsia="宋体" w:cs="宋体"/>
          <w:b/>
          <w:kern w:val="0"/>
          <w:sz w:val="21"/>
          <w:szCs w:val="21"/>
        </w:rPr>
        <w:t>3、评标结束后，无论是否出现招投标当事人异议、投诉以及评委评审和计算错误情形，评标基准价均不重新计算。</w:t>
      </w:r>
    </w:p>
    <w:p>
      <w:pPr>
        <w:widowControl/>
        <w:spacing w:line="360" w:lineRule="auto"/>
        <w:ind w:firstLine="480"/>
        <w:jc w:val="left"/>
        <w:rPr>
          <w:rFonts w:hint="eastAsia" w:ascii="宋体" w:hAnsi="宋体" w:eastAsia="宋体" w:cs="宋体"/>
          <w:b/>
          <w:color w:val="auto"/>
          <w:kern w:val="0"/>
          <w:sz w:val="21"/>
          <w:szCs w:val="21"/>
          <w:highlight w:val="none"/>
        </w:rPr>
      </w:pPr>
      <w:r>
        <w:rPr>
          <w:rFonts w:hint="eastAsia" w:ascii="宋体" w:hAnsi="宋体" w:eastAsia="宋体" w:cs="宋体"/>
          <w:b/>
          <w:color w:val="auto"/>
          <w:kern w:val="0"/>
          <w:sz w:val="21"/>
          <w:szCs w:val="21"/>
          <w:highlight w:val="none"/>
        </w:rPr>
        <w:t>二、资格审查</w:t>
      </w:r>
      <w:bookmarkEnd w:id="266"/>
    </w:p>
    <w:p>
      <w:pPr>
        <w:snapToGrid w:val="0"/>
        <w:spacing w:line="360" w:lineRule="auto"/>
        <w:ind w:firstLine="422" w:firstLineChars="200"/>
        <w:rPr>
          <w:rFonts w:hint="eastAsia" w:ascii="宋体" w:hAnsi="宋体" w:eastAsia="宋体" w:cs="宋体"/>
          <w:color w:val="auto"/>
          <w:sz w:val="21"/>
          <w:szCs w:val="21"/>
          <w:highlight w:val="none"/>
        </w:rPr>
      </w:pPr>
      <w:r>
        <w:rPr>
          <w:rFonts w:hint="eastAsia" w:ascii="宋体" w:hAnsi="宋体" w:eastAsia="宋体" w:cs="宋体"/>
          <w:b/>
          <w:color w:val="auto"/>
          <w:sz w:val="21"/>
          <w:szCs w:val="21"/>
          <w:highlight w:val="none"/>
        </w:rPr>
        <w:t>本项目采用资格后审形式，资格审查资料如下</w:t>
      </w:r>
      <w:r>
        <w:rPr>
          <w:rFonts w:hint="eastAsia" w:ascii="宋体" w:hAnsi="宋体" w:eastAsia="宋体" w:cs="宋体"/>
          <w:color w:val="auto"/>
          <w:sz w:val="21"/>
          <w:szCs w:val="21"/>
          <w:highlight w:val="none"/>
        </w:rPr>
        <w:t>：</w:t>
      </w:r>
    </w:p>
    <w:p>
      <w:pPr>
        <w:snapToGrid w:val="0"/>
        <w:spacing w:line="4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）法定代表人资格证明书及本人身份证；或法定代表人授权委托书、委托代理人身份证；</w:t>
      </w:r>
    </w:p>
    <w:p>
      <w:pPr>
        <w:snapToGrid w:val="0"/>
        <w:spacing w:line="440" w:lineRule="exact"/>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）企业营业执照、企业资质证书、企业安全生产许可证</w:t>
      </w:r>
      <w:r>
        <w:rPr>
          <w:rFonts w:hint="eastAsia" w:ascii="宋体" w:hAnsi="宋体" w:eastAsia="宋体" w:cs="宋体"/>
          <w:color w:val="auto"/>
          <w:sz w:val="21"/>
          <w:szCs w:val="21"/>
          <w:highlight w:val="none"/>
          <w:lang w:eastAsia="zh-CN"/>
        </w:rPr>
        <w:t>；</w:t>
      </w:r>
    </w:p>
    <w:p>
      <w:pPr>
        <w:snapToGrid w:val="0"/>
        <w:spacing w:line="4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w:t>
      </w:r>
      <w:r>
        <w:rPr>
          <w:rFonts w:hint="eastAsia" w:ascii="宋体" w:hAnsi="宋体" w:eastAsia="宋体" w:cs="宋体"/>
          <w:color w:val="auto"/>
          <w:spacing w:val="0"/>
          <w:sz w:val="21"/>
          <w:szCs w:val="21"/>
          <w:highlight w:val="none"/>
          <w:lang w:val="en-US" w:eastAsia="zh-CN"/>
        </w:rPr>
        <w:t>投标项目负责人注册证书以及安全生产考核合格证书（B证）</w:t>
      </w:r>
      <w:r>
        <w:rPr>
          <w:rFonts w:hint="eastAsia" w:ascii="宋体" w:hAnsi="宋体" w:eastAsia="宋体" w:cs="宋体"/>
          <w:color w:val="auto"/>
          <w:sz w:val="21"/>
          <w:szCs w:val="21"/>
          <w:highlight w:val="none"/>
        </w:rPr>
        <w:t>；</w:t>
      </w:r>
    </w:p>
    <w:p>
      <w:pPr>
        <w:snapToGrid w:val="0"/>
        <w:spacing w:line="440" w:lineRule="exact"/>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rPr>
        <w:t>）委托代理人及项目负责人的社会保障机构盖章的养老保险缴纳证明（缴纳时间为</w:t>
      </w:r>
      <w:r>
        <w:rPr>
          <w:rFonts w:hint="eastAsia" w:ascii="宋体" w:hAnsi="宋体" w:eastAsia="宋体" w:cs="宋体"/>
          <w:color w:val="auto"/>
          <w:sz w:val="21"/>
          <w:szCs w:val="21"/>
          <w:highlight w:val="none"/>
          <w:lang w:eastAsia="zh-CN"/>
        </w:rPr>
        <w:t>202</w:t>
      </w:r>
      <w:r>
        <w:rPr>
          <w:rFonts w:hint="eastAsia" w:ascii="宋体" w:hAnsi="宋体" w:eastAsia="宋体" w:cs="宋体"/>
          <w:color w:val="auto"/>
          <w:sz w:val="21"/>
          <w:szCs w:val="21"/>
          <w:highlight w:val="none"/>
          <w:lang w:val="en-US" w:eastAsia="zh-CN"/>
        </w:rPr>
        <w:t>3</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lang w:val="en-US" w:eastAsia="zh-CN"/>
        </w:rPr>
        <w:t>1</w:t>
      </w:r>
      <w:r>
        <w:rPr>
          <w:rFonts w:hint="eastAsia" w:ascii="宋体" w:hAnsi="宋体" w:eastAsia="宋体" w:cs="宋体"/>
          <w:color w:val="auto"/>
          <w:sz w:val="21"/>
          <w:szCs w:val="21"/>
          <w:highlight w:val="none"/>
        </w:rPr>
        <w:t>月至今，其中任一月均可）；</w:t>
      </w:r>
    </w:p>
    <w:p>
      <w:pPr>
        <w:snapToGrid w:val="0"/>
        <w:spacing w:line="440" w:lineRule="exact"/>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5</w:t>
      </w:r>
      <w:r>
        <w:rPr>
          <w:rFonts w:hint="eastAsia" w:ascii="宋体" w:hAnsi="宋体" w:eastAsia="宋体" w:cs="宋体"/>
          <w:color w:val="auto"/>
          <w:sz w:val="21"/>
          <w:szCs w:val="21"/>
          <w:highlight w:val="none"/>
          <w:lang w:eastAsia="zh-CN"/>
        </w:rPr>
        <w:t>）</w:t>
      </w:r>
      <w:r>
        <w:rPr>
          <w:rFonts w:hint="eastAsia" w:ascii="宋体" w:hAnsi="宋体" w:eastAsia="宋体" w:cs="宋体"/>
          <w:color w:val="auto"/>
          <w:sz w:val="21"/>
          <w:szCs w:val="21"/>
          <w:highlight w:val="none"/>
          <w:lang w:val="en-US" w:eastAsia="zh-CN"/>
        </w:rPr>
        <w:t>项目经理无在建承诺</w:t>
      </w:r>
      <w:r>
        <w:rPr>
          <w:rFonts w:hint="eastAsia" w:ascii="宋体" w:hAnsi="宋体" w:eastAsia="宋体" w:cs="宋体"/>
          <w:color w:val="auto"/>
          <w:sz w:val="21"/>
          <w:szCs w:val="21"/>
          <w:highlight w:val="none"/>
          <w:lang w:val="zh-CN" w:eastAsia="zh-CN"/>
        </w:rPr>
        <w:t>（</w:t>
      </w:r>
      <w:r>
        <w:rPr>
          <w:rFonts w:hint="eastAsia" w:ascii="宋体" w:hAnsi="宋体" w:eastAsia="宋体" w:cs="宋体"/>
          <w:color w:val="auto"/>
          <w:sz w:val="21"/>
          <w:szCs w:val="21"/>
          <w:highlight w:val="none"/>
          <w:lang w:val="en-US" w:eastAsia="zh-CN"/>
        </w:rPr>
        <w:t>格式自理，</w:t>
      </w:r>
      <w:r>
        <w:rPr>
          <w:rFonts w:hint="eastAsia" w:ascii="宋体" w:hAnsi="宋体" w:eastAsia="宋体" w:cs="宋体"/>
          <w:color w:val="auto"/>
          <w:sz w:val="21"/>
          <w:szCs w:val="21"/>
          <w:highlight w:val="none"/>
          <w:lang w:val="zh-CN" w:eastAsia="zh-CN"/>
        </w:rPr>
        <w:t>须由项目经理自行作出承诺，并加盖投标单位公章及项目经理签名，若评标公示过程中经查处拟投入的项目经理有在建工程，其投标作无效标处理）</w:t>
      </w:r>
      <w:r>
        <w:rPr>
          <w:rFonts w:hint="eastAsia" w:ascii="宋体" w:hAnsi="宋体" w:eastAsia="宋体" w:cs="宋体"/>
          <w:color w:val="auto"/>
          <w:sz w:val="21"/>
          <w:szCs w:val="21"/>
          <w:highlight w:val="none"/>
          <w:lang w:val="en-US" w:eastAsia="zh-CN"/>
        </w:rPr>
        <w:t>；</w:t>
      </w:r>
    </w:p>
    <w:p>
      <w:pPr>
        <w:snapToGrid w:val="0"/>
        <w:spacing w:line="440" w:lineRule="exact"/>
        <w:ind w:firstLine="420" w:firstLineChars="200"/>
        <w:rPr>
          <w:rFonts w:hint="eastAsia" w:ascii="宋体" w:hAnsi="宋体" w:eastAsia="宋体" w:cs="宋体"/>
          <w:color w:val="auto"/>
          <w:sz w:val="21"/>
          <w:szCs w:val="21"/>
          <w:highlight w:val="none"/>
          <w:lang w:val="en-US" w:eastAsia="zh-CN"/>
        </w:rPr>
      </w:pPr>
      <w:r>
        <w:rPr>
          <w:rFonts w:hint="eastAsia" w:ascii="宋体" w:hAnsi="宋体" w:eastAsia="宋体" w:cs="宋体"/>
          <w:color w:val="auto"/>
          <w:sz w:val="21"/>
          <w:szCs w:val="21"/>
          <w:highlight w:val="none"/>
          <w:lang w:val="en-US" w:eastAsia="zh-CN"/>
        </w:rPr>
        <w:t>（6）投标保证金银行电子汇款相关凭证。</w:t>
      </w:r>
    </w:p>
    <w:p>
      <w:pPr>
        <w:snapToGrid w:val="0"/>
        <w:spacing w:line="440" w:lineRule="exact"/>
        <w:ind w:firstLine="422" w:firstLineChars="200"/>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注：</w:t>
      </w:r>
    </w:p>
    <w:p>
      <w:pPr>
        <w:snapToGrid w:val="0"/>
        <w:spacing w:line="440" w:lineRule="exact"/>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①本项目不接受联合体投标。</w:t>
      </w:r>
    </w:p>
    <w:p>
      <w:pPr>
        <w:snapToGrid w:val="0"/>
        <w:spacing w:line="440" w:lineRule="exact"/>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②资格审查资料必须按上述顺序提供</w:t>
      </w:r>
      <w:r>
        <w:rPr>
          <w:rFonts w:hint="eastAsia" w:ascii="宋体" w:hAnsi="宋体" w:eastAsia="宋体" w:cs="宋体"/>
          <w:b/>
          <w:color w:val="auto"/>
          <w:sz w:val="21"/>
          <w:szCs w:val="21"/>
          <w:highlight w:val="none"/>
          <w:lang w:val="en-US" w:eastAsia="zh-CN"/>
        </w:rPr>
        <w:t>三</w:t>
      </w:r>
      <w:r>
        <w:rPr>
          <w:rFonts w:hint="eastAsia" w:ascii="宋体" w:hAnsi="宋体" w:eastAsia="宋体" w:cs="宋体"/>
          <w:b/>
          <w:color w:val="auto"/>
          <w:sz w:val="21"/>
          <w:szCs w:val="21"/>
          <w:highlight w:val="none"/>
        </w:rPr>
        <w:t>套复印件装订成册，装订成册的资料与原件（身份证可提供复印件并加盖公章；营业执照</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rPr>
        <w:t>资质证书</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rPr>
        <w:t>安全生产许可证</w:t>
      </w:r>
      <w:r>
        <w:rPr>
          <w:rFonts w:hint="eastAsia" w:ascii="宋体" w:hAnsi="宋体" w:eastAsia="宋体" w:cs="宋体"/>
          <w:b/>
          <w:color w:val="auto"/>
          <w:sz w:val="21"/>
          <w:szCs w:val="21"/>
          <w:highlight w:val="none"/>
          <w:lang w:eastAsia="zh-CN"/>
        </w:rPr>
        <w:t>、</w:t>
      </w:r>
      <w:r>
        <w:rPr>
          <w:rFonts w:hint="eastAsia" w:ascii="宋体" w:hAnsi="宋体" w:eastAsia="宋体" w:cs="宋体"/>
          <w:b/>
          <w:color w:val="auto"/>
          <w:sz w:val="21"/>
          <w:szCs w:val="21"/>
          <w:highlight w:val="none"/>
        </w:rPr>
        <w:t>建造师证、安全生产考核合格证（B 证）可提供带有二维码的打印件）一起必须装袋、密封（注：密封袋骑缝处加盖报名单位公章）、标志（注：密封袋上注明工程名称、报名单位全称并加盖报名单位公章和法定代表人印章）后在投标截止时间前一次性递交，投标截止时间后不再接受补充资料（未能按要求提供以上密封资料的，招标人将拒绝其参与投标）。</w:t>
      </w:r>
    </w:p>
    <w:p>
      <w:pPr>
        <w:snapToGrid w:val="0"/>
        <w:spacing w:line="440" w:lineRule="exact"/>
        <w:ind w:firstLine="422" w:firstLineChars="200"/>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③本项目所有的资审资料，都必须在有效期内。如有关的资审资料在年审中的，开标时必须出具发证单位证明的原件。</w:t>
      </w:r>
      <w:bookmarkStart w:id="267" w:name="_Toc23530"/>
    </w:p>
    <w:bookmarkEnd w:id="267"/>
    <w:p>
      <w:pPr>
        <w:spacing w:line="360" w:lineRule="exact"/>
        <w:ind w:firstLine="420" w:firstLineChars="200"/>
        <w:outlineLvl w:val="1"/>
        <w:rPr>
          <w:rFonts w:hint="eastAsia" w:ascii="宋体" w:hAnsi="宋体" w:eastAsia="宋体" w:cs="宋体"/>
          <w:color w:val="auto"/>
          <w:sz w:val="21"/>
          <w:szCs w:val="21"/>
          <w:highlight w:val="none"/>
        </w:rPr>
      </w:pPr>
    </w:p>
    <w:p>
      <w:pPr>
        <w:spacing w:line="360" w:lineRule="exact"/>
        <w:ind w:firstLine="420" w:firstLineChars="200"/>
        <w:outlineLvl w:val="1"/>
        <w:rPr>
          <w:rFonts w:hint="eastAsia" w:ascii="宋体" w:hAnsi="宋体" w:eastAsia="宋体" w:cs="宋体"/>
          <w:color w:val="auto"/>
          <w:sz w:val="21"/>
          <w:szCs w:val="21"/>
          <w:highlight w:val="none"/>
        </w:rPr>
      </w:pPr>
    </w:p>
    <w:p>
      <w:pPr>
        <w:spacing w:line="360" w:lineRule="exact"/>
        <w:ind w:firstLine="422" w:firstLineChars="200"/>
        <w:outlineLvl w:val="1"/>
        <w:rPr>
          <w:rFonts w:hint="eastAsia" w:ascii="宋体" w:hAnsi="宋体" w:eastAsia="宋体" w:cs="宋体"/>
          <w:snapToGrid w:val="0"/>
          <w:color w:val="auto"/>
          <w:sz w:val="21"/>
          <w:szCs w:val="21"/>
          <w:highlight w:val="none"/>
        </w:rPr>
      </w:pPr>
      <w:r>
        <w:rPr>
          <w:rFonts w:hint="eastAsia" w:ascii="宋体" w:hAnsi="宋体" w:eastAsia="宋体" w:cs="宋体"/>
          <w:b/>
          <w:color w:val="auto"/>
          <w:sz w:val="21"/>
          <w:szCs w:val="21"/>
          <w:highlight w:val="none"/>
        </w:rPr>
        <w:br w:type="page"/>
      </w:r>
      <w:bookmarkEnd w:id="261"/>
      <w:bookmarkEnd w:id="262"/>
      <w:bookmarkEnd w:id="263"/>
      <w:bookmarkStart w:id="268" w:name="第03章评标办法综合评估法01"/>
      <w:bookmarkEnd w:id="268"/>
      <w:r>
        <w:rPr>
          <w:rFonts w:hint="eastAsia" w:ascii="宋体" w:hAnsi="宋体" w:eastAsia="宋体" w:cs="宋体"/>
          <w:color w:val="auto"/>
          <w:sz w:val="21"/>
          <w:szCs w:val="21"/>
          <w:highlight w:val="none"/>
        </w:rPr>
        <w:t xml:space="preserve"> </w:t>
      </w:r>
    </w:p>
    <w:p>
      <w:pPr>
        <w:pStyle w:val="3"/>
        <w:numPr>
          <w:ilvl w:val="0"/>
          <w:numId w:val="0"/>
        </w:numPr>
        <w:jc w:val="center"/>
        <w:rPr>
          <w:rFonts w:hint="eastAsia" w:ascii="宋体" w:hAnsi="宋体" w:eastAsia="宋体" w:cs="宋体"/>
          <w:b/>
          <w:snapToGrid w:val="0"/>
          <w:color w:val="auto"/>
          <w:sz w:val="21"/>
          <w:szCs w:val="21"/>
          <w:highlight w:val="none"/>
        </w:rPr>
      </w:pPr>
      <w:bookmarkStart w:id="269" w:name="_Toc14064"/>
      <w:r>
        <w:rPr>
          <w:rFonts w:hint="eastAsia" w:ascii="宋体" w:hAnsi="宋体" w:eastAsia="宋体" w:cs="宋体"/>
          <w:b/>
          <w:snapToGrid w:val="0"/>
          <w:color w:val="auto"/>
          <w:sz w:val="21"/>
          <w:szCs w:val="21"/>
          <w:highlight w:val="none"/>
        </w:rPr>
        <w:t>第五章 　投 标 文 件(格式)</w:t>
      </w:r>
      <w:bookmarkEnd w:id="269"/>
    </w:p>
    <w:p>
      <w:pPr>
        <w:tabs>
          <w:tab w:val="left" w:pos="0"/>
        </w:tabs>
        <w:spacing w:line="420" w:lineRule="auto"/>
        <w:jc w:val="center"/>
        <w:rPr>
          <w:rFonts w:hint="eastAsia" w:ascii="宋体" w:hAnsi="宋体" w:eastAsia="宋体" w:cs="宋体"/>
          <w:b/>
          <w:bCs/>
          <w:color w:val="auto"/>
          <w:sz w:val="21"/>
          <w:szCs w:val="21"/>
          <w:highlight w:val="none"/>
        </w:rPr>
      </w:pPr>
    </w:p>
    <w:p>
      <w:pPr>
        <w:tabs>
          <w:tab w:val="left" w:pos="0"/>
        </w:tabs>
        <w:spacing w:line="42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（封面）</w:t>
      </w:r>
    </w:p>
    <w:p>
      <w:pPr>
        <w:tabs>
          <w:tab w:val="left" w:pos="0"/>
        </w:tabs>
        <w:spacing w:line="420" w:lineRule="auto"/>
        <w:jc w:val="center"/>
        <w:rPr>
          <w:rFonts w:hint="eastAsia" w:ascii="宋体" w:hAnsi="宋体" w:eastAsia="宋体" w:cs="宋体"/>
          <w:b/>
          <w:bCs/>
          <w:color w:val="auto"/>
          <w:sz w:val="21"/>
          <w:szCs w:val="21"/>
          <w:highlight w:val="none"/>
          <w:u w:val="single"/>
        </w:rPr>
      </w:pPr>
      <w:r>
        <w:rPr>
          <w:rFonts w:hint="eastAsia" w:ascii="宋体" w:hAnsi="宋体" w:eastAsia="宋体" w:cs="宋体"/>
          <w:b/>
          <w:bCs/>
          <w:color w:val="auto"/>
          <w:sz w:val="21"/>
          <w:szCs w:val="21"/>
          <w:highlight w:val="none"/>
          <w:u w:val="single"/>
        </w:rPr>
        <w:t xml:space="preserve">                             </w:t>
      </w:r>
      <w:r>
        <w:rPr>
          <w:rFonts w:hint="eastAsia" w:ascii="宋体" w:hAnsi="宋体" w:eastAsia="宋体" w:cs="宋体"/>
          <w:b/>
          <w:bCs/>
          <w:color w:val="auto"/>
          <w:sz w:val="21"/>
          <w:szCs w:val="21"/>
          <w:highlight w:val="none"/>
        </w:rPr>
        <w:t>工程</w:t>
      </w:r>
    </w:p>
    <w:p>
      <w:pPr>
        <w:tabs>
          <w:tab w:val="left" w:pos="0"/>
        </w:tabs>
        <w:spacing w:line="420" w:lineRule="auto"/>
        <w:jc w:val="center"/>
        <w:rPr>
          <w:rFonts w:hint="eastAsia" w:ascii="宋体" w:hAnsi="宋体" w:eastAsia="宋体" w:cs="宋体"/>
          <w:b/>
          <w:bCs/>
          <w:color w:val="auto"/>
          <w:sz w:val="21"/>
          <w:szCs w:val="21"/>
          <w:highlight w:val="none"/>
        </w:rPr>
      </w:pPr>
      <w:r>
        <w:rPr>
          <w:rFonts w:hint="eastAsia" w:ascii="宋体" w:hAnsi="宋体" w:eastAsia="宋体" w:cs="宋体"/>
          <w:b/>
          <w:bCs/>
          <w:color w:val="auto"/>
          <w:sz w:val="21"/>
          <w:szCs w:val="21"/>
          <w:highlight w:val="none"/>
        </w:rPr>
        <w:t>施 工 投 标 文 件</w:t>
      </w:r>
    </w:p>
    <w:p>
      <w:pPr>
        <w:tabs>
          <w:tab w:val="left" w:pos="0"/>
        </w:tabs>
        <w:spacing w:line="420" w:lineRule="auto"/>
        <w:rPr>
          <w:rFonts w:hint="eastAsia" w:ascii="宋体" w:hAnsi="宋体" w:eastAsia="宋体" w:cs="宋体"/>
          <w:b/>
          <w:bCs/>
          <w:color w:val="auto"/>
          <w:sz w:val="21"/>
          <w:szCs w:val="21"/>
          <w:highlight w:val="none"/>
        </w:rPr>
      </w:pPr>
    </w:p>
    <w:p>
      <w:pPr>
        <w:tabs>
          <w:tab w:val="left" w:pos="0"/>
        </w:tabs>
        <w:spacing w:line="420" w:lineRule="auto"/>
        <w:rPr>
          <w:rFonts w:hint="eastAsia" w:ascii="宋体" w:hAnsi="宋体" w:eastAsia="宋体" w:cs="宋体"/>
          <w:color w:val="auto"/>
          <w:sz w:val="21"/>
          <w:szCs w:val="21"/>
          <w:highlight w:val="none"/>
        </w:rPr>
      </w:pPr>
    </w:p>
    <w:p>
      <w:pPr>
        <w:tabs>
          <w:tab w:val="left" w:pos="0"/>
        </w:tabs>
        <w:spacing w:line="420" w:lineRule="auto"/>
        <w:rPr>
          <w:rFonts w:hint="eastAsia" w:ascii="宋体" w:hAnsi="宋体" w:eastAsia="宋体" w:cs="宋体"/>
          <w:color w:val="auto"/>
          <w:sz w:val="21"/>
          <w:szCs w:val="21"/>
          <w:highlight w:val="none"/>
        </w:rPr>
      </w:pPr>
    </w:p>
    <w:p>
      <w:pPr>
        <w:tabs>
          <w:tab w:val="left" w:pos="0"/>
        </w:tabs>
        <w:spacing w:line="420" w:lineRule="auto"/>
        <w:rPr>
          <w:rFonts w:hint="eastAsia" w:ascii="宋体" w:hAnsi="宋体" w:eastAsia="宋体" w:cs="宋体"/>
          <w:color w:val="auto"/>
          <w:sz w:val="21"/>
          <w:szCs w:val="21"/>
          <w:highlight w:val="none"/>
        </w:rPr>
      </w:pPr>
    </w:p>
    <w:p>
      <w:pPr>
        <w:tabs>
          <w:tab w:val="left" w:pos="0"/>
        </w:tabs>
        <w:spacing w:line="420" w:lineRule="auto"/>
        <w:rPr>
          <w:rFonts w:hint="eastAsia" w:ascii="宋体" w:hAnsi="宋体" w:eastAsia="宋体" w:cs="宋体"/>
          <w:color w:val="auto"/>
          <w:sz w:val="21"/>
          <w:szCs w:val="21"/>
          <w:highlight w:val="none"/>
        </w:rPr>
      </w:pPr>
    </w:p>
    <w:p>
      <w:pPr>
        <w:tabs>
          <w:tab w:val="left" w:pos="0"/>
        </w:tabs>
        <w:spacing w:line="420" w:lineRule="auto"/>
        <w:rPr>
          <w:rFonts w:hint="eastAsia" w:ascii="宋体" w:hAnsi="宋体" w:eastAsia="宋体" w:cs="宋体"/>
          <w:b/>
          <w:color w:val="auto"/>
          <w:sz w:val="21"/>
          <w:szCs w:val="21"/>
          <w:highlight w:val="none"/>
        </w:rPr>
      </w:pPr>
    </w:p>
    <w:p>
      <w:pPr>
        <w:tabs>
          <w:tab w:val="left" w:pos="0"/>
        </w:tabs>
        <w:spacing w:line="420" w:lineRule="auto"/>
        <w:ind w:firstLine="1008" w:firstLineChars="478"/>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 xml:space="preserve">投  标  人 (章) </w:t>
      </w:r>
      <w:r>
        <w:rPr>
          <w:rFonts w:hint="eastAsia" w:ascii="宋体" w:hAnsi="宋体" w:eastAsia="宋体" w:cs="宋体"/>
          <w:b/>
          <w:color w:val="auto"/>
          <w:sz w:val="21"/>
          <w:szCs w:val="21"/>
          <w:highlight w:val="none"/>
          <w:u w:val="single"/>
        </w:rPr>
        <w:t xml:space="preserve">                                    </w:t>
      </w:r>
    </w:p>
    <w:p>
      <w:pPr>
        <w:tabs>
          <w:tab w:val="left" w:pos="0"/>
        </w:tabs>
        <w:spacing w:line="420" w:lineRule="auto"/>
        <w:rPr>
          <w:rFonts w:hint="eastAsia" w:ascii="宋体" w:hAnsi="宋体" w:eastAsia="宋体" w:cs="宋体"/>
          <w:b/>
          <w:color w:val="auto"/>
          <w:sz w:val="21"/>
          <w:szCs w:val="21"/>
          <w:highlight w:val="none"/>
        </w:rPr>
      </w:pPr>
    </w:p>
    <w:p>
      <w:pPr>
        <w:tabs>
          <w:tab w:val="left" w:pos="0"/>
        </w:tabs>
        <w:spacing w:line="420" w:lineRule="auto"/>
        <w:rPr>
          <w:rFonts w:hint="eastAsia" w:ascii="宋体" w:hAnsi="宋体" w:eastAsia="宋体" w:cs="宋体"/>
          <w:b/>
          <w:color w:val="auto"/>
          <w:sz w:val="21"/>
          <w:szCs w:val="21"/>
          <w:highlight w:val="none"/>
        </w:rPr>
      </w:pPr>
    </w:p>
    <w:p>
      <w:pPr>
        <w:tabs>
          <w:tab w:val="left" w:pos="0"/>
        </w:tabs>
        <w:spacing w:line="420" w:lineRule="auto"/>
        <w:ind w:firstLine="1008" w:firstLineChars="478"/>
        <w:rPr>
          <w:rFonts w:hint="eastAsia" w:ascii="宋体" w:hAnsi="宋体" w:eastAsia="宋体" w:cs="宋体"/>
          <w:b/>
          <w:color w:val="auto"/>
          <w:sz w:val="21"/>
          <w:szCs w:val="21"/>
          <w:highlight w:val="none"/>
          <w:u w:val="single"/>
        </w:rPr>
      </w:pPr>
      <w:r>
        <w:rPr>
          <w:rFonts w:hint="eastAsia" w:ascii="宋体" w:hAnsi="宋体" w:eastAsia="宋体" w:cs="宋体"/>
          <w:b/>
          <w:color w:val="auto"/>
          <w:sz w:val="21"/>
          <w:szCs w:val="21"/>
          <w:highlight w:val="none"/>
        </w:rPr>
        <w:t>法定代表或</w:t>
      </w:r>
    </w:p>
    <w:p>
      <w:pPr>
        <w:tabs>
          <w:tab w:val="left" w:pos="0"/>
        </w:tabs>
        <w:spacing w:line="420" w:lineRule="auto"/>
        <w:ind w:firstLine="940" w:firstLineChars="446"/>
        <w:rPr>
          <w:rFonts w:hint="eastAsia" w:ascii="宋体" w:hAnsi="宋体" w:eastAsia="宋体" w:cs="宋体"/>
          <w:color w:val="auto"/>
          <w:sz w:val="21"/>
          <w:szCs w:val="21"/>
          <w:highlight w:val="none"/>
          <w:u w:val="single"/>
        </w:rPr>
      </w:pPr>
      <w:r>
        <w:rPr>
          <w:rFonts w:hint="eastAsia" w:ascii="宋体" w:hAnsi="宋体" w:eastAsia="宋体" w:cs="宋体"/>
          <w:b/>
          <w:color w:val="auto"/>
          <w:sz w:val="21"/>
          <w:szCs w:val="21"/>
          <w:highlight w:val="none"/>
        </w:rPr>
        <w:t>委托代理人(签章)</w:t>
      </w:r>
      <w:r>
        <w:rPr>
          <w:rFonts w:hint="eastAsia" w:ascii="宋体" w:hAnsi="宋体" w:eastAsia="宋体" w:cs="宋体"/>
          <w:b/>
          <w:color w:val="auto"/>
          <w:sz w:val="21"/>
          <w:szCs w:val="21"/>
          <w:highlight w:val="none"/>
          <w:u w:val="single"/>
        </w:rPr>
        <w:t xml:space="preserve">                                 </w:t>
      </w:r>
      <w:r>
        <w:rPr>
          <w:rFonts w:hint="eastAsia" w:ascii="宋体" w:hAnsi="宋体" w:eastAsia="宋体" w:cs="宋体"/>
          <w:color w:val="auto"/>
          <w:sz w:val="21"/>
          <w:szCs w:val="21"/>
          <w:highlight w:val="none"/>
          <w:u w:val="single"/>
        </w:rPr>
        <w:t xml:space="preserve">    </w:t>
      </w:r>
    </w:p>
    <w:p>
      <w:pPr>
        <w:tabs>
          <w:tab w:val="left" w:pos="0"/>
        </w:tabs>
        <w:spacing w:line="420" w:lineRule="auto"/>
        <w:ind w:firstLine="1260" w:firstLineChars="600"/>
        <w:rPr>
          <w:rFonts w:hint="eastAsia" w:ascii="宋体" w:hAnsi="宋体" w:eastAsia="宋体" w:cs="宋体"/>
          <w:color w:val="auto"/>
          <w:sz w:val="21"/>
          <w:szCs w:val="21"/>
          <w:highlight w:val="none"/>
          <w:u w:val="single"/>
        </w:rPr>
      </w:pPr>
    </w:p>
    <w:p>
      <w:pPr>
        <w:tabs>
          <w:tab w:val="left" w:pos="0"/>
        </w:tabs>
        <w:spacing w:line="420" w:lineRule="auto"/>
        <w:ind w:firstLine="1260" w:firstLineChars="600"/>
        <w:rPr>
          <w:rFonts w:hint="eastAsia" w:ascii="宋体" w:hAnsi="宋体" w:eastAsia="宋体" w:cs="宋体"/>
          <w:color w:val="auto"/>
          <w:sz w:val="21"/>
          <w:szCs w:val="21"/>
          <w:highlight w:val="none"/>
          <w:u w:val="single"/>
        </w:rPr>
      </w:pPr>
    </w:p>
    <w:p>
      <w:pPr>
        <w:tabs>
          <w:tab w:val="left" w:pos="0"/>
        </w:tabs>
        <w:spacing w:line="420" w:lineRule="auto"/>
        <w:ind w:firstLine="1265" w:firstLineChars="600"/>
        <w:rPr>
          <w:rFonts w:hint="eastAsia" w:ascii="宋体" w:hAnsi="宋体" w:eastAsia="宋体" w:cs="宋体"/>
          <w:b/>
          <w:color w:val="auto"/>
          <w:sz w:val="21"/>
          <w:szCs w:val="21"/>
          <w:highlight w:val="none"/>
          <w:u w:val="single"/>
        </w:rPr>
      </w:pPr>
      <w:r>
        <w:rPr>
          <w:rFonts w:hint="eastAsia" w:ascii="宋体" w:hAnsi="宋体" w:eastAsia="宋体" w:cs="宋体"/>
          <w:b/>
          <w:color w:val="auto"/>
          <w:sz w:val="21"/>
          <w:szCs w:val="21"/>
          <w:highlight w:val="none"/>
        </w:rPr>
        <w:t>日期：</w:t>
      </w:r>
      <w:r>
        <w:rPr>
          <w:rFonts w:hint="eastAsia" w:ascii="宋体" w:hAnsi="宋体" w:eastAsia="宋体" w:cs="宋体"/>
          <w:b/>
          <w:color w:val="auto"/>
          <w:sz w:val="21"/>
          <w:szCs w:val="21"/>
          <w:highlight w:val="none"/>
          <w:u w:val="single"/>
        </w:rPr>
        <w:t xml:space="preserve">        </w:t>
      </w:r>
      <w:r>
        <w:rPr>
          <w:rFonts w:hint="eastAsia" w:ascii="宋体" w:hAnsi="宋体" w:eastAsia="宋体" w:cs="宋体"/>
          <w:b/>
          <w:color w:val="auto"/>
          <w:sz w:val="21"/>
          <w:szCs w:val="21"/>
          <w:highlight w:val="none"/>
        </w:rPr>
        <w:t>年</w:t>
      </w:r>
      <w:r>
        <w:rPr>
          <w:rFonts w:hint="eastAsia" w:ascii="宋体" w:hAnsi="宋体" w:eastAsia="宋体" w:cs="宋体"/>
          <w:b/>
          <w:color w:val="auto"/>
          <w:sz w:val="21"/>
          <w:szCs w:val="21"/>
          <w:highlight w:val="none"/>
          <w:u w:val="single"/>
        </w:rPr>
        <w:t xml:space="preserve">        </w:t>
      </w:r>
      <w:r>
        <w:rPr>
          <w:rFonts w:hint="eastAsia" w:ascii="宋体" w:hAnsi="宋体" w:eastAsia="宋体" w:cs="宋体"/>
          <w:b/>
          <w:color w:val="auto"/>
          <w:sz w:val="21"/>
          <w:szCs w:val="21"/>
          <w:highlight w:val="none"/>
        </w:rPr>
        <w:t>月</w:t>
      </w:r>
      <w:r>
        <w:rPr>
          <w:rFonts w:hint="eastAsia" w:ascii="宋体" w:hAnsi="宋体" w:eastAsia="宋体" w:cs="宋体"/>
          <w:b/>
          <w:color w:val="auto"/>
          <w:sz w:val="21"/>
          <w:szCs w:val="21"/>
          <w:highlight w:val="none"/>
          <w:u w:val="single"/>
        </w:rPr>
        <w:t xml:space="preserve">        </w:t>
      </w:r>
      <w:r>
        <w:rPr>
          <w:rFonts w:hint="eastAsia" w:ascii="宋体" w:hAnsi="宋体" w:eastAsia="宋体" w:cs="宋体"/>
          <w:b/>
          <w:color w:val="auto"/>
          <w:sz w:val="21"/>
          <w:szCs w:val="21"/>
          <w:highlight w:val="none"/>
        </w:rPr>
        <w:t>日</w:t>
      </w:r>
    </w:p>
    <w:p>
      <w:pPr>
        <w:jc w:val="center"/>
        <w:outlineLvl w:val="1"/>
        <w:rPr>
          <w:rFonts w:hint="eastAsia" w:ascii="宋体" w:hAnsi="宋体" w:eastAsia="宋体" w:cs="宋体"/>
          <w:color w:val="auto"/>
          <w:sz w:val="21"/>
          <w:szCs w:val="21"/>
          <w:highlight w:val="none"/>
        </w:rPr>
      </w:pPr>
      <w:bookmarkStart w:id="270" w:name="_Toc18336"/>
      <w:bookmarkStart w:id="271" w:name="_Toc644"/>
    </w:p>
    <w:bookmarkEnd w:id="270"/>
    <w:bookmarkEnd w:id="271"/>
    <w:p>
      <w:pPr>
        <w:rPr>
          <w:rFonts w:hint="eastAsia" w:ascii="宋体" w:hAnsi="宋体" w:eastAsia="宋体" w:cs="宋体"/>
          <w:color w:val="auto"/>
          <w:sz w:val="21"/>
          <w:szCs w:val="21"/>
          <w:highlight w:val="none"/>
        </w:rPr>
      </w:pPr>
    </w:p>
    <w:p>
      <w:pPr>
        <w:pStyle w:val="6"/>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pStyle w:val="6"/>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pStyle w:val="6"/>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pStyle w:val="6"/>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pStyle w:val="6"/>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pStyle w:val="6"/>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pStyle w:val="6"/>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pStyle w:val="6"/>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pStyle w:val="6"/>
        <w:spacing w:line="480" w:lineRule="auto"/>
        <w:rPr>
          <w:rFonts w:hint="eastAsia"/>
        </w:rPr>
      </w:pPr>
    </w:p>
    <w:p>
      <w:pPr>
        <w:spacing w:line="48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目录</w:t>
      </w:r>
    </w:p>
    <w:p>
      <w:pPr>
        <w:spacing w:line="480" w:lineRule="auto"/>
        <w:jc w:val="center"/>
        <w:rPr>
          <w:rFonts w:hint="eastAsia" w:ascii="宋体" w:hAnsi="宋体" w:eastAsia="宋体" w:cs="宋体"/>
          <w:color w:val="auto"/>
          <w:sz w:val="21"/>
          <w:szCs w:val="21"/>
          <w:highlight w:val="none"/>
        </w:rPr>
      </w:pPr>
    </w:p>
    <w:p>
      <w:pPr>
        <w:spacing w:line="480" w:lineRule="auto"/>
        <w:rPr>
          <w:rFonts w:hint="eastAsia" w:ascii="宋体" w:hAnsi="宋体" w:eastAsia="宋体" w:cs="宋体"/>
          <w:color w:val="auto"/>
          <w:sz w:val="21"/>
          <w:szCs w:val="21"/>
          <w:highlight w:val="none"/>
        </w:rPr>
      </w:pPr>
    </w:p>
    <w:p>
      <w:pPr>
        <w:spacing w:line="48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一、投标函</w:t>
      </w:r>
    </w:p>
    <w:p>
      <w:pPr>
        <w:spacing w:line="48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二、法定代表人资格证明书</w:t>
      </w:r>
    </w:p>
    <w:p>
      <w:pPr>
        <w:spacing w:line="48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三、授权委托书</w:t>
      </w:r>
    </w:p>
    <w:p>
      <w:pPr>
        <w:adjustRightInd w:val="0"/>
        <w:spacing w:line="48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四、报价汇总表</w:t>
      </w:r>
    </w:p>
    <w:p>
      <w:pPr>
        <w:spacing w:line="48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五、工程量清单报价表</w:t>
      </w:r>
    </w:p>
    <w:p>
      <w:pPr>
        <w:pStyle w:val="6"/>
        <w:ind w:left="0" w:leftChars="0" w:firstLine="0" w:firstLineChars="0"/>
        <w:rPr>
          <w:rFonts w:hint="eastAsia" w:ascii="宋体" w:hAnsi="宋体" w:eastAsia="宋体" w:cs="宋体"/>
          <w:color w:val="auto"/>
          <w:sz w:val="21"/>
          <w:szCs w:val="21"/>
          <w:highlight w:val="none"/>
          <w:lang w:val="en-US" w:eastAsia="zh-CN" w:bidi="ar-SA"/>
        </w:rPr>
      </w:pPr>
      <w:r>
        <w:rPr>
          <w:rFonts w:hint="eastAsia" w:ascii="宋体" w:hAnsi="宋体" w:eastAsia="宋体" w:cs="宋体"/>
          <w:color w:val="auto"/>
          <w:sz w:val="21"/>
          <w:szCs w:val="21"/>
          <w:highlight w:val="none"/>
          <w:lang w:val="en-US" w:eastAsia="zh-CN" w:bidi="ar-SA"/>
        </w:rPr>
        <w:t>六、投标单位认为所需提供的材料</w:t>
      </w:r>
    </w:p>
    <w:p>
      <w:pPr>
        <w:rPr>
          <w:rFonts w:hint="eastAsia" w:ascii="宋体" w:hAnsi="宋体" w:eastAsia="宋体" w:cs="宋体"/>
          <w:color w:val="auto"/>
          <w:sz w:val="21"/>
          <w:szCs w:val="21"/>
          <w:highlight w:val="none"/>
        </w:rPr>
      </w:pPr>
    </w:p>
    <w:p>
      <w:pPr>
        <w:pStyle w:val="11"/>
        <w:jc w:val="center"/>
        <w:rPr>
          <w:rFonts w:hint="eastAsia" w:ascii="宋体" w:hAnsi="宋体" w:eastAsia="宋体" w:cs="宋体"/>
          <w:color w:val="auto"/>
          <w:sz w:val="21"/>
          <w:szCs w:val="21"/>
          <w:highlight w:val="none"/>
        </w:rPr>
      </w:pPr>
    </w:p>
    <w:p>
      <w:pPr>
        <w:pStyle w:val="11"/>
        <w:jc w:val="center"/>
        <w:rPr>
          <w:rFonts w:hint="eastAsia" w:ascii="宋体" w:hAnsi="宋体" w:eastAsia="宋体" w:cs="宋体"/>
          <w:color w:val="auto"/>
          <w:sz w:val="21"/>
          <w:szCs w:val="21"/>
          <w:highlight w:val="none"/>
        </w:rPr>
      </w:pPr>
    </w:p>
    <w:p>
      <w:pPr>
        <w:pStyle w:val="11"/>
        <w:jc w:val="center"/>
        <w:rPr>
          <w:rFonts w:hint="eastAsia" w:ascii="宋体" w:hAnsi="宋体" w:eastAsia="宋体" w:cs="宋体"/>
          <w:color w:val="auto"/>
          <w:sz w:val="21"/>
          <w:szCs w:val="21"/>
          <w:highlight w:val="none"/>
        </w:rPr>
      </w:pPr>
    </w:p>
    <w:p>
      <w:pPr>
        <w:pStyle w:val="11"/>
        <w:jc w:val="center"/>
        <w:rPr>
          <w:rFonts w:hint="eastAsia" w:ascii="宋体" w:hAnsi="宋体" w:eastAsia="宋体" w:cs="宋体"/>
          <w:color w:val="auto"/>
          <w:sz w:val="21"/>
          <w:szCs w:val="21"/>
          <w:highlight w:val="none"/>
        </w:rPr>
      </w:pPr>
    </w:p>
    <w:p>
      <w:pPr>
        <w:pStyle w:val="11"/>
        <w:jc w:val="center"/>
        <w:rPr>
          <w:rFonts w:hint="eastAsia" w:ascii="宋体" w:hAnsi="宋体" w:eastAsia="宋体" w:cs="宋体"/>
          <w:color w:val="auto"/>
          <w:sz w:val="21"/>
          <w:szCs w:val="21"/>
          <w:highlight w:val="none"/>
        </w:rPr>
      </w:pPr>
    </w:p>
    <w:p>
      <w:pPr>
        <w:pStyle w:val="11"/>
        <w:jc w:val="center"/>
        <w:rPr>
          <w:rFonts w:hint="eastAsia" w:ascii="宋体" w:hAnsi="宋体" w:eastAsia="宋体" w:cs="宋体"/>
          <w:color w:val="auto"/>
          <w:sz w:val="21"/>
          <w:szCs w:val="21"/>
          <w:highlight w:val="none"/>
        </w:rPr>
      </w:pPr>
    </w:p>
    <w:p>
      <w:pPr>
        <w:pStyle w:val="11"/>
        <w:rPr>
          <w:rFonts w:hint="eastAsia" w:ascii="宋体" w:hAnsi="宋体" w:eastAsia="宋体" w:cs="宋体"/>
          <w:color w:val="auto"/>
          <w:sz w:val="21"/>
          <w:szCs w:val="21"/>
          <w:highlight w:val="none"/>
        </w:rPr>
      </w:pPr>
    </w:p>
    <w:p>
      <w:pPr>
        <w:pStyle w:val="11"/>
        <w:rPr>
          <w:rFonts w:hint="eastAsia" w:ascii="宋体" w:hAnsi="宋体" w:eastAsia="宋体" w:cs="宋体"/>
          <w:color w:val="auto"/>
          <w:sz w:val="21"/>
          <w:szCs w:val="21"/>
          <w:highlight w:val="none"/>
        </w:rPr>
      </w:pPr>
    </w:p>
    <w:p>
      <w:pPr>
        <w:pStyle w:val="11"/>
        <w:rPr>
          <w:rFonts w:hint="eastAsia" w:ascii="宋体" w:hAnsi="宋体" w:eastAsia="宋体" w:cs="宋体"/>
          <w:color w:val="auto"/>
          <w:sz w:val="21"/>
          <w:szCs w:val="21"/>
          <w:highlight w:val="none"/>
        </w:rPr>
      </w:pPr>
    </w:p>
    <w:p>
      <w:pPr>
        <w:pStyle w:val="11"/>
        <w:rPr>
          <w:rFonts w:hint="eastAsia" w:ascii="宋体" w:hAnsi="宋体" w:eastAsia="宋体" w:cs="宋体"/>
          <w:color w:val="auto"/>
          <w:sz w:val="21"/>
          <w:szCs w:val="21"/>
          <w:highlight w:val="none"/>
        </w:rPr>
      </w:pPr>
    </w:p>
    <w:p>
      <w:pPr>
        <w:pStyle w:val="11"/>
        <w:rPr>
          <w:rFonts w:hint="eastAsia" w:ascii="宋体" w:hAnsi="宋体" w:eastAsia="宋体" w:cs="宋体"/>
          <w:color w:val="auto"/>
          <w:sz w:val="21"/>
          <w:szCs w:val="21"/>
          <w:highlight w:val="none"/>
        </w:rPr>
      </w:pPr>
    </w:p>
    <w:p>
      <w:pPr>
        <w:pStyle w:val="11"/>
        <w:rPr>
          <w:rFonts w:hint="eastAsia" w:ascii="宋体" w:hAnsi="宋体" w:eastAsia="宋体" w:cs="宋体"/>
          <w:color w:val="auto"/>
          <w:sz w:val="21"/>
          <w:szCs w:val="21"/>
          <w:highlight w:val="none"/>
        </w:rPr>
      </w:pPr>
    </w:p>
    <w:p>
      <w:pPr>
        <w:pStyle w:val="11"/>
        <w:rPr>
          <w:rFonts w:hint="eastAsia" w:ascii="宋体" w:hAnsi="宋体" w:eastAsia="宋体" w:cs="宋体"/>
          <w:color w:val="auto"/>
          <w:sz w:val="21"/>
          <w:szCs w:val="21"/>
          <w:highlight w:val="none"/>
        </w:rPr>
      </w:pPr>
    </w:p>
    <w:p>
      <w:pPr>
        <w:pStyle w:val="11"/>
        <w:rPr>
          <w:rFonts w:hint="eastAsia" w:ascii="宋体" w:hAnsi="宋体" w:eastAsia="宋体" w:cs="宋体"/>
          <w:color w:val="auto"/>
          <w:sz w:val="21"/>
          <w:szCs w:val="21"/>
          <w:highlight w:val="none"/>
        </w:rPr>
      </w:pPr>
    </w:p>
    <w:p>
      <w:pPr>
        <w:pStyle w:val="11"/>
        <w:rPr>
          <w:rFonts w:hint="eastAsia" w:ascii="宋体" w:hAnsi="宋体" w:eastAsia="宋体" w:cs="宋体"/>
          <w:color w:val="auto"/>
          <w:sz w:val="21"/>
          <w:szCs w:val="21"/>
          <w:highlight w:val="none"/>
        </w:rPr>
      </w:pPr>
    </w:p>
    <w:p>
      <w:pPr>
        <w:pStyle w:val="11"/>
        <w:rPr>
          <w:rFonts w:hint="eastAsia" w:ascii="宋体" w:hAnsi="宋体" w:eastAsia="宋体" w:cs="宋体"/>
          <w:color w:val="auto"/>
          <w:sz w:val="21"/>
          <w:szCs w:val="21"/>
          <w:highlight w:val="none"/>
        </w:rPr>
      </w:pPr>
    </w:p>
    <w:p>
      <w:pPr>
        <w:pStyle w:val="11"/>
        <w:rPr>
          <w:rFonts w:hint="eastAsia" w:ascii="宋体" w:hAnsi="宋体" w:eastAsia="宋体" w:cs="宋体"/>
          <w:color w:val="auto"/>
          <w:sz w:val="21"/>
          <w:szCs w:val="21"/>
          <w:highlight w:val="none"/>
        </w:rPr>
      </w:pPr>
    </w:p>
    <w:p>
      <w:pPr>
        <w:pStyle w:val="11"/>
        <w:rPr>
          <w:rFonts w:hint="eastAsia" w:ascii="宋体" w:hAnsi="宋体" w:eastAsia="宋体" w:cs="宋体"/>
          <w:color w:val="auto"/>
          <w:sz w:val="21"/>
          <w:szCs w:val="21"/>
          <w:highlight w:val="none"/>
        </w:rPr>
      </w:pPr>
    </w:p>
    <w:p>
      <w:pPr>
        <w:pStyle w:val="11"/>
        <w:rPr>
          <w:rFonts w:hint="eastAsia" w:ascii="宋体" w:hAnsi="宋体" w:eastAsia="宋体" w:cs="宋体"/>
          <w:color w:val="auto"/>
          <w:sz w:val="21"/>
          <w:szCs w:val="21"/>
          <w:highlight w:val="none"/>
        </w:rPr>
      </w:pPr>
    </w:p>
    <w:p>
      <w:pPr>
        <w:pStyle w:val="4"/>
        <w:rPr>
          <w:rFonts w:hint="eastAsia" w:ascii="宋体" w:hAnsi="宋体" w:eastAsia="宋体" w:cs="宋体"/>
          <w:b/>
          <w:color w:val="auto"/>
          <w:sz w:val="21"/>
          <w:szCs w:val="21"/>
          <w:highlight w:val="none"/>
        </w:rPr>
      </w:pPr>
      <w:bookmarkStart w:id="272" w:name="_Toc29334"/>
      <w:bookmarkStart w:id="273" w:name="_Toc11055338"/>
      <w:bookmarkStart w:id="274" w:name="_Toc31710"/>
    </w:p>
    <w:p>
      <w:pPr>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pStyle w:val="6"/>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pStyle w:val="6"/>
        <w:rPr>
          <w:rFonts w:hint="eastAsia"/>
        </w:rPr>
      </w:pPr>
    </w:p>
    <w:p>
      <w:pPr>
        <w:rPr>
          <w:rFonts w:hint="eastAsia" w:ascii="宋体" w:hAnsi="宋体" w:eastAsia="宋体" w:cs="宋体"/>
          <w:color w:val="auto"/>
          <w:sz w:val="21"/>
          <w:szCs w:val="21"/>
          <w:highlight w:val="none"/>
        </w:rPr>
      </w:pPr>
    </w:p>
    <w:p>
      <w:pPr>
        <w:pStyle w:val="4"/>
        <w:rPr>
          <w:rFonts w:hint="eastAsia" w:ascii="宋体" w:hAnsi="宋体" w:eastAsia="宋体" w:cs="宋体"/>
          <w:b/>
          <w:color w:val="auto"/>
          <w:sz w:val="21"/>
          <w:szCs w:val="21"/>
          <w:highlight w:val="none"/>
        </w:rPr>
      </w:pPr>
      <w:bookmarkStart w:id="275" w:name="_Toc15211"/>
      <w:r>
        <w:rPr>
          <w:rFonts w:hint="eastAsia" w:ascii="宋体" w:hAnsi="宋体" w:eastAsia="宋体" w:cs="宋体"/>
          <w:b/>
          <w:color w:val="auto"/>
          <w:sz w:val="21"/>
          <w:szCs w:val="21"/>
          <w:highlight w:val="none"/>
        </w:rPr>
        <w:t>一、投标函</w:t>
      </w:r>
      <w:bookmarkEnd w:id="272"/>
      <w:bookmarkEnd w:id="273"/>
      <w:bookmarkEnd w:id="274"/>
      <w:bookmarkEnd w:id="275"/>
    </w:p>
    <w:p>
      <w:pPr>
        <w:rPr>
          <w:rFonts w:hint="eastAsia" w:ascii="宋体" w:hAnsi="宋体" w:eastAsia="宋体" w:cs="宋体"/>
          <w:color w:val="auto"/>
          <w:sz w:val="21"/>
          <w:szCs w:val="21"/>
          <w:highlight w:val="none"/>
        </w:rPr>
      </w:pPr>
    </w:p>
    <w:p>
      <w:pPr>
        <w:numPr>
          <w:ilvl w:val="0"/>
          <w:numId w:val="10"/>
        </w:numPr>
        <w:jc w:val="center"/>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投标函</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(招标人名称)：</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1.我方已仔细研究了</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(项目名称)招标文件的全部内容，愿意以人民币(大写)</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元(￥</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元)的投标总报价，</w:t>
      </w:r>
      <w:r>
        <w:rPr>
          <w:rFonts w:hint="eastAsia" w:ascii="宋体" w:hAnsi="宋体" w:eastAsia="宋体" w:cs="宋体"/>
          <w:b w:val="0"/>
          <w:bCs/>
          <w:color w:val="auto"/>
          <w:sz w:val="21"/>
          <w:szCs w:val="21"/>
          <w:highlight w:val="none"/>
        </w:rPr>
        <w:t>工期：</w:t>
      </w:r>
      <w:r>
        <w:rPr>
          <w:rFonts w:hint="eastAsia" w:ascii="宋体" w:hAnsi="宋体" w:eastAsia="宋体" w:cs="宋体"/>
          <w:b w:val="0"/>
          <w:bCs/>
          <w:color w:val="auto"/>
          <w:sz w:val="21"/>
          <w:szCs w:val="21"/>
          <w:highlight w:val="none"/>
          <w:u w:val="single"/>
        </w:rPr>
        <w:t xml:space="preserve">   </w:t>
      </w:r>
      <w:r>
        <w:rPr>
          <w:rFonts w:hint="eastAsia" w:ascii="宋体" w:hAnsi="宋体" w:eastAsia="宋体" w:cs="宋体"/>
          <w:b w:val="0"/>
          <w:bCs/>
          <w:color w:val="auto"/>
          <w:sz w:val="21"/>
          <w:szCs w:val="21"/>
          <w:highlight w:val="none"/>
        </w:rPr>
        <w:t>日历天。</w:t>
      </w:r>
      <w:r>
        <w:rPr>
          <w:rFonts w:hint="eastAsia" w:ascii="宋体" w:hAnsi="宋体" w:eastAsia="宋体" w:cs="宋体"/>
          <w:color w:val="auto"/>
          <w:sz w:val="21"/>
          <w:szCs w:val="21"/>
          <w:highlight w:val="none"/>
        </w:rPr>
        <w:t>按合同约定实施和完成承包工程，修补工程中的任何缺陷，工程质量达到</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2.我方承诺在投标有效期内不补充、修改、替代或者撤回本投标文件。</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3.投标保证金，报名时已缴纳。</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4.如我方中标：</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(1)我方承诺在收到中标通知书后，在中标通知书规定的期限内与你方签订合同；</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(2)随同本投标函递交的投标函附录属于合同文件的组成部分；</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(3)我方承诺按照招标文件规定向你方递交履约担保；</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(4)我方承诺在合同约定的期限内完成并移交全部合同工程。</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5.我方在此声明，所递交的投标文件及有关资料内容完整、真实和准确，且不存在第2章投标人须知第1.4.3款规定的任何一种情形。</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6.</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(其它补充说明)。</w:t>
      </w:r>
    </w:p>
    <w:p>
      <w:pPr>
        <w:spacing w:line="360" w:lineRule="auto"/>
        <w:rPr>
          <w:rFonts w:hint="eastAsia" w:ascii="宋体" w:hAnsi="宋体" w:eastAsia="宋体" w:cs="宋体"/>
          <w:color w:val="auto"/>
          <w:sz w:val="21"/>
          <w:szCs w:val="21"/>
          <w:highlight w:val="none"/>
        </w:rPr>
      </w:pP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投标人：</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(盖单位章)</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法定代表人或其委托代理人：</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(签字)</w:t>
      </w:r>
    </w:p>
    <w:p>
      <w:pPr>
        <w:spacing w:line="360" w:lineRule="auto"/>
        <w:rPr>
          <w:rFonts w:hint="eastAsia" w:ascii="宋体" w:hAnsi="宋体" w:eastAsia="宋体" w:cs="宋体"/>
          <w:color w:val="auto"/>
          <w:sz w:val="21"/>
          <w:szCs w:val="21"/>
          <w:highlight w:val="none"/>
          <w:u w:val="single"/>
        </w:rPr>
      </w:pPr>
      <w:r>
        <w:rPr>
          <w:rFonts w:hint="eastAsia" w:ascii="宋体" w:hAnsi="宋体" w:eastAsia="宋体" w:cs="宋体"/>
          <w:color w:val="auto"/>
          <w:sz w:val="21"/>
          <w:szCs w:val="21"/>
          <w:highlight w:val="none"/>
        </w:rPr>
        <w:t>　　　　　　　　　　　　　　　　　　　地址：</w:t>
      </w:r>
      <w:r>
        <w:rPr>
          <w:rFonts w:hint="eastAsia" w:ascii="宋体" w:hAnsi="宋体" w:eastAsia="宋体" w:cs="宋体"/>
          <w:color w:val="auto"/>
          <w:sz w:val="21"/>
          <w:szCs w:val="21"/>
          <w:highlight w:val="none"/>
          <w:u w:val="single"/>
        </w:rPr>
        <w:t xml:space="preserve">                              </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网址：</w:t>
      </w:r>
      <w:r>
        <w:rPr>
          <w:rFonts w:hint="eastAsia" w:ascii="宋体" w:hAnsi="宋体" w:eastAsia="宋体" w:cs="宋体"/>
          <w:color w:val="auto"/>
          <w:sz w:val="21"/>
          <w:szCs w:val="21"/>
          <w:highlight w:val="none"/>
          <w:u w:val="single"/>
        </w:rPr>
        <w:t xml:space="preserve">                              </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电话：</w:t>
      </w:r>
      <w:r>
        <w:rPr>
          <w:rFonts w:hint="eastAsia" w:ascii="宋体" w:hAnsi="宋体" w:eastAsia="宋体" w:cs="宋体"/>
          <w:color w:val="auto"/>
          <w:sz w:val="21"/>
          <w:szCs w:val="21"/>
          <w:highlight w:val="none"/>
          <w:u w:val="single"/>
        </w:rPr>
        <w:t xml:space="preserve">                              </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传真：</w:t>
      </w:r>
      <w:r>
        <w:rPr>
          <w:rFonts w:hint="eastAsia" w:ascii="宋体" w:hAnsi="宋体" w:eastAsia="宋体" w:cs="宋体"/>
          <w:color w:val="auto"/>
          <w:sz w:val="21"/>
          <w:szCs w:val="21"/>
          <w:highlight w:val="none"/>
          <w:u w:val="single"/>
        </w:rPr>
        <w:t xml:space="preserve">                              </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邮政编码：</w:t>
      </w:r>
      <w:r>
        <w:rPr>
          <w:rFonts w:hint="eastAsia" w:ascii="宋体" w:hAnsi="宋体" w:eastAsia="宋体" w:cs="宋体"/>
          <w:color w:val="auto"/>
          <w:sz w:val="21"/>
          <w:szCs w:val="21"/>
          <w:highlight w:val="none"/>
          <w:u w:val="single"/>
        </w:rPr>
        <w:t xml:space="preserve">                          </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年</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w:t>
      </w:r>
      <w:r>
        <w:rPr>
          <w:rFonts w:hint="eastAsia" w:ascii="宋体" w:hAnsi="宋体" w:eastAsia="宋体" w:cs="宋体"/>
          <w:color w:val="auto"/>
          <w:sz w:val="21"/>
          <w:szCs w:val="21"/>
          <w:highlight w:val="none"/>
        </w:rPr>
        <w:t>日</w:t>
      </w:r>
    </w:p>
    <w:p>
      <w:pPr>
        <w:spacing w:line="360" w:lineRule="auto"/>
        <w:rPr>
          <w:rFonts w:hint="eastAsia" w:ascii="宋体" w:hAnsi="宋体" w:eastAsia="宋体" w:cs="宋体"/>
          <w:color w:val="auto"/>
          <w:sz w:val="21"/>
          <w:szCs w:val="21"/>
          <w:highlight w:val="none"/>
        </w:rPr>
      </w:pPr>
    </w:p>
    <w:p>
      <w:pPr>
        <w:spacing w:line="360" w:lineRule="auto"/>
        <w:rPr>
          <w:rFonts w:hint="eastAsia" w:ascii="宋体" w:hAnsi="宋体" w:eastAsia="宋体" w:cs="宋体"/>
          <w:color w:val="auto"/>
          <w:sz w:val="21"/>
          <w:szCs w:val="21"/>
          <w:highlight w:val="none"/>
        </w:rPr>
      </w:pPr>
    </w:p>
    <w:p>
      <w:pPr>
        <w:spacing w:line="360" w:lineRule="auto"/>
        <w:rPr>
          <w:rFonts w:hint="eastAsia" w:ascii="宋体" w:hAnsi="宋体" w:eastAsia="宋体" w:cs="宋体"/>
          <w:color w:val="auto"/>
          <w:sz w:val="21"/>
          <w:szCs w:val="21"/>
          <w:highlight w:val="none"/>
        </w:rPr>
      </w:pPr>
    </w:p>
    <w:p>
      <w:pPr>
        <w:spacing w:line="360" w:lineRule="auto"/>
        <w:rPr>
          <w:rFonts w:hint="eastAsia" w:ascii="宋体" w:hAnsi="宋体" w:eastAsia="宋体" w:cs="宋体"/>
          <w:color w:val="auto"/>
          <w:sz w:val="21"/>
          <w:szCs w:val="21"/>
          <w:highlight w:val="none"/>
        </w:rPr>
      </w:pPr>
    </w:p>
    <w:p>
      <w:pPr>
        <w:spacing w:line="360" w:lineRule="auto"/>
        <w:rPr>
          <w:rFonts w:hint="eastAsia" w:ascii="宋体" w:hAnsi="宋体" w:eastAsia="宋体" w:cs="宋体"/>
          <w:color w:val="auto"/>
          <w:sz w:val="21"/>
          <w:szCs w:val="21"/>
          <w:highlight w:val="none"/>
        </w:rPr>
      </w:pPr>
    </w:p>
    <w:p>
      <w:pPr>
        <w:spacing w:line="360" w:lineRule="auto"/>
        <w:rPr>
          <w:rFonts w:hint="eastAsia" w:ascii="宋体" w:hAnsi="宋体" w:eastAsia="宋体" w:cs="宋体"/>
          <w:color w:val="auto"/>
          <w:sz w:val="21"/>
          <w:szCs w:val="21"/>
          <w:highlight w:val="none"/>
        </w:rPr>
      </w:pPr>
    </w:p>
    <w:p>
      <w:pPr>
        <w:spacing w:line="360" w:lineRule="auto"/>
        <w:rPr>
          <w:rFonts w:hint="eastAsia" w:ascii="宋体" w:hAnsi="宋体" w:eastAsia="宋体" w:cs="宋体"/>
          <w:color w:val="auto"/>
          <w:sz w:val="21"/>
          <w:szCs w:val="21"/>
          <w:highlight w:val="none"/>
        </w:rPr>
      </w:pPr>
    </w:p>
    <w:p>
      <w:pPr>
        <w:spacing w:line="360" w:lineRule="auto"/>
        <w:rPr>
          <w:rFonts w:hint="eastAsia" w:ascii="宋体" w:hAnsi="宋体" w:eastAsia="宋体" w:cs="宋体"/>
          <w:color w:val="auto"/>
          <w:sz w:val="21"/>
          <w:szCs w:val="21"/>
          <w:highlight w:val="none"/>
        </w:rPr>
      </w:pPr>
    </w:p>
    <w:p>
      <w:pPr>
        <w:spacing w:line="360" w:lineRule="auto"/>
        <w:rPr>
          <w:rFonts w:hint="eastAsia" w:ascii="宋体" w:hAnsi="宋体" w:eastAsia="宋体" w:cs="宋体"/>
          <w:color w:val="auto"/>
          <w:sz w:val="21"/>
          <w:szCs w:val="21"/>
          <w:highlight w:val="none"/>
        </w:rPr>
      </w:pPr>
    </w:p>
    <w:p>
      <w:pPr>
        <w:pStyle w:val="2"/>
        <w:rPr>
          <w:rFonts w:hint="eastAsia" w:ascii="宋体" w:hAnsi="宋体" w:eastAsia="宋体" w:cs="宋体"/>
          <w:color w:val="auto"/>
          <w:sz w:val="21"/>
          <w:szCs w:val="21"/>
          <w:highlight w:val="none"/>
        </w:rPr>
      </w:pPr>
    </w:p>
    <w:p>
      <w:pPr>
        <w:pStyle w:val="11"/>
        <w:adjustRightInd w:val="0"/>
        <w:snapToGrid w:val="0"/>
        <w:spacing w:line="300" w:lineRule="auto"/>
        <w:rPr>
          <w:rFonts w:hint="eastAsia" w:ascii="宋体" w:hAnsi="宋体" w:eastAsia="宋体" w:cs="宋体"/>
          <w:b/>
          <w:color w:val="auto"/>
          <w:sz w:val="21"/>
          <w:szCs w:val="21"/>
          <w:highlight w:val="none"/>
        </w:rPr>
      </w:pPr>
    </w:p>
    <w:p>
      <w:pPr>
        <w:pStyle w:val="11"/>
        <w:adjustRightInd w:val="0"/>
        <w:snapToGrid w:val="0"/>
        <w:spacing w:line="300" w:lineRule="auto"/>
        <w:jc w:val="center"/>
        <w:outlineLvl w:val="1"/>
        <w:rPr>
          <w:rFonts w:hint="eastAsia" w:ascii="宋体" w:hAnsi="宋体" w:eastAsia="宋体" w:cs="宋体"/>
          <w:b/>
          <w:color w:val="auto"/>
          <w:sz w:val="21"/>
          <w:szCs w:val="21"/>
          <w:highlight w:val="none"/>
        </w:rPr>
      </w:pPr>
      <w:bookmarkStart w:id="276" w:name="_Toc11055339"/>
    </w:p>
    <w:p>
      <w:pPr>
        <w:pStyle w:val="11"/>
        <w:adjustRightInd w:val="0"/>
        <w:snapToGrid w:val="0"/>
        <w:spacing w:line="300" w:lineRule="auto"/>
        <w:jc w:val="center"/>
        <w:outlineLvl w:val="1"/>
        <w:rPr>
          <w:rFonts w:hint="eastAsia" w:ascii="宋体" w:hAnsi="宋体" w:eastAsia="宋体" w:cs="宋体"/>
          <w:b/>
          <w:color w:val="auto"/>
          <w:sz w:val="21"/>
          <w:szCs w:val="21"/>
          <w:highlight w:val="none"/>
        </w:rPr>
      </w:pPr>
      <w:bookmarkStart w:id="277" w:name="_Toc17956"/>
      <w:r>
        <w:rPr>
          <w:rFonts w:hint="eastAsia" w:ascii="宋体" w:hAnsi="宋体" w:eastAsia="宋体" w:cs="宋体"/>
          <w:b/>
          <w:color w:val="auto"/>
          <w:sz w:val="21"/>
          <w:szCs w:val="21"/>
          <w:highlight w:val="none"/>
        </w:rPr>
        <w:t>二、法定代表人资格证明书</w:t>
      </w:r>
      <w:bookmarkEnd w:id="276"/>
      <w:bookmarkEnd w:id="277"/>
    </w:p>
    <w:p>
      <w:pPr>
        <w:pStyle w:val="11"/>
        <w:adjustRightInd w:val="0"/>
        <w:snapToGrid w:val="0"/>
        <w:spacing w:line="300" w:lineRule="auto"/>
        <w:jc w:val="center"/>
        <w:rPr>
          <w:rFonts w:hint="eastAsia" w:ascii="宋体" w:hAnsi="宋体" w:eastAsia="宋体" w:cs="宋体"/>
          <w:b/>
          <w:color w:val="auto"/>
          <w:sz w:val="21"/>
          <w:szCs w:val="21"/>
          <w:highlight w:val="none"/>
        </w:rPr>
      </w:pPr>
    </w:p>
    <w:p>
      <w:pPr>
        <w:pStyle w:val="11"/>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单位名称：</w:t>
      </w:r>
    </w:p>
    <w:p>
      <w:pPr>
        <w:pStyle w:val="11"/>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地址：</w:t>
      </w:r>
    </w:p>
    <w:p>
      <w:pPr>
        <w:pStyle w:val="11"/>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姓名：             性别：          年龄：          职务：</w:t>
      </w:r>
    </w:p>
    <w:p>
      <w:pPr>
        <w:pStyle w:val="11"/>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的法定代表人。为施工、竣工和保修</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的工程，签署上述工程的投标文件、进行合同谈判、签署合同和处理与之有关的一切事务。</w:t>
      </w:r>
    </w:p>
    <w:p>
      <w:pPr>
        <w:pStyle w:val="11"/>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特此证明。</w:t>
      </w:r>
    </w:p>
    <w:p>
      <w:pPr>
        <w:pStyle w:val="11"/>
        <w:adjustRightInd w:val="0"/>
        <w:snapToGrid w:val="0"/>
        <w:spacing w:line="36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投标人：(盖章)</w:t>
      </w:r>
    </w:p>
    <w:p>
      <w:pPr>
        <w:pStyle w:val="11"/>
        <w:adjustRightInd w:val="0"/>
        <w:snapToGrid w:val="0"/>
        <w:spacing w:line="300" w:lineRule="auto"/>
        <w:rPr>
          <w:rFonts w:hint="eastAsia" w:ascii="宋体" w:hAnsi="宋体" w:eastAsia="宋体" w:cs="宋体"/>
          <w:color w:val="auto"/>
          <w:sz w:val="21"/>
          <w:szCs w:val="21"/>
          <w:highlight w:val="none"/>
        </w:rPr>
      </w:pPr>
    </w:p>
    <w:p>
      <w:pPr>
        <w:pStyle w:val="11"/>
        <w:adjustRightInd w:val="0"/>
        <w:snapToGrid w:val="0"/>
        <w:spacing w:line="300" w:lineRule="auto"/>
        <w:jc w:val="cente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年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月</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日</w:t>
      </w:r>
    </w:p>
    <w:p>
      <w:pPr>
        <w:pStyle w:val="11"/>
        <w:adjustRightInd w:val="0"/>
        <w:snapToGrid w:val="0"/>
        <w:spacing w:line="300" w:lineRule="auto"/>
        <w:jc w:val="center"/>
        <w:rPr>
          <w:rFonts w:hint="eastAsia" w:ascii="宋体" w:hAnsi="宋体" w:eastAsia="宋体" w:cs="宋体"/>
          <w:b/>
          <w:color w:val="auto"/>
          <w:sz w:val="21"/>
          <w:szCs w:val="21"/>
          <w:highlight w:val="none"/>
        </w:rPr>
      </w:pPr>
    </w:p>
    <w:p>
      <w:pPr>
        <w:pStyle w:val="11"/>
        <w:adjustRightInd w:val="0"/>
        <w:snapToGrid w:val="0"/>
        <w:spacing w:line="300" w:lineRule="auto"/>
        <w:jc w:val="center"/>
        <w:outlineLvl w:val="1"/>
        <w:rPr>
          <w:rFonts w:hint="eastAsia" w:ascii="宋体" w:hAnsi="宋体" w:eastAsia="宋体" w:cs="宋体"/>
          <w:b/>
          <w:color w:val="auto"/>
          <w:sz w:val="21"/>
          <w:szCs w:val="21"/>
          <w:highlight w:val="none"/>
        </w:rPr>
      </w:pPr>
    </w:p>
    <w:p>
      <w:pPr>
        <w:pStyle w:val="11"/>
        <w:adjustRightInd w:val="0"/>
        <w:snapToGrid w:val="0"/>
        <w:spacing w:line="300" w:lineRule="auto"/>
        <w:jc w:val="center"/>
        <w:outlineLvl w:val="1"/>
        <w:rPr>
          <w:rFonts w:hint="eastAsia" w:ascii="宋体" w:hAnsi="宋体" w:eastAsia="宋体" w:cs="宋体"/>
          <w:b/>
          <w:color w:val="auto"/>
          <w:sz w:val="21"/>
          <w:szCs w:val="21"/>
          <w:highlight w:val="none"/>
        </w:rPr>
      </w:pPr>
      <w:bookmarkStart w:id="278" w:name="_Toc11055340"/>
      <w:bookmarkStart w:id="279" w:name="_Toc8048"/>
      <w:r>
        <w:rPr>
          <w:rFonts w:hint="eastAsia" w:ascii="宋体" w:hAnsi="宋体" w:eastAsia="宋体" w:cs="宋体"/>
          <w:b/>
          <w:color w:val="auto"/>
          <w:sz w:val="21"/>
          <w:szCs w:val="21"/>
          <w:highlight w:val="none"/>
        </w:rPr>
        <w:t>三、授权委托书</w:t>
      </w:r>
      <w:bookmarkEnd w:id="278"/>
      <w:bookmarkEnd w:id="279"/>
    </w:p>
    <w:p>
      <w:pPr>
        <w:pStyle w:val="11"/>
        <w:adjustRightInd w:val="0"/>
        <w:snapToGrid w:val="0"/>
        <w:spacing w:line="300" w:lineRule="auto"/>
        <w:rPr>
          <w:rFonts w:hint="eastAsia" w:ascii="宋体" w:hAnsi="宋体" w:eastAsia="宋体" w:cs="宋体"/>
          <w:color w:val="auto"/>
          <w:sz w:val="21"/>
          <w:szCs w:val="21"/>
          <w:highlight w:val="none"/>
        </w:rPr>
      </w:pPr>
    </w:p>
    <w:p>
      <w:pPr>
        <w:pStyle w:val="11"/>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本授权委托书声明：我</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 (姓名)系</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 xml:space="preserve">(投标人名称)的法定代表人，现授权委托 </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（单位名称）的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(姓名)为我公司代理人，参加</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(招标人)的</w:t>
      </w:r>
      <w:r>
        <w:rPr>
          <w:rFonts w:hint="eastAsia" w:ascii="宋体" w:hAnsi="宋体" w:eastAsia="宋体" w:cs="宋体"/>
          <w:color w:val="auto"/>
          <w:sz w:val="21"/>
          <w:szCs w:val="21"/>
          <w:highlight w:val="none"/>
          <w:u w:val="single"/>
        </w:rPr>
        <w:t xml:space="preserve">           </w:t>
      </w:r>
      <w:r>
        <w:rPr>
          <w:rFonts w:hint="eastAsia" w:ascii="宋体" w:hAnsi="宋体" w:eastAsia="宋体" w:cs="宋体"/>
          <w:color w:val="auto"/>
          <w:sz w:val="21"/>
          <w:szCs w:val="21"/>
          <w:highlight w:val="none"/>
        </w:rPr>
        <w:t>工程的投标活动。代理人在投标、开标、评标、合同谈判过程中所签署的一切文件和处理与之有关的一切事务，我均予以承认。</w:t>
      </w:r>
    </w:p>
    <w:p>
      <w:pPr>
        <w:pStyle w:val="11"/>
        <w:adjustRightInd w:val="0"/>
        <w:snapToGrid w:val="0"/>
        <w:spacing w:line="360" w:lineRule="auto"/>
        <w:rPr>
          <w:rFonts w:hint="eastAsia" w:ascii="宋体" w:hAnsi="宋体" w:eastAsia="宋体" w:cs="宋体"/>
          <w:color w:val="auto"/>
          <w:sz w:val="21"/>
          <w:szCs w:val="21"/>
          <w:highlight w:val="none"/>
        </w:rPr>
      </w:pPr>
    </w:p>
    <w:p>
      <w:pPr>
        <w:pStyle w:val="11"/>
        <w:adjustRightInd w:val="0"/>
        <w:snapToGrid w:val="0"/>
        <w:spacing w:line="360" w:lineRule="auto"/>
        <w:ind w:left="412"/>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代理人无转委权。特此委托。</w:t>
      </w:r>
      <w:r>
        <w:rPr>
          <w:rFonts w:hint="eastAsia" w:ascii="宋体" w:hAnsi="宋体" w:eastAsia="宋体" w:cs="宋体"/>
          <w:color w:val="auto"/>
          <w:sz w:val="21"/>
          <w:szCs w:val="21"/>
          <w:highlight w:val="none"/>
        </w:rPr>
        <w:cr/>
      </w:r>
      <w:r>
        <w:rPr>
          <w:rFonts w:hint="eastAsia" w:ascii="宋体" w:hAnsi="宋体" w:eastAsia="宋体" w:cs="宋体"/>
          <w:color w:val="auto"/>
          <w:sz w:val="21"/>
          <w:szCs w:val="21"/>
          <w:highlight w:val="none"/>
        </w:rPr>
        <w:t>代理人：             性别：                 年龄：</w:t>
      </w:r>
    </w:p>
    <w:p>
      <w:pPr>
        <w:pStyle w:val="11"/>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单位：               部门：                 职务：</w:t>
      </w:r>
    </w:p>
    <w:p>
      <w:pPr>
        <w:pStyle w:val="11"/>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投标人：(盖章)</w:t>
      </w:r>
    </w:p>
    <w:p>
      <w:pPr>
        <w:pStyle w:val="11"/>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法定代表人：(签字或盖章)</w:t>
      </w:r>
    </w:p>
    <w:p>
      <w:pPr>
        <w:pStyle w:val="11"/>
        <w:adjustRightInd w:val="0"/>
        <w:snapToGrid w:val="0"/>
        <w:spacing w:line="360" w:lineRule="auto"/>
        <w:ind w:firstLine="42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日期：     年   月   日</w:t>
      </w:r>
    </w:p>
    <w:p>
      <w:pPr>
        <w:pStyle w:val="11"/>
        <w:adjustRightInd w:val="0"/>
        <w:snapToGrid w:val="0"/>
        <w:spacing w:line="300" w:lineRule="auto"/>
        <w:jc w:val="center"/>
        <w:rPr>
          <w:rFonts w:hint="eastAsia" w:ascii="宋体" w:hAnsi="宋体" w:eastAsia="宋体" w:cs="宋体"/>
          <w:color w:val="auto"/>
          <w:sz w:val="21"/>
          <w:szCs w:val="21"/>
          <w:highlight w:val="none"/>
        </w:rPr>
      </w:pPr>
    </w:p>
    <w:p>
      <w:pPr>
        <w:pStyle w:val="11"/>
        <w:adjustRightInd w:val="0"/>
        <w:snapToGrid w:val="0"/>
        <w:spacing w:line="300" w:lineRule="auto"/>
        <w:jc w:val="center"/>
        <w:rPr>
          <w:rFonts w:hint="eastAsia" w:ascii="宋体" w:hAnsi="宋体" w:eastAsia="宋体" w:cs="宋体"/>
          <w:color w:val="auto"/>
          <w:sz w:val="21"/>
          <w:szCs w:val="21"/>
          <w:highlight w:val="none"/>
        </w:rPr>
      </w:pPr>
    </w:p>
    <w:p>
      <w:pPr>
        <w:pStyle w:val="11"/>
        <w:adjustRightInd w:val="0"/>
        <w:snapToGrid w:val="0"/>
        <w:spacing w:line="300" w:lineRule="auto"/>
        <w:jc w:val="center"/>
        <w:rPr>
          <w:rFonts w:hint="eastAsia" w:ascii="宋体" w:hAnsi="宋体" w:eastAsia="宋体" w:cs="宋体"/>
          <w:color w:val="auto"/>
          <w:sz w:val="21"/>
          <w:szCs w:val="21"/>
          <w:highlight w:val="none"/>
        </w:rPr>
      </w:pPr>
    </w:p>
    <w:p>
      <w:pPr>
        <w:pStyle w:val="11"/>
        <w:adjustRightInd w:val="0"/>
        <w:snapToGrid w:val="0"/>
        <w:spacing w:line="300" w:lineRule="auto"/>
        <w:rPr>
          <w:rFonts w:hint="eastAsia" w:ascii="宋体" w:hAnsi="宋体" w:eastAsia="宋体" w:cs="宋体"/>
          <w:b/>
          <w:color w:val="auto"/>
          <w:sz w:val="21"/>
          <w:szCs w:val="21"/>
          <w:highlight w:val="none"/>
        </w:rPr>
      </w:pPr>
    </w:p>
    <w:p>
      <w:pPr>
        <w:pStyle w:val="11"/>
        <w:adjustRightInd w:val="0"/>
        <w:snapToGrid w:val="0"/>
        <w:spacing w:line="300" w:lineRule="auto"/>
        <w:jc w:val="center"/>
        <w:outlineLvl w:val="1"/>
        <w:rPr>
          <w:rFonts w:hint="eastAsia" w:ascii="宋体" w:hAnsi="宋体" w:eastAsia="宋体" w:cs="宋体"/>
          <w:b/>
          <w:color w:val="auto"/>
          <w:sz w:val="21"/>
          <w:szCs w:val="21"/>
          <w:highlight w:val="none"/>
        </w:rPr>
      </w:pPr>
      <w:bookmarkStart w:id="280" w:name="_Toc11055341"/>
    </w:p>
    <w:p>
      <w:pPr>
        <w:pStyle w:val="11"/>
        <w:adjustRightInd w:val="0"/>
        <w:snapToGrid w:val="0"/>
        <w:spacing w:line="300" w:lineRule="auto"/>
        <w:jc w:val="center"/>
        <w:outlineLvl w:val="1"/>
        <w:rPr>
          <w:rFonts w:hint="eastAsia" w:ascii="宋体" w:hAnsi="宋体" w:eastAsia="宋体" w:cs="宋体"/>
          <w:b/>
          <w:color w:val="auto"/>
          <w:sz w:val="21"/>
          <w:szCs w:val="21"/>
          <w:highlight w:val="none"/>
        </w:rPr>
      </w:pPr>
    </w:p>
    <w:p>
      <w:pPr>
        <w:pStyle w:val="11"/>
        <w:adjustRightInd w:val="0"/>
        <w:snapToGrid w:val="0"/>
        <w:spacing w:line="300" w:lineRule="auto"/>
        <w:jc w:val="center"/>
        <w:outlineLvl w:val="1"/>
        <w:rPr>
          <w:rFonts w:hint="eastAsia" w:ascii="宋体" w:hAnsi="宋体" w:eastAsia="宋体" w:cs="宋体"/>
          <w:b/>
          <w:color w:val="auto"/>
          <w:sz w:val="21"/>
          <w:szCs w:val="21"/>
          <w:highlight w:val="none"/>
        </w:rPr>
      </w:pPr>
    </w:p>
    <w:p>
      <w:pPr>
        <w:pStyle w:val="11"/>
        <w:adjustRightInd w:val="0"/>
        <w:snapToGrid w:val="0"/>
        <w:spacing w:line="300" w:lineRule="auto"/>
        <w:jc w:val="center"/>
        <w:outlineLvl w:val="1"/>
        <w:rPr>
          <w:rFonts w:hint="eastAsia" w:ascii="宋体" w:hAnsi="宋体" w:eastAsia="宋体" w:cs="宋体"/>
          <w:b/>
          <w:color w:val="auto"/>
          <w:sz w:val="21"/>
          <w:szCs w:val="21"/>
          <w:highlight w:val="none"/>
        </w:rPr>
      </w:pPr>
    </w:p>
    <w:p>
      <w:pPr>
        <w:pStyle w:val="11"/>
        <w:adjustRightInd w:val="0"/>
        <w:snapToGrid w:val="0"/>
        <w:spacing w:line="300" w:lineRule="auto"/>
        <w:jc w:val="center"/>
        <w:outlineLvl w:val="1"/>
        <w:rPr>
          <w:rFonts w:hint="eastAsia" w:ascii="宋体" w:hAnsi="宋体" w:eastAsia="宋体" w:cs="宋体"/>
          <w:b/>
          <w:color w:val="auto"/>
          <w:sz w:val="21"/>
          <w:szCs w:val="21"/>
          <w:highlight w:val="none"/>
        </w:rPr>
      </w:pPr>
      <w:bookmarkStart w:id="281" w:name="_Toc8529"/>
      <w:r>
        <w:rPr>
          <w:rFonts w:hint="eastAsia" w:ascii="宋体" w:hAnsi="宋体" w:eastAsia="宋体" w:cs="宋体"/>
          <w:b/>
          <w:color w:val="auto"/>
          <w:sz w:val="21"/>
          <w:szCs w:val="21"/>
          <w:highlight w:val="none"/>
        </w:rPr>
        <w:t>四、报价汇总表</w:t>
      </w:r>
      <w:bookmarkEnd w:id="280"/>
      <w:bookmarkEnd w:id="281"/>
    </w:p>
    <w:p>
      <w:pPr>
        <w:ind w:firstLine="3570" w:firstLineChars="1700"/>
        <w:rPr>
          <w:rFonts w:hint="eastAsia" w:ascii="宋体" w:hAnsi="宋体" w:eastAsia="宋体" w:cs="宋体"/>
          <w:color w:val="auto"/>
          <w:sz w:val="21"/>
          <w:szCs w:val="21"/>
          <w:highlight w:val="none"/>
        </w:rPr>
      </w:pPr>
    </w:p>
    <w:p>
      <w:pPr>
        <w:ind w:firstLine="3570" w:firstLineChars="1700"/>
        <w:rPr>
          <w:rFonts w:hint="eastAsia" w:ascii="宋体" w:hAnsi="宋体" w:eastAsia="宋体" w:cs="宋体"/>
          <w:color w:val="auto"/>
          <w:sz w:val="21"/>
          <w:szCs w:val="21"/>
          <w:highlight w:val="none"/>
        </w:rPr>
      </w:pPr>
    </w:p>
    <w:tbl>
      <w:tblPr>
        <w:tblStyle w:val="20"/>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30"/>
        <w:gridCol w:w="2940"/>
        <w:gridCol w:w="1701"/>
        <w:gridCol w:w="25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2130" w:type="dxa"/>
            <w:noWrap w:val="0"/>
            <w:vAlign w:val="center"/>
          </w:tcPr>
          <w:p>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投标单位名称</w:t>
            </w:r>
          </w:p>
        </w:tc>
        <w:tc>
          <w:tcPr>
            <w:tcW w:w="7214" w:type="dxa"/>
            <w:gridSpan w:val="3"/>
            <w:noWrap w:val="0"/>
            <w:vAlign w:val="center"/>
          </w:tcPr>
          <w:p>
            <w:pP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0" w:hRule="atLeast"/>
        </w:trPr>
        <w:tc>
          <w:tcPr>
            <w:tcW w:w="2130" w:type="dxa"/>
            <w:noWrap w:val="0"/>
            <w:vAlign w:val="center"/>
          </w:tcPr>
          <w:p>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投标项目名称</w:t>
            </w:r>
          </w:p>
        </w:tc>
        <w:tc>
          <w:tcPr>
            <w:tcW w:w="7214" w:type="dxa"/>
            <w:gridSpan w:val="3"/>
            <w:noWrap w:val="0"/>
            <w:vAlign w:val="center"/>
          </w:tcPr>
          <w:p>
            <w:pP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46" w:hRule="atLeast"/>
        </w:trPr>
        <w:tc>
          <w:tcPr>
            <w:tcW w:w="2130" w:type="dxa"/>
            <w:noWrap w:val="0"/>
            <w:vAlign w:val="center"/>
          </w:tcPr>
          <w:p>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w:t>
            </w:r>
            <w:r>
              <w:rPr>
                <w:rFonts w:hint="eastAsia" w:ascii="宋体" w:hAnsi="宋体" w:eastAsia="宋体" w:cs="宋体"/>
                <w:color w:val="auto"/>
                <w:sz w:val="21"/>
                <w:szCs w:val="21"/>
                <w:highlight w:val="none"/>
                <w:lang w:val="en-US" w:eastAsia="zh-CN"/>
              </w:rPr>
              <w:t>总</w:t>
            </w:r>
            <w:r>
              <w:rPr>
                <w:rFonts w:hint="eastAsia" w:ascii="宋体" w:hAnsi="宋体" w:eastAsia="宋体" w:cs="宋体"/>
                <w:color w:val="auto"/>
                <w:sz w:val="21"/>
                <w:szCs w:val="21"/>
                <w:highlight w:val="none"/>
              </w:rPr>
              <w:t>价</w:t>
            </w:r>
          </w:p>
        </w:tc>
        <w:tc>
          <w:tcPr>
            <w:tcW w:w="2940" w:type="dxa"/>
            <w:noWrap w:val="0"/>
            <w:vAlign w:val="center"/>
          </w:tcPr>
          <w:p>
            <w:pPr>
              <w:rPr>
                <w:rFonts w:hint="eastAsia" w:ascii="宋体" w:hAnsi="宋体" w:eastAsia="宋体" w:cs="宋体"/>
                <w:color w:val="auto"/>
                <w:sz w:val="21"/>
                <w:szCs w:val="21"/>
                <w:highlight w:val="none"/>
              </w:rPr>
            </w:pPr>
          </w:p>
        </w:tc>
        <w:tc>
          <w:tcPr>
            <w:tcW w:w="1701" w:type="dxa"/>
            <w:noWrap w:val="0"/>
            <w:vAlign w:val="center"/>
          </w:tcPr>
          <w:p>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施工工期</w:t>
            </w:r>
          </w:p>
        </w:tc>
        <w:tc>
          <w:tcPr>
            <w:tcW w:w="2573" w:type="dxa"/>
            <w:noWrap w:val="0"/>
            <w:vAlign w:val="center"/>
          </w:tcPr>
          <w:p>
            <w:pPr>
              <w:rPr>
                <w:rFonts w:hint="eastAsia" w:ascii="宋体" w:hAnsi="宋体" w:eastAsia="宋体" w:cs="宋体"/>
                <w:color w:val="auto"/>
                <w:sz w:val="21"/>
                <w:szCs w:val="21"/>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1" w:hRule="atLeast"/>
        </w:trPr>
        <w:tc>
          <w:tcPr>
            <w:tcW w:w="2130" w:type="dxa"/>
            <w:noWrap w:val="0"/>
            <w:vAlign w:val="center"/>
          </w:tcPr>
          <w:p>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质量等级</w:t>
            </w:r>
          </w:p>
        </w:tc>
        <w:tc>
          <w:tcPr>
            <w:tcW w:w="2940" w:type="dxa"/>
            <w:noWrap w:val="0"/>
            <w:vAlign w:val="center"/>
          </w:tcPr>
          <w:p>
            <w:pPr>
              <w:rPr>
                <w:rFonts w:hint="eastAsia" w:ascii="宋体" w:hAnsi="宋体" w:eastAsia="宋体" w:cs="宋体"/>
                <w:color w:val="auto"/>
                <w:sz w:val="21"/>
                <w:szCs w:val="21"/>
                <w:highlight w:val="none"/>
              </w:rPr>
            </w:pPr>
          </w:p>
        </w:tc>
        <w:tc>
          <w:tcPr>
            <w:tcW w:w="1701" w:type="dxa"/>
            <w:noWrap w:val="0"/>
            <w:vAlign w:val="center"/>
          </w:tcPr>
          <w:p>
            <w:pPr>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项目经理</w:t>
            </w:r>
          </w:p>
        </w:tc>
        <w:tc>
          <w:tcPr>
            <w:tcW w:w="2573" w:type="dxa"/>
            <w:noWrap w:val="0"/>
            <w:vAlign w:val="center"/>
          </w:tcPr>
          <w:p>
            <w:pPr>
              <w:rPr>
                <w:rFonts w:hint="eastAsia" w:ascii="宋体" w:hAnsi="宋体" w:eastAsia="宋体" w:cs="宋体"/>
                <w:color w:val="auto"/>
                <w:sz w:val="21"/>
                <w:szCs w:val="21"/>
                <w:highlight w:val="none"/>
              </w:rPr>
            </w:pPr>
          </w:p>
        </w:tc>
      </w:tr>
    </w:tbl>
    <w:p>
      <w:pPr>
        <w:ind w:firstLine="3570" w:firstLineChars="1700"/>
        <w:rPr>
          <w:rFonts w:hint="eastAsia" w:ascii="宋体" w:hAnsi="宋体" w:eastAsia="宋体" w:cs="宋体"/>
          <w:color w:val="auto"/>
          <w:sz w:val="21"/>
          <w:szCs w:val="21"/>
          <w:highlight w:val="none"/>
        </w:rPr>
      </w:pPr>
    </w:p>
    <w:p>
      <w:pPr>
        <w:ind w:firstLine="2520" w:firstLineChars="1200"/>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spacing w:line="360" w:lineRule="auto"/>
        <w:rPr>
          <w:rFonts w:hint="eastAsia" w:ascii="宋体" w:hAnsi="宋体" w:eastAsia="宋体" w:cs="宋体"/>
          <w:color w:val="auto"/>
          <w:sz w:val="21"/>
          <w:szCs w:val="21"/>
          <w:highlight w:val="none"/>
        </w:rPr>
      </w:pP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投标人（盖章）：</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法定代表人或委托代理人（盖章）：</w:t>
      </w:r>
    </w:p>
    <w:p>
      <w:pPr>
        <w:spacing w:line="360" w:lineRule="auto"/>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w:t>
      </w:r>
    </w:p>
    <w:p>
      <w:pPr>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rPr>
          <w:rFonts w:hint="eastAsia" w:ascii="宋体" w:hAnsi="宋体" w:eastAsia="宋体" w:cs="宋体"/>
          <w:color w:val="auto"/>
          <w:sz w:val="21"/>
          <w:szCs w:val="21"/>
          <w:highlight w:val="none"/>
        </w:rPr>
      </w:pPr>
    </w:p>
    <w:p>
      <w:pPr>
        <w:jc w:val="right"/>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 xml:space="preserve">                                        日期：    年      月    日</w:t>
      </w:r>
    </w:p>
    <w:p>
      <w:pPr>
        <w:pStyle w:val="11"/>
        <w:adjustRightInd w:val="0"/>
        <w:snapToGrid w:val="0"/>
        <w:spacing w:line="300" w:lineRule="auto"/>
        <w:jc w:val="center"/>
        <w:rPr>
          <w:rFonts w:hint="eastAsia" w:ascii="宋体" w:hAnsi="宋体" w:eastAsia="宋体" w:cs="宋体"/>
          <w:color w:val="auto"/>
          <w:sz w:val="21"/>
          <w:szCs w:val="21"/>
          <w:highlight w:val="none"/>
        </w:rPr>
      </w:pPr>
    </w:p>
    <w:p>
      <w:pPr>
        <w:pStyle w:val="11"/>
        <w:adjustRightInd w:val="0"/>
        <w:snapToGrid w:val="0"/>
        <w:spacing w:line="300" w:lineRule="auto"/>
        <w:jc w:val="center"/>
        <w:rPr>
          <w:rFonts w:hint="eastAsia" w:ascii="宋体" w:hAnsi="宋体" w:eastAsia="宋体" w:cs="宋体"/>
          <w:color w:val="auto"/>
          <w:sz w:val="21"/>
          <w:szCs w:val="21"/>
          <w:highlight w:val="none"/>
        </w:rPr>
      </w:pPr>
    </w:p>
    <w:p>
      <w:pPr>
        <w:pStyle w:val="11"/>
        <w:adjustRightInd w:val="0"/>
        <w:snapToGrid w:val="0"/>
        <w:spacing w:line="300" w:lineRule="auto"/>
        <w:jc w:val="center"/>
        <w:rPr>
          <w:rFonts w:hint="eastAsia" w:ascii="宋体" w:hAnsi="宋体" w:eastAsia="宋体" w:cs="宋体"/>
          <w:color w:val="auto"/>
          <w:sz w:val="21"/>
          <w:szCs w:val="21"/>
          <w:highlight w:val="none"/>
        </w:rPr>
      </w:pPr>
    </w:p>
    <w:p>
      <w:pPr>
        <w:pStyle w:val="11"/>
        <w:adjustRightInd w:val="0"/>
        <w:snapToGrid w:val="0"/>
        <w:spacing w:line="300" w:lineRule="auto"/>
        <w:jc w:val="center"/>
        <w:rPr>
          <w:rFonts w:hint="eastAsia" w:ascii="宋体" w:hAnsi="宋体" w:eastAsia="宋体" w:cs="宋体"/>
          <w:color w:val="auto"/>
          <w:sz w:val="21"/>
          <w:szCs w:val="21"/>
          <w:highlight w:val="none"/>
        </w:rPr>
      </w:pPr>
    </w:p>
    <w:p>
      <w:pPr>
        <w:pStyle w:val="11"/>
        <w:adjustRightInd w:val="0"/>
        <w:snapToGrid w:val="0"/>
        <w:spacing w:line="300" w:lineRule="auto"/>
        <w:jc w:val="center"/>
        <w:rPr>
          <w:rFonts w:hint="eastAsia" w:ascii="宋体" w:hAnsi="宋体" w:eastAsia="宋体" w:cs="宋体"/>
          <w:color w:val="auto"/>
          <w:sz w:val="21"/>
          <w:szCs w:val="21"/>
          <w:highlight w:val="none"/>
        </w:rPr>
      </w:pPr>
    </w:p>
    <w:p>
      <w:pPr>
        <w:pStyle w:val="4"/>
        <w:jc w:val="center"/>
        <w:rPr>
          <w:rFonts w:hint="eastAsia" w:ascii="宋体" w:hAnsi="宋体" w:eastAsia="宋体" w:cs="宋体"/>
          <w:b/>
          <w:color w:val="auto"/>
          <w:kern w:val="0"/>
          <w:sz w:val="21"/>
          <w:szCs w:val="21"/>
          <w:highlight w:val="none"/>
          <w:lang w:val="en-US" w:eastAsia="zh-CN" w:bidi="ar-SA"/>
        </w:rPr>
      </w:pPr>
      <w:bookmarkStart w:id="282" w:name="_Toc11055342"/>
      <w:bookmarkStart w:id="283" w:name="_Toc17357"/>
      <w:r>
        <w:rPr>
          <w:rFonts w:hint="eastAsia" w:ascii="宋体" w:hAnsi="宋体" w:eastAsia="宋体" w:cs="宋体"/>
          <w:b/>
          <w:color w:val="auto"/>
          <w:kern w:val="0"/>
          <w:sz w:val="21"/>
          <w:szCs w:val="21"/>
          <w:highlight w:val="none"/>
          <w:lang w:val="en-US" w:eastAsia="zh-CN" w:bidi="ar-SA"/>
        </w:rPr>
        <w:t xml:space="preserve">五、  </w:t>
      </w:r>
      <w:bookmarkEnd w:id="282"/>
      <w:r>
        <w:rPr>
          <w:rFonts w:hint="eastAsia" w:ascii="宋体" w:hAnsi="宋体" w:eastAsia="宋体" w:cs="宋体"/>
          <w:b/>
          <w:color w:val="auto"/>
          <w:kern w:val="0"/>
          <w:sz w:val="21"/>
          <w:szCs w:val="21"/>
          <w:highlight w:val="none"/>
          <w:lang w:val="en-US" w:eastAsia="zh-CN" w:bidi="ar-SA"/>
        </w:rPr>
        <w:t>工程量清单报价表</w:t>
      </w:r>
      <w:bookmarkEnd w:id="283"/>
    </w:p>
    <w:p>
      <w:pPr>
        <w:pStyle w:val="11"/>
        <w:spacing w:line="300" w:lineRule="auto"/>
        <w:ind w:left="200" w:leftChars="100" w:right="-200" w:rightChars="-100"/>
        <w:jc w:val="left"/>
        <w:rPr>
          <w:rFonts w:hint="eastAsia" w:ascii="宋体" w:hAnsi="宋体" w:eastAsia="宋体" w:cs="宋体"/>
          <w:color w:val="auto"/>
          <w:sz w:val="21"/>
          <w:szCs w:val="21"/>
          <w:highlight w:val="none"/>
          <w:u w:val="single"/>
        </w:rPr>
      </w:pPr>
      <w:bookmarkStart w:id="284" w:name="_Toc14028"/>
      <w:bookmarkStart w:id="285" w:name="_Toc9727"/>
    </w:p>
    <w:p>
      <w:pPr>
        <w:pStyle w:val="6"/>
        <w:ind w:left="0" w:leftChars="0" w:firstLine="0" w:firstLineChars="0"/>
        <w:jc w:val="center"/>
        <w:rPr>
          <w:rFonts w:hint="eastAsia" w:ascii="宋体" w:hAnsi="宋体" w:eastAsia="宋体" w:cs="宋体"/>
          <w:b/>
          <w:color w:val="auto"/>
          <w:kern w:val="0"/>
          <w:sz w:val="21"/>
          <w:szCs w:val="21"/>
          <w:highlight w:val="none"/>
          <w:lang w:val="en-US" w:eastAsia="zh-CN" w:bidi="ar-SA"/>
        </w:rPr>
      </w:pPr>
      <w:r>
        <w:rPr>
          <w:rFonts w:hint="eastAsia" w:ascii="宋体" w:hAnsi="宋体" w:eastAsia="宋体" w:cs="宋体"/>
          <w:b/>
          <w:color w:val="auto"/>
          <w:kern w:val="0"/>
          <w:sz w:val="21"/>
          <w:szCs w:val="21"/>
          <w:highlight w:val="none"/>
          <w:lang w:val="en-US" w:eastAsia="zh-CN" w:bidi="ar-SA"/>
        </w:rPr>
        <w:t>六、投标单位认为所需提供的材料</w:t>
      </w:r>
    </w:p>
    <w:p>
      <w:pPr>
        <w:pStyle w:val="11"/>
        <w:spacing w:line="300" w:lineRule="auto"/>
        <w:ind w:left="200" w:leftChars="100" w:right="-200" w:rightChars="-100"/>
        <w:jc w:val="left"/>
        <w:rPr>
          <w:rFonts w:hint="eastAsia" w:hAnsi="宋体"/>
          <w:color w:val="auto"/>
          <w:sz w:val="22"/>
          <w:szCs w:val="18"/>
          <w:highlight w:val="none"/>
          <w:u w:val="single"/>
        </w:rPr>
      </w:pPr>
    </w:p>
    <w:p>
      <w:pPr>
        <w:pStyle w:val="11"/>
        <w:spacing w:line="300" w:lineRule="auto"/>
        <w:ind w:right="-200" w:rightChars="-100"/>
        <w:jc w:val="left"/>
        <w:rPr>
          <w:rFonts w:hint="eastAsia" w:hAnsi="宋体"/>
          <w:color w:val="auto"/>
          <w:sz w:val="24"/>
          <w:highlight w:val="none"/>
          <w:u w:val="single"/>
        </w:rPr>
      </w:pPr>
    </w:p>
    <w:p>
      <w:pPr>
        <w:pStyle w:val="11"/>
        <w:spacing w:line="300" w:lineRule="auto"/>
        <w:ind w:right="-200" w:rightChars="-100"/>
        <w:jc w:val="left"/>
        <w:rPr>
          <w:rFonts w:hint="eastAsia" w:hAnsi="宋体"/>
          <w:color w:val="auto"/>
          <w:sz w:val="24"/>
          <w:highlight w:val="none"/>
          <w:u w:val="single"/>
        </w:rPr>
      </w:pPr>
    </w:p>
    <w:p>
      <w:pPr>
        <w:outlineLvl w:val="1"/>
        <w:rPr>
          <w:rFonts w:ascii="黑体" w:hAnsi="黑体" w:eastAsia="黑体"/>
          <w:b/>
          <w:color w:val="auto"/>
          <w:sz w:val="32"/>
          <w:szCs w:val="32"/>
          <w:highlight w:val="none"/>
        </w:rPr>
      </w:pPr>
    </w:p>
    <w:bookmarkEnd w:id="284"/>
    <w:bookmarkEnd w:id="285"/>
    <w:p>
      <w:pPr>
        <w:rPr>
          <w:rFonts w:hint="eastAsia" w:ascii="宋体" w:hAnsi="宋体"/>
          <w:b/>
          <w:color w:val="auto"/>
          <w:sz w:val="21"/>
          <w:szCs w:val="21"/>
          <w:highlight w:val="none"/>
        </w:rPr>
      </w:pPr>
      <w:bookmarkStart w:id="286" w:name="_Hlt269103346"/>
    </w:p>
    <w:bookmarkEnd w:id="286"/>
    <w:p>
      <w:pPr>
        <w:pStyle w:val="11"/>
        <w:adjustRightInd w:val="0"/>
        <w:snapToGrid w:val="0"/>
        <w:spacing w:line="300" w:lineRule="auto"/>
        <w:rPr>
          <w:rFonts w:hint="eastAsia" w:hAnsi="宋体"/>
          <w:color w:val="auto"/>
          <w:sz w:val="32"/>
          <w:highlight w:val="none"/>
        </w:rPr>
      </w:pPr>
      <w:bookmarkStart w:id="287" w:name="第08章投标文件格式10"/>
      <w:bookmarkEnd w:id="287"/>
    </w:p>
    <w:p>
      <w:pPr>
        <w:rPr>
          <w:color w:val="auto"/>
          <w:highlight w:val="none"/>
        </w:rPr>
      </w:pPr>
    </w:p>
    <w:sectPr>
      <w:headerReference r:id="rId5" w:type="default"/>
      <w:footerReference r:id="rId6" w:type="default"/>
      <w:footerReference r:id="rId7" w:type="even"/>
      <w:pgSz w:w="11907" w:h="16840"/>
      <w:pgMar w:top="1134" w:right="850" w:bottom="1418" w:left="1418" w:header="567" w:footer="567" w:gutter="0"/>
      <w:pgNumType w:start="18"/>
      <w:cols w:space="720" w:num="1"/>
      <w:docGrid w:linePitch="271"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monospace">
    <w:altName w:val="Segoe Print"/>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fldChar w:fldCharType="begin"/>
    </w:r>
    <w:r>
      <w:instrText xml:space="preserve"> PAGE   \* MERGEFORMAT </w:instrText>
    </w:r>
    <w:r>
      <w:fldChar w:fldCharType="separate"/>
    </w:r>
    <w:r>
      <w:rPr>
        <w:lang w:val="zh-CN"/>
      </w:rPr>
      <w:t>17</w:t>
    </w:r>
    <w:r>
      <w:fldChar w:fldCharType="end"/>
    </w:r>
  </w:p>
  <w:p>
    <w:pPr>
      <w:pStyle w:val="13"/>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fldChar w:fldCharType="begin"/>
    </w:r>
    <w:r>
      <w:instrText xml:space="preserve"> PAGE   \* MERGEFORMAT </w:instrText>
    </w:r>
    <w:r>
      <w:fldChar w:fldCharType="separate"/>
    </w:r>
    <w:r>
      <w:rPr>
        <w:lang w:val="zh-CN"/>
      </w:rPr>
      <w:t>1</w:t>
    </w:r>
    <w:r>
      <w:fldChar w:fldCharType="end"/>
    </w:r>
  </w:p>
  <w:p>
    <w:pPr>
      <w:pStyle w:val="1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jc w:val="center"/>
    </w:pPr>
    <w:r>
      <w:fldChar w:fldCharType="begin"/>
    </w:r>
    <w:r>
      <w:instrText xml:space="preserve"> PAGE   \* MERGEFORMAT </w:instrText>
    </w:r>
    <w:r>
      <w:fldChar w:fldCharType="separate"/>
    </w:r>
    <w:r>
      <w:rPr>
        <w:lang w:val="zh-CN"/>
      </w:rPr>
      <w:t>40</w:t>
    </w:r>
    <w:r>
      <w:fldChar w:fldCharType="end"/>
    </w:r>
  </w:p>
  <w:p>
    <w:pPr>
      <w:pStyle w:val="13"/>
      <w:ind w:right="360"/>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framePr w:wrap="around" w:vAnchor="text" w:hAnchor="margin" w:xAlign="center" w:y="1"/>
      <w:rPr>
        <w:rStyle w:val="23"/>
      </w:rPr>
    </w:pPr>
    <w:r>
      <w:fldChar w:fldCharType="begin"/>
    </w:r>
    <w:r>
      <w:rPr>
        <w:rStyle w:val="23"/>
      </w:rPr>
      <w:instrText xml:space="preserve">PAGE  </w:instrText>
    </w:r>
    <w:r>
      <w:fldChar w:fldCharType="end"/>
    </w:r>
  </w:p>
  <w:p>
    <w:pPr>
      <w:pStyle w:val="13"/>
      <w:ind w:right="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BA73EEF"/>
    <w:multiLevelType w:val="singleLevel"/>
    <w:tmpl w:val="0BA73EEF"/>
    <w:lvl w:ilvl="0" w:tentative="0">
      <w:start w:val="1"/>
      <w:numFmt w:val="decimal"/>
      <w:lvlText w:val="%1、"/>
      <w:lvlJc w:val="left"/>
      <w:pPr>
        <w:tabs>
          <w:tab w:val="left" w:pos="450"/>
        </w:tabs>
        <w:ind w:left="450" w:hanging="450"/>
      </w:pPr>
      <w:rPr>
        <w:rFonts w:hint="eastAsia"/>
      </w:rPr>
    </w:lvl>
  </w:abstractNum>
  <w:abstractNum w:abstractNumId="1">
    <w:nsid w:val="0FA13A81"/>
    <w:multiLevelType w:val="multilevel"/>
    <w:tmpl w:val="0FA13A81"/>
    <w:lvl w:ilvl="0" w:tentative="0">
      <w:start w:val="1"/>
      <w:numFmt w:val="decimal"/>
      <w:lvlText w:val="%1)"/>
      <w:lvlJc w:val="left"/>
      <w:pPr>
        <w:tabs>
          <w:tab w:val="left" w:pos="0"/>
        </w:tabs>
        <w:ind w:left="0" w:hanging="420"/>
      </w:pPr>
      <w:rPr>
        <w:rFonts w:hint="eastAsia"/>
      </w:rPr>
    </w:lvl>
    <w:lvl w:ilvl="1" w:tentative="0">
      <w:start w:val="1"/>
      <w:numFmt w:val="lowerLetter"/>
      <w:lvlText w:val="%2)"/>
      <w:lvlJc w:val="left"/>
      <w:pPr>
        <w:tabs>
          <w:tab w:val="left" w:pos="-140"/>
        </w:tabs>
        <w:ind w:left="-140" w:hanging="420"/>
      </w:pPr>
    </w:lvl>
    <w:lvl w:ilvl="2" w:tentative="0">
      <w:start w:val="1"/>
      <w:numFmt w:val="lowerRoman"/>
      <w:lvlText w:val="%3."/>
      <w:lvlJc w:val="right"/>
      <w:pPr>
        <w:tabs>
          <w:tab w:val="left" w:pos="280"/>
        </w:tabs>
        <w:ind w:left="280" w:hanging="420"/>
      </w:pPr>
    </w:lvl>
    <w:lvl w:ilvl="3" w:tentative="0">
      <w:start w:val="1"/>
      <w:numFmt w:val="decimal"/>
      <w:lvlText w:val="%4."/>
      <w:lvlJc w:val="left"/>
      <w:pPr>
        <w:tabs>
          <w:tab w:val="left" w:pos="700"/>
        </w:tabs>
        <w:ind w:left="700" w:hanging="420"/>
      </w:pPr>
    </w:lvl>
    <w:lvl w:ilvl="4" w:tentative="0">
      <w:start w:val="1"/>
      <w:numFmt w:val="lowerLetter"/>
      <w:lvlText w:val="%5)"/>
      <w:lvlJc w:val="left"/>
      <w:pPr>
        <w:tabs>
          <w:tab w:val="left" w:pos="1120"/>
        </w:tabs>
        <w:ind w:left="1120" w:hanging="420"/>
      </w:pPr>
    </w:lvl>
    <w:lvl w:ilvl="5" w:tentative="0">
      <w:start w:val="1"/>
      <w:numFmt w:val="lowerRoman"/>
      <w:lvlText w:val="%6."/>
      <w:lvlJc w:val="right"/>
      <w:pPr>
        <w:tabs>
          <w:tab w:val="left" w:pos="1540"/>
        </w:tabs>
        <w:ind w:left="1540" w:hanging="420"/>
      </w:pPr>
    </w:lvl>
    <w:lvl w:ilvl="6" w:tentative="0">
      <w:start w:val="1"/>
      <w:numFmt w:val="decimal"/>
      <w:lvlText w:val="%7."/>
      <w:lvlJc w:val="left"/>
      <w:pPr>
        <w:tabs>
          <w:tab w:val="left" w:pos="1960"/>
        </w:tabs>
        <w:ind w:left="1960" w:hanging="420"/>
      </w:pPr>
    </w:lvl>
    <w:lvl w:ilvl="7" w:tentative="0">
      <w:start w:val="1"/>
      <w:numFmt w:val="lowerLetter"/>
      <w:lvlText w:val="%8)"/>
      <w:lvlJc w:val="left"/>
      <w:pPr>
        <w:tabs>
          <w:tab w:val="left" w:pos="2380"/>
        </w:tabs>
        <w:ind w:left="2380" w:hanging="420"/>
      </w:pPr>
    </w:lvl>
    <w:lvl w:ilvl="8" w:tentative="0">
      <w:start w:val="1"/>
      <w:numFmt w:val="lowerRoman"/>
      <w:lvlText w:val="%9."/>
      <w:lvlJc w:val="right"/>
      <w:pPr>
        <w:tabs>
          <w:tab w:val="left" w:pos="2800"/>
        </w:tabs>
        <w:ind w:left="2800" w:hanging="420"/>
      </w:pPr>
    </w:lvl>
  </w:abstractNum>
  <w:abstractNum w:abstractNumId="2">
    <w:nsid w:val="10054F09"/>
    <w:multiLevelType w:val="singleLevel"/>
    <w:tmpl w:val="10054F09"/>
    <w:lvl w:ilvl="0" w:tentative="0">
      <w:start w:val="1"/>
      <w:numFmt w:val="decimal"/>
      <w:lvlText w:val="%1、"/>
      <w:lvlJc w:val="left"/>
      <w:pPr>
        <w:tabs>
          <w:tab w:val="left" w:pos="1017"/>
        </w:tabs>
        <w:ind w:left="1017" w:hanging="450"/>
      </w:pPr>
      <w:rPr>
        <w:rFonts w:hint="eastAsia"/>
      </w:rPr>
    </w:lvl>
  </w:abstractNum>
  <w:abstractNum w:abstractNumId="3">
    <w:nsid w:val="105613EB"/>
    <w:multiLevelType w:val="singleLevel"/>
    <w:tmpl w:val="105613EB"/>
    <w:lvl w:ilvl="0" w:tentative="0">
      <w:start w:val="4"/>
      <w:numFmt w:val="chineseCounting"/>
      <w:suff w:val="space"/>
      <w:lvlText w:val="第%1章"/>
      <w:lvlJc w:val="left"/>
      <w:rPr>
        <w:rFonts w:hint="eastAsia"/>
      </w:rPr>
    </w:lvl>
  </w:abstractNum>
  <w:abstractNum w:abstractNumId="4">
    <w:nsid w:val="12916710"/>
    <w:multiLevelType w:val="singleLevel"/>
    <w:tmpl w:val="12916710"/>
    <w:lvl w:ilvl="0" w:tentative="0">
      <w:start w:val="1"/>
      <w:numFmt w:val="decimal"/>
      <w:lvlText w:val="%1、"/>
      <w:lvlJc w:val="left"/>
      <w:pPr>
        <w:tabs>
          <w:tab w:val="left" w:pos="1155"/>
        </w:tabs>
        <w:ind w:left="1155" w:hanging="435"/>
      </w:pPr>
      <w:rPr>
        <w:rFonts w:hint="eastAsia"/>
      </w:rPr>
    </w:lvl>
  </w:abstractNum>
  <w:abstractNum w:abstractNumId="5">
    <w:nsid w:val="2EBE770E"/>
    <w:multiLevelType w:val="multilevel"/>
    <w:tmpl w:val="2EBE770E"/>
    <w:lvl w:ilvl="0" w:tentative="0">
      <w:start w:val="7"/>
      <w:numFmt w:val="decimal"/>
      <w:lvlText w:val="%1"/>
      <w:lvlJc w:val="left"/>
      <w:pPr>
        <w:tabs>
          <w:tab w:val="left" w:pos="480"/>
        </w:tabs>
        <w:ind w:left="480" w:hanging="480"/>
      </w:pPr>
      <w:rPr>
        <w:rFonts w:hint="default"/>
      </w:rPr>
    </w:lvl>
    <w:lvl w:ilvl="1" w:tentative="0">
      <w:start w:val="1"/>
      <w:numFmt w:val="decimal"/>
      <w:lvlText w:val="%1.%2"/>
      <w:lvlJc w:val="left"/>
      <w:pPr>
        <w:tabs>
          <w:tab w:val="left" w:pos="690"/>
        </w:tabs>
        <w:ind w:left="690" w:hanging="480"/>
      </w:pPr>
      <w:rPr>
        <w:rFonts w:hint="default"/>
      </w:rPr>
    </w:lvl>
    <w:lvl w:ilvl="2" w:tentative="0">
      <w:start w:val="1"/>
      <w:numFmt w:val="decimal"/>
      <w:lvlText w:val="%1.%2.%3"/>
      <w:lvlJc w:val="left"/>
      <w:pPr>
        <w:tabs>
          <w:tab w:val="left" w:pos="1140"/>
        </w:tabs>
        <w:ind w:left="1140" w:hanging="720"/>
      </w:pPr>
      <w:rPr>
        <w:rFonts w:hint="default"/>
      </w:rPr>
    </w:lvl>
    <w:lvl w:ilvl="3" w:tentative="0">
      <w:start w:val="1"/>
      <w:numFmt w:val="decimal"/>
      <w:lvlText w:val="%1.%2.%3.%4"/>
      <w:lvlJc w:val="left"/>
      <w:pPr>
        <w:tabs>
          <w:tab w:val="left" w:pos="1350"/>
        </w:tabs>
        <w:ind w:left="1350" w:hanging="720"/>
      </w:pPr>
      <w:rPr>
        <w:rFonts w:hint="default"/>
      </w:rPr>
    </w:lvl>
    <w:lvl w:ilvl="4" w:tentative="0">
      <w:start w:val="1"/>
      <w:numFmt w:val="decimal"/>
      <w:lvlText w:val="%1.%2.%3.%4.%5"/>
      <w:lvlJc w:val="left"/>
      <w:pPr>
        <w:tabs>
          <w:tab w:val="left" w:pos="1920"/>
        </w:tabs>
        <w:ind w:left="1920" w:hanging="1080"/>
      </w:pPr>
      <w:rPr>
        <w:rFonts w:hint="default"/>
      </w:rPr>
    </w:lvl>
    <w:lvl w:ilvl="5" w:tentative="0">
      <w:start w:val="1"/>
      <w:numFmt w:val="decimal"/>
      <w:lvlText w:val="%1.%2.%3.%4.%5.%6"/>
      <w:lvlJc w:val="left"/>
      <w:pPr>
        <w:tabs>
          <w:tab w:val="left" w:pos="2130"/>
        </w:tabs>
        <w:ind w:left="2130" w:hanging="1080"/>
      </w:pPr>
      <w:rPr>
        <w:rFonts w:hint="default"/>
      </w:rPr>
    </w:lvl>
    <w:lvl w:ilvl="6" w:tentative="0">
      <w:start w:val="1"/>
      <w:numFmt w:val="decimal"/>
      <w:lvlText w:val="%1.%2.%3.%4.%5.%6.%7"/>
      <w:lvlJc w:val="left"/>
      <w:pPr>
        <w:tabs>
          <w:tab w:val="left" w:pos="2340"/>
        </w:tabs>
        <w:ind w:left="2340" w:hanging="1080"/>
      </w:pPr>
      <w:rPr>
        <w:rFonts w:hint="default"/>
      </w:rPr>
    </w:lvl>
    <w:lvl w:ilvl="7" w:tentative="0">
      <w:start w:val="1"/>
      <w:numFmt w:val="decimal"/>
      <w:lvlText w:val="%1.%2.%3.%4.%5.%6.%7.%8"/>
      <w:lvlJc w:val="left"/>
      <w:pPr>
        <w:tabs>
          <w:tab w:val="left" w:pos="2910"/>
        </w:tabs>
        <w:ind w:left="2910" w:hanging="1440"/>
      </w:pPr>
      <w:rPr>
        <w:rFonts w:hint="default"/>
      </w:rPr>
    </w:lvl>
    <w:lvl w:ilvl="8" w:tentative="0">
      <w:start w:val="1"/>
      <w:numFmt w:val="decimal"/>
      <w:lvlText w:val="%1.%2.%3.%4.%5.%6.%7.%8.%9"/>
      <w:lvlJc w:val="left"/>
      <w:pPr>
        <w:tabs>
          <w:tab w:val="left" w:pos="3120"/>
        </w:tabs>
        <w:ind w:left="3120" w:hanging="1440"/>
      </w:pPr>
      <w:rPr>
        <w:rFonts w:hint="default"/>
      </w:rPr>
    </w:lvl>
  </w:abstractNum>
  <w:abstractNum w:abstractNumId="6">
    <w:nsid w:val="431D760A"/>
    <w:multiLevelType w:val="multilevel"/>
    <w:tmpl w:val="431D760A"/>
    <w:lvl w:ilvl="0" w:tentative="0">
      <w:start w:val="1"/>
      <w:numFmt w:val="japaneseCounting"/>
      <w:lvlText w:val="(%1)"/>
      <w:lvlJc w:val="left"/>
      <w:pPr>
        <w:ind w:left="480" w:hanging="48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7">
    <w:nsid w:val="520671DE"/>
    <w:multiLevelType w:val="singleLevel"/>
    <w:tmpl w:val="520671DE"/>
    <w:lvl w:ilvl="0" w:tentative="0">
      <w:start w:val="1"/>
      <w:numFmt w:val="decimal"/>
      <w:lvlText w:val="%1、"/>
      <w:lvlJc w:val="left"/>
      <w:pPr>
        <w:tabs>
          <w:tab w:val="left" w:pos="1002"/>
        </w:tabs>
        <w:ind w:left="1002" w:hanging="435"/>
      </w:pPr>
      <w:rPr>
        <w:rFonts w:hint="eastAsia"/>
      </w:rPr>
    </w:lvl>
  </w:abstractNum>
  <w:abstractNum w:abstractNumId="8">
    <w:nsid w:val="64514949"/>
    <w:multiLevelType w:val="multilevel"/>
    <w:tmpl w:val="64514949"/>
    <w:lvl w:ilvl="0" w:tentative="0">
      <w:start w:val="1"/>
      <w:numFmt w:val="decimal"/>
      <w:lvlText w:val="(%1)"/>
      <w:lvlJc w:val="left"/>
      <w:pPr>
        <w:ind w:left="704" w:hanging="420"/>
      </w:pPr>
      <w:rPr>
        <w:rFonts w:hint="eastAsia"/>
      </w:rPr>
    </w:lvl>
    <w:lvl w:ilvl="1" w:tentative="0">
      <w:start w:val="1"/>
      <w:numFmt w:val="lowerLetter"/>
      <w:lvlText w:val="%2)"/>
      <w:lvlJc w:val="left"/>
      <w:pPr>
        <w:ind w:left="1260" w:hanging="420"/>
      </w:pPr>
    </w:lvl>
    <w:lvl w:ilvl="2" w:tentative="0">
      <w:start w:val="1"/>
      <w:numFmt w:val="lowerRoman"/>
      <w:lvlText w:val="%3."/>
      <w:lvlJc w:val="right"/>
      <w:pPr>
        <w:ind w:left="1680" w:hanging="420"/>
      </w:pPr>
    </w:lvl>
    <w:lvl w:ilvl="3" w:tentative="0">
      <w:start w:val="1"/>
      <w:numFmt w:val="decimal"/>
      <w:lvlText w:val="%4."/>
      <w:lvlJc w:val="left"/>
      <w:pPr>
        <w:ind w:left="2100" w:hanging="420"/>
      </w:pPr>
    </w:lvl>
    <w:lvl w:ilvl="4" w:tentative="0">
      <w:start w:val="1"/>
      <w:numFmt w:val="lowerLetter"/>
      <w:lvlText w:val="%5)"/>
      <w:lvlJc w:val="left"/>
      <w:pPr>
        <w:ind w:left="2520" w:hanging="420"/>
      </w:pPr>
    </w:lvl>
    <w:lvl w:ilvl="5" w:tentative="0">
      <w:start w:val="1"/>
      <w:numFmt w:val="lowerRoman"/>
      <w:lvlText w:val="%6."/>
      <w:lvlJc w:val="right"/>
      <w:pPr>
        <w:ind w:left="2940" w:hanging="420"/>
      </w:pPr>
    </w:lvl>
    <w:lvl w:ilvl="6" w:tentative="0">
      <w:start w:val="1"/>
      <w:numFmt w:val="decimal"/>
      <w:lvlText w:val="%7."/>
      <w:lvlJc w:val="left"/>
      <w:pPr>
        <w:ind w:left="3360" w:hanging="420"/>
      </w:pPr>
    </w:lvl>
    <w:lvl w:ilvl="7" w:tentative="0">
      <w:start w:val="1"/>
      <w:numFmt w:val="lowerLetter"/>
      <w:lvlText w:val="%8)"/>
      <w:lvlJc w:val="left"/>
      <w:pPr>
        <w:ind w:left="3780" w:hanging="420"/>
      </w:pPr>
    </w:lvl>
    <w:lvl w:ilvl="8" w:tentative="0">
      <w:start w:val="1"/>
      <w:numFmt w:val="lowerRoman"/>
      <w:lvlText w:val="%9."/>
      <w:lvlJc w:val="right"/>
      <w:pPr>
        <w:ind w:left="4200" w:hanging="420"/>
      </w:pPr>
    </w:lvl>
  </w:abstractNum>
  <w:abstractNum w:abstractNumId="9">
    <w:nsid w:val="68B3579E"/>
    <w:multiLevelType w:val="singleLevel"/>
    <w:tmpl w:val="68B3579E"/>
    <w:lvl w:ilvl="0" w:tentative="0">
      <w:start w:val="2"/>
      <w:numFmt w:val="upperLetter"/>
      <w:pStyle w:val="3"/>
      <w:lvlText w:val="%1、"/>
      <w:lvlJc w:val="left"/>
      <w:pPr>
        <w:tabs>
          <w:tab w:val="left" w:pos="1350"/>
        </w:tabs>
        <w:ind w:left="1350" w:hanging="720"/>
      </w:pPr>
      <w:rPr>
        <w:rFonts w:hint="eastAsia"/>
      </w:rPr>
    </w:lvl>
  </w:abstractNum>
  <w:num w:numId="1">
    <w:abstractNumId w:val="9"/>
  </w:num>
  <w:num w:numId="2">
    <w:abstractNumId w:val="0"/>
  </w:num>
  <w:num w:numId="3">
    <w:abstractNumId w:val="2"/>
  </w:num>
  <w:num w:numId="4">
    <w:abstractNumId w:val="1"/>
  </w:num>
  <w:num w:numId="5">
    <w:abstractNumId w:val="8"/>
  </w:num>
  <w:num w:numId="6">
    <w:abstractNumId w:val="7"/>
  </w:num>
  <w:num w:numId="7">
    <w:abstractNumId w:val="4"/>
  </w:num>
  <w:num w:numId="8">
    <w:abstractNumId w:val="5"/>
  </w:num>
  <w:num w:numId="9">
    <w:abstractNumId w:val="3"/>
  </w:num>
  <w:num w:numId="1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U4M2NkNmVhODExNzk1NDQzOGNlODA5NDlhNzg3M2MifQ=="/>
    <w:docVar w:name="KSO_WPS_MARK_KEY" w:val="cf1acf05-1c87-43b3-803a-6877d62e4e55"/>
  </w:docVars>
  <w:rsids>
    <w:rsidRoot w:val="5B723CB1"/>
    <w:rsid w:val="01B9166B"/>
    <w:rsid w:val="062E198A"/>
    <w:rsid w:val="07E45B90"/>
    <w:rsid w:val="08CD128E"/>
    <w:rsid w:val="0A2E79EF"/>
    <w:rsid w:val="0ACB2771"/>
    <w:rsid w:val="0B282E50"/>
    <w:rsid w:val="0BE3718D"/>
    <w:rsid w:val="10C23BF1"/>
    <w:rsid w:val="14CE6FE1"/>
    <w:rsid w:val="15F54026"/>
    <w:rsid w:val="16297009"/>
    <w:rsid w:val="1C033A0B"/>
    <w:rsid w:val="1E25665E"/>
    <w:rsid w:val="1FB84EEC"/>
    <w:rsid w:val="22CE2052"/>
    <w:rsid w:val="25B30FA3"/>
    <w:rsid w:val="26E31B31"/>
    <w:rsid w:val="27BF082D"/>
    <w:rsid w:val="27E950BD"/>
    <w:rsid w:val="28AB0405"/>
    <w:rsid w:val="28C05575"/>
    <w:rsid w:val="2AE3556F"/>
    <w:rsid w:val="2C1C0860"/>
    <w:rsid w:val="2D7A4097"/>
    <w:rsid w:val="2E68345C"/>
    <w:rsid w:val="2F35729B"/>
    <w:rsid w:val="332B03E7"/>
    <w:rsid w:val="335240BD"/>
    <w:rsid w:val="393F7B5A"/>
    <w:rsid w:val="3AA87BDB"/>
    <w:rsid w:val="3AF0537E"/>
    <w:rsid w:val="3F203E41"/>
    <w:rsid w:val="40D52E0F"/>
    <w:rsid w:val="416769F7"/>
    <w:rsid w:val="42A921B0"/>
    <w:rsid w:val="434E3677"/>
    <w:rsid w:val="44FE14DD"/>
    <w:rsid w:val="45A46C77"/>
    <w:rsid w:val="473875D9"/>
    <w:rsid w:val="4B7F49FA"/>
    <w:rsid w:val="4E797E26"/>
    <w:rsid w:val="4ECD070C"/>
    <w:rsid w:val="4F487468"/>
    <w:rsid w:val="5068739B"/>
    <w:rsid w:val="50B4392D"/>
    <w:rsid w:val="55D36572"/>
    <w:rsid w:val="5A477096"/>
    <w:rsid w:val="5B2E63F3"/>
    <w:rsid w:val="5B723CB1"/>
    <w:rsid w:val="5BAA3ED4"/>
    <w:rsid w:val="5C9F6CAA"/>
    <w:rsid w:val="5CEE378D"/>
    <w:rsid w:val="5E4044BD"/>
    <w:rsid w:val="60AC5431"/>
    <w:rsid w:val="62604A7A"/>
    <w:rsid w:val="63907999"/>
    <w:rsid w:val="64CC3604"/>
    <w:rsid w:val="64F56021"/>
    <w:rsid w:val="68662D72"/>
    <w:rsid w:val="69CB05C8"/>
    <w:rsid w:val="6CEC3D0E"/>
    <w:rsid w:val="6DB936B3"/>
    <w:rsid w:val="6E976AE6"/>
    <w:rsid w:val="71C760B6"/>
    <w:rsid w:val="73442DFD"/>
    <w:rsid w:val="74BE4016"/>
    <w:rsid w:val="794E2F38"/>
    <w:rsid w:val="797B3916"/>
    <w:rsid w:val="79916E90"/>
    <w:rsid w:val="7A6B2D73"/>
    <w:rsid w:val="7BA402B4"/>
    <w:rsid w:val="7F5D68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99"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iPriority="99"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qFormat="1" w:unhideWhenUsed="0" w:uiPriority="0" w:semiHidden="0" w:name="HTML Acronym"/>
    <w:lsdException w:unhideWhenUsed="0" w:uiPriority="0" w:semiHidden="0" w:name="HTML Address"/>
    <w:lsdException w:qFormat="1" w:unhideWhenUsed="0" w:uiPriority="0" w:semiHidden="0" w:name="HTML Cite"/>
    <w:lsdException w:qFormat="1" w:unhideWhenUsed="0" w:uiPriority="0" w:semiHidden="0" w:name="HTML Code"/>
    <w:lsdException w:qFormat="1" w:unhideWhenUsed="0" w:uiPriority="0" w:semiHidden="0" w:name="HTML Definition"/>
    <w:lsdException w:qFormat="1" w:unhideWhenUsed="0" w:uiPriority="0" w:semiHidden="0" w:name="HTML Keyboard"/>
    <w:lsdException w:unhideWhenUsed="0" w:uiPriority="0" w:semiHidden="0" w:name="HTML Preformatted"/>
    <w:lsdException w:qFormat="1" w:unhideWhenUsed="0" w:uiPriority="0" w:semiHidden="0" w:name="HTML Sample"/>
    <w:lsdException w:qFormat="1" w:unhideWhenUsed="0" w:uiPriority="0" w:semiHidden="0" w:name="HTML Typewriter"/>
    <w:lsdException w:qFormat="1"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rPr>
      <w:rFonts w:ascii="Times New Roman" w:hAnsi="Times New Roman" w:eastAsia="宋体" w:cs="Times New Roman"/>
      <w:lang w:val="en-US" w:eastAsia="zh-CN" w:bidi="ar-SA"/>
    </w:rPr>
  </w:style>
  <w:style w:type="paragraph" w:styleId="3">
    <w:name w:val="heading 1"/>
    <w:basedOn w:val="1"/>
    <w:next w:val="1"/>
    <w:qFormat/>
    <w:uiPriority w:val="0"/>
    <w:pPr>
      <w:keepNext/>
      <w:numPr>
        <w:ilvl w:val="0"/>
        <w:numId w:val="1"/>
      </w:numPr>
      <w:outlineLvl w:val="0"/>
    </w:pPr>
    <w:rPr>
      <w:rFonts w:ascii="仿宋_GB2312" w:eastAsia="仿宋_GB2312"/>
      <w:sz w:val="24"/>
    </w:rPr>
  </w:style>
  <w:style w:type="paragraph" w:styleId="4">
    <w:name w:val="heading 2"/>
    <w:basedOn w:val="1"/>
    <w:next w:val="1"/>
    <w:qFormat/>
    <w:uiPriority w:val="0"/>
    <w:pPr>
      <w:keepNext/>
      <w:keepLines/>
      <w:widowControl w:val="0"/>
      <w:autoSpaceDE w:val="0"/>
      <w:autoSpaceDN w:val="0"/>
      <w:adjustRightInd w:val="0"/>
      <w:snapToGrid w:val="0"/>
      <w:spacing w:before="480" w:after="120"/>
      <w:jc w:val="both"/>
      <w:textAlignment w:val="baseline"/>
      <w:outlineLvl w:val="1"/>
    </w:pPr>
    <w:rPr>
      <w:rFonts w:eastAsia="黑体"/>
      <w:kern w:val="2"/>
      <w:sz w:val="24"/>
    </w:rPr>
  </w:style>
  <w:style w:type="paragraph" w:styleId="2">
    <w:name w:val="heading 3"/>
    <w:basedOn w:val="1"/>
    <w:next w:val="1"/>
    <w:qFormat/>
    <w:uiPriority w:val="0"/>
    <w:pPr>
      <w:keepNext/>
      <w:keepLines/>
      <w:spacing w:before="260" w:after="260" w:line="416" w:lineRule="auto"/>
      <w:outlineLvl w:val="2"/>
    </w:pPr>
    <w:rPr>
      <w:b/>
      <w:bCs/>
      <w:sz w:val="32"/>
      <w:szCs w:val="32"/>
    </w:rPr>
  </w:style>
  <w:style w:type="paragraph" w:styleId="5">
    <w:name w:val="heading 4"/>
    <w:basedOn w:val="1"/>
    <w:next w:val="1"/>
    <w:qFormat/>
    <w:uiPriority w:val="0"/>
    <w:pPr>
      <w:keepNext/>
      <w:keepLines/>
      <w:widowControl/>
      <w:spacing w:before="280" w:after="290" w:line="376" w:lineRule="auto"/>
      <w:jc w:val="left"/>
      <w:outlineLvl w:val="3"/>
    </w:pPr>
    <w:rPr>
      <w:rFonts w:ascii="Cambria" w:hAnsi="Cambria"/>
      <w:b/>
      <w:bCs/>
      <w:sz w:val="28"/>
      <w:szCs w:val="28"/>
    </w:rPr>
  </w:style>
  <w:style w:type="character" w:default="1" w:styleId="21">
    <w:name w:val="Default Paragraph Font"/>
    <w:semiHidden/>
    <w:qFormat/>
    <w:uiPriority w:val="0"/>
  </w:style>
  <w:style w:type="table" w:default="1" w:styleId="20">
    <w:name w:val="Normal Table"/>
    <w:semiHidden/>
    <w:qFormat/>
    <w:uiPriority w:val="0"/>
    <w:tblPr>
      <w:tblCellMar>
        <w:top w:w="0" w:type="dxa"/>
        <w:left w:w="108" w:type="dxa"/>
        <w:bottom w:w="0" w:type="dxa"/>
        <w:right w:w="108" w:type="dxa"/>
      </w:tblCellMar>
    </w:tblPr>
  </w:style>
  <w:style w:type="paragraph" w:styleId="6">
    <w:name w:val="table of authorities"/>
    <w:basedOn w:val="1"/>
    <w:next w:val="1"/>
    <w:unhideWhenUsed/>
    <w:qFormat/>
    <w:uiPriority w:val="99"/>
    <w:pPr>
      <w:ind w:left="420" w:leftChars="200"/>
    </w:pPr>
  </w:style>
  <w:style w:type="paragraph" w:styleId="7">
    <w:name w:val="Normal Indent"/>
    <w:basedOn w:val="1"/>
    <w:next w:val="1"/>
    <w:qFormat/>
    <w:uiPriority w:val="99"/>
    <w:pPr>
      <w:widowControl w:val="0"/>
      <w:autoSpaceDE w:val="0"/>
      <w:autoSpaceDN w:val="0"/>
      <w:adjustRightInd w:val="0"/>
      <w:snapToGrid w:val="0"/>
      <w:spacing w:line="440" w:lineRule="atLeast"/>
      <w:ind w:firstLine="420"/>
      <w:jc w:val="both"/>
      <w:textAlignment w:val="baseline"/>
    </w:pPr>
    <w:rPr>
      <w:kern w:val="2"/>
      <w:sz w:val="21"/>
    </w:rPr>
  </w:style>
  <w:style w:type="paragraph" w:styleId="8">
    <w:name w:val="Body Text"/>
    <w:basedOn w:val="1"/>
    <w:next w:val="1"/>
    <w:qFormat/>
    <w:uiPriority w:val="0"/>
    <w:pPr>
      <w:tabs>
        <w:tab w:val="left" w:pos="0"/>
        <w:tab w:val="left" w:pos="993"/>
        <w:tab w:val="left" w:pos="1134"/>
      </w:tabs>
      <w:spacing w:line="500" w:lineRule="exact"/>
      <w:jc w:val="both"/>
    </w:pPr>
    <w:rPr>
      <w:rFonts w:ascii="宋体"/>
      <w:sz w:val="28"/>
    </w:rPr>
  </w:style>
  <w:style w:type="paragraph" w:styleId="9">
    <w:name w:val="Body Text Indent"/>
    <w:basedOn w:val="1"/>
    <w:qFormat/>
    <w:uiPriority w:val="0"/>
    <w:pPr>
      <w:tabs>
        <w:tab w:val="left" w:pos="0"/>
        <w:tab w:val="left" w:pos="993"/>
        <w:tab w:val="left" w:pos="1134"/>
      </w:tabs>
      <w:spacing w:line="500" w:lineRule="exact"/>
      <w:ind w:firstLine="567"/>
      <w:jc w:val="both"/>
    </w:pPr>
    <w:rPr>
      <w:rFonts w:ascii="宋体"/>
      <w:sz w:val="28"/>
    </w:rPr>
  </w:style>
  <w:style w:type="paragraph" w:styleId="10">
    <w:name w:val="toc 3"/>
    <w:basedOn w:val="1"/>
    <w:next w:val="1"/>
    <w:qFormat/>
    <w:uiPriority w:val="0"/>
    <w:pPr>
      <w:ind w:left="840" w:leftChars="400"/>
    </w:pPr>
  </w:style>
  <w:style w:type="paragraph" w:styleId="11">
    <w:name w:val="Plain Text"/>
    <w:basedOn w:val="1"/>
    <w:qFormat/>
    <w:uiPriority w:val="0"/>
    <w:pPr>
      <w:widowControl w:val="0"/>
      <w:jc w:val="both"/>
    </w:pPr>
    <w:rPr>
      <w:rFonts w:ascii="宋体" w:hAnsi="Courier New"/>
      <w:kern w:val="2"/>
      <w:sz w:val="21"/>
    </w:rPr>
  </w:style>
  <w:style w:type="paragraph" w:styleId="12">
    <w:name w:val="Date"/>
    <w:basedOn w:val="1"/>
    <w:next w:val="1"/>
    <w:qFormat/>
    <w:uiPriority w:val="0"/>
    <w:pPr>
      <w:widowControl w:val="0"/>
      <w:jc w:val="both"/>
    </w:pPr>
    <w:rPr>
      <w:kern w:val="2"/>
      <w:sz w:val="24"/>
    </w:rPr>
  </w:style>
  <w:style w:type="paragraph" w:styleId="13">
    <w:name w:val="footer"/>
    <w:basedOn w:val="1"/>
    <w:qFormat/>
    <w:uiPriority w:val="99"/>
    <w:pPr>
      <w:tabs>
        <w:tab w:val="center" w:pos="4153"/>
        <w:tab w:val="right" w:pos="8306"/>
      </w:tabs>
      <w:snapToGrid w:val="0"/>
    </w:pPr>
    <w:rPr>
      <w:sz w:val="18"/>
    </w:rPr>
  </w:style>
  <w:style w:type="paragraph" w:styleId="1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15">
    <w:name w:val="toc 1"/>
    <w:basedOn w:val="1"/>
    <w:next w:val="1"/>
    <w:qFormat/>
    <w:uiPriority w:val="0"/>
    <w:pPr>
      <w:widowControl w:val="0"/>
      <w:tabs>
        <w:tab w:val="right" w:leader="dot" w:pos="9061"/>
      </w:tabs>
      <w:snapToGrid w:val="0"/>
      <w:spacing w:before="120" w:after="120" w:line="360" w:lineRule="auto"/>
    </w:pPr>
    <w:rPr>
      <w:b/>
      <w:bCs/>
      <w:caps/>
      <w:kern w:val="2"/>
      <w:sz w:val="24"/>
      <w:szCs w:val="24"/>
    </w:rPr>
  </w:style>
  <w:style w:type="paragraph" w:styleId="16">
    <w:name w:val="toc 2"/>
    <w:basedOn w:val="1"/>
    <w:next w:val="1"/>
    <w:qFormat/>
    <w:uiPriority w:val="0"/>
    <w:pPr>
      <w:widowControl w:val="0"/>
      <w:tabs>
        <w:tab w:val="right" w:leader="dot" w:pos="9061"/>
      </w:tabs>
      <w:snapToGrid w:val="0"/>
      <w:spacing w:line="360" w:lineRule="auto"/>
      <w:ind w:left="210"/>
    </w:pPr>
    <w:rPr>
      <w:rFonts w:hAnsi="黑体" w:eastAsia="黑体"/>
      <w:b/>
      <w:smallCaps/>
      <w:kern w:val="2"/>
    </w:rPr>
  </w:style>
  <w:style w:type="paragraph" w:styleId="17">
    <w:name w:val="Normal (Web)"/>
    <w:basedOn w:val="1"/>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kern w:val="0"/>
      <w:sz w:val="24"/>
      <w:lang w:val="en-US" w:eastAsia="zh-CN" w:bidi="ar"/>
    </w:rPr>
  </w:style>
  <w:style w:type="paragraph" w:styleId="18">
    <w:name w:val="Title"/>
    <w:basedOn w:val="1"/>
    <w:qFormat/>
    <w:uiPriority w:val="0"/>
    <w:pPr>
      <w:widowControl w:val="0"/>
      <w:adjustRightInd w:val="0"/>
      <w:spacing w:before="240" w:after="60" w:line="288" w:lineRule="auto"/>
      <w:ind w:firstLine="420"/>
      <w:jc w:val="center"/>
      <w:textAlignment w:val="baseline"/>
      <w:outlineLvl w:val="0"/>
    </w:pPr>
    <w:rPr>
      <w:rFonts w:ascii="Arial" w:hAnsi="Arial"/>
      <w:b/>
      <w:kern w:val="2"/>
      <w:sz w:val="32"/>
      <w:szCs w:val="22"/>
    </w:rPr>
  </w:style>
  <w:style w:type="paragraph" w:styleId="19">
    <w:name w:val="Body Text First Indent 2"/>
    <w:basedOn w:val="1"/>
    <w:next w:val="1"/>
    <w:unhideWhenUsed/>
    <w:qFormat/>
    <w:uiPriority w:val="99"/>
    <w:pPr>
      <w:ind w:firstLine="420" w:firstLineChars="200"/>
    </w:pPr>
  </w:style>
  <w:style w:type="character" w:styleId="22">
    <w:name w:val="Strong"/>
    <w:qFormat/>
    <w:uiPriority w:val="0"/>
    <w:rPr>
      <w:b/>
      <w:bCs/>
    </w:rPr>
  </w:style>
  <w:style w:type="character" w:styleId="23">
    <w:name w:val="page number"/>
    <w:basedOn w:val="21"/>
    <w:qFormat/>
    <w:uiPriority w:val="0"/>
  </w:style>
  <w:style w:type="character" w:styleId="24">
    <w:name w:val="FollowedHyperlink"/>
    <w:basedOn w:val="21"/>
    <w:qFormat/>
    <w:uiPriority w:val="0"/>
    <w:rPr>
      <w:color w:val="800080"/>
      <w:u w:val="none"/>
    </w:rPr>
  </w:style>
  <w:style w:type="character" w:styleId="25">
    <w:name w:val="HTML Definition"/>
    <w:basedOn w:val="21"/>
    <w:qFormat/>
    <w:uiPriority w:val="0"/>
  </w:style>
  <w:style w:type="character" w:styleId="26">
    <w:name w:val="HTML Typewriter"/>
    <w:basedOn w:val="21"/>
    <w:qFormat/>
    <w:uiPriority w:val="0"/>
    <w:rPr>
      <w:rFonts w:hint="default" w:ascii="monospace" w:hAnsi="monospace" w:eastAsia="monospace" w:cs="monospace"/>
      <w:sz w:val="20"/>
    </w:rPr>
  </w:style>
  <w:style w:type="character" w:styleId="27">
    <w:name w:val="HTML Acronym"/>
    <w:basedOn w:val="21"/>
    <w:qFormat/>
    <w:uiPriority w:val="0"/>
  </w:style>
  <w:style w:type="character" w:styleId="28">
    <w:name w:val="HTML Variable"/>
    <w:basedOn w:val="21"/>
    <w:qFormat/>
    <w:uiPriority w:val="0"/>
  </w:style>
  <w:style w:type="character" w:styleId="29">
    <w:name w:val="Hyperlink"/>
    <w:qFormat/>
    <w:uiPriority w:val="0"/>
    <w:rPr>
      <w:color w:val="0000FF"/>
      <w:u w:val="single"/>
    </w:rPr>
  </w:style>
  <w:style w:type="character" w:styleId="30">
    <w:name w:val="HTML Code"/>
    <w:basedOn w:val="21"/>
    <w:qFormat/>
    <w:uiPriority w:val="0"/>
    <w:rPr>
      <w:rFonts w:hint="default" w:ascii="monospace" w:hAnsi="monospace" w:eastAsia="monospace" w:cs="monospace"/>
      <w:sz w:val="20"/>
    </w:rPr>
  </w:style>
  <w:style w:type="character" w:styleId="31">
    <w:name w:val="HTML Cite"/>
    <w:basedOn w:val="21"/>
    <w:qFormat/>
    <w:uiPriority w:val="0"/>
  </w:style>
  <w:style w:type="character" w:styleId="32">
    <w:name w:val="HTML Keyboard"/>
    <w:basedOn w:val="21"/>
    <w:qFormat/>
    <w:uiPriority w:val="0"/>
    <w:rPr>
      <w:rFonts w:ascii="monospace" w:hAnsi="monospace" w:eastAsia="monospace" w:cs="monospace"/>
      <w:sz w:val="20"/>
    </w:rPr>
  </w:style>
  <w:style w:type="character" w:styleId="33">
    <w:name w:val="HTML Sample"/>
    <w:basedOn w:val="21"/>
    <w:qFormat/>
    <w:uiPriority w:val="0"/>
    <w:rPr>
      <w:rFonts w:hint="default" w:ascii="monospace" w:hAnsi="monospace" w:eastAsia="monospace" w:cs="monospace"/>
    </w:rPr>
  </w:style>
  <w:style w:type="paragraph" w:customStyle="1" w:styleId="34">
    <w:name w:val="Table Paragraph"/>
    <w:basedOn w:val="1"/>
    <w:qFormat/>
    <w:uiPriority w:val="1"/>
    <w:pPr>
      <w:widowControl w:val="0"/>
      <w:autoSpaceDE w:val="0"/>
      <w:autoSpaceDN w:val="0"/>
    </w:pPr>
    <w:rPr>
      <w:rFonts w:ascii="宋体" w:hAnsi="宋体" w:cs="宋体"/>
      <w:sz w:val="22"/>
      <w:szCs w:val="22"/>
      <w:lang w:val="zh-CN" w:bidi="zh-CN"/>
    </w:rPr>
  </w:style>
  <w:style w:type="table" w:customStyle="1" w:styleId="35">
    <w:name w:val="Table Normal"/>
    <w:unhideWhenUsed/>
    <w:qFormat/>
    <w:uiPriority w:val="0"/>
    <w:tblPr>
      <w:tblCellMar>
        <w:top w:w="0" w:type="dxa"/>
        <w:left w:w="0" w:type="dxa"/>
        <w:bottom w:w="0" w:type="dxa"/>
        <w:right w:w="0" w:type="dxa"/>
      </w:tblCellMar>
    </w:tblPr>
  </w:style>
  <w:style w:type="paragraph" w:customStyle="1" w:styleId="36">
    <w:name w:val=" Char Char2"/>
    <w:basedOn w:val="1"/>
    <w:qFormat/>
    <w:uiPriority w:val="0"/>
    <w:pPr>
      <w:spacing w:line="360" w:lineRule="auto"/>
      <w:ind w:firstLine="200" w:firstLineChars="200"/>
    </w:pPr>
    <w:rPr>
      <w:rFonts w:ascii="宋体" w:hAnsi="宋体" w:cs="宋体"/>
      <w:sz w:val="24"/>
    </w:rPr>
  </w:style>
  <w:style w:type="paragraph" w:customStyle="1" w:styleId="3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38">
    <w:name w:val="样式 标题 3 + (中文) 黑体 小四 非加粗 段前: 7.8 磅 段后: 0 磅 行距: 固定值 20 磅"/>
    <w:basedOn w:val="2"/>
    <w:qFormat/>
    <w:uiPriority w:val="0"/>
    <w:pPr>
      <w:spacing w:before="0" w:after="0" w:line="400" w:lineRule="exact"/>
    </w:pPr>
    <w:rPr>
      <w:rFonts w:ascii="黑体" w:hAnsi="宋体" w:eastAsia="黑体" w:cs="宋体"/>
      <w:snapToGrid w:val="0"/>
      <w:sz w:val="24"/>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theme" Target="theme/theme1.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header" Target="header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32</Pages>
  <Words>18726</Words>
  <Characters>19372</Characters>
  <Lines>0</Lines>
  <Paragraphs>0</Paragraphs>
  <TotalTime>1</TotalTime>
  <ScaleCrop>false</ScaleCrop>
  <LinksUpToDate>false</LinksUpToDate>
  <CharactersWithSpaces>21940</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2021-02-18T08:09:00Z</dcterms:created>
  <dc:creator>魚虞</dc:creator>
  <cp:lastModifiedBy>刘馨</cp:lastModifiedBy>
  <cp:lastPrinted>2023-04-12T02:00:00Z</cp:lastPrinted>
  <dcterms:modified xsi:type="dcterms:W3CDTF">2023-04-12T06:53:42Z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A5B0439B89AF4433AB18F4D0EB712A42</vt:lpwstr>
  </property>
</Properties>
</file>