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ind w:left="560"/>
        <w:rPr>
          <w:color w:val="auto"/>
          <w:highlight w:val="none"/>
        </w:rPr>
      </w:pPr>
    </w:p>
    <w:p>
      <w:pPr>
        <w:pStyle w:val="8"/>
        <w:ind w:firstLine="0"/>
        <w:rPr>
          <w:color w:val="auto"/>
          <w:highlight w:val="none"/>
        </w:rPr>
      </w:pPr>
    </w:p>
    <w:p>
      <w:pPr>
        <w:pStyle w:val="5"/>
        <w:rPr>
          <w:color w:val="auto"/>
          <w:highlight w:val="none"/>
        </w:rPr>
      </w:pPr>
    </w:p>
    <w:p>
      <w:pPr>
        <w:rPr>
          <w:color w:val="auto"/>
          <w:highlight w:val="none"/>
        </w:rPr>
      </w:pPr>
    </w:p>
    <w:p>
      <w:pPr>
        <w:pStyle w:val="8"/>
        <w:ind w:left="560"/>
        <w:rPr>
          <w:color w:val="auto"/>
          <w:highlight w:val="none"/>
        </w:rPr>
      </w:pPr>
    </w:p>
    <w:p>
      <w:pPr>
        <w:rPr>
          <w:color w:val="auto"/>
          <w:highlight w:val="none"/>
        </w:rPr>
      </w:pPr>
    </w:p>
    <w:p>
      <w:pPr>
        <w:pStyle w:val="8"/>
        <w:ind w:left="560"/>
        <w:rPr>
          <w:color w:val="auto"/>
          <w:highlight w:val="none"/>
        </w:rPr>
      </w:pPr>
    </w:p>
    <w:p>
      <w:pPr>
        <w:adjustRightInd w:val="0"/>
        <w:snapToGrid w:val="0"/>
        <w:spacing w:line="1000" w:lineRule="exact"/>
        <w:jc w:val="center"/>
        <w:rPr>
          <w:rFonts w:cs="宋体" w:asciiTheme="majorEastAsia" w:hAnsiTheme="majorEastAsia" w:eastAsiaTheme="majorEastAsia"/>
          <w:bCs/>
          <w:color w:val="auto"/>
          <w:sz w:val="72"/>
          <w:szCs w:val="72"/>
          <w:highlight w:val="none"/>
        </w:rPr>
      </w:pPr>
      <w:r>
        <w:rPr>
          <w:rFonts w:hint="eastAsia" w:cs="宋体" w:asciiTheme="majorEastAsia" w:hAnsiTheme="majorEastAsia" w:eastAsiaTheme="majorEastAsia"/>
          <w:bCs/>
          <w:color w:val="auto"/>
          <w:sz w:val="72"/>
          <w:szCs w:val="72"/>
          <w:highlight w:val="none"/>
        </w:rPr>
        <w:t>常州市金坛区</w:t>
      </w:r>
      <w:r>
        <w:rPr>
          <w:rFonts w:hint="eastAsia" w:cs="宋体" w:asciiTheme="majorEastAsia" w:hAnsiTheme="majorEastAsia" w:eastAsiaTheme="majorEastAsia"/>
          <w:bCs/>
          <w:color w:val="auto"/>
          <w:sz w:val="72"/>
          <w:szCs w:val="72"/>
          <w:highlight w:val="none"/>
          <w:lang w:val="en-US" w:eastAsia="zh-CN"/>
        </w:rPr>
        <w:t>国企</w:t>
      </w:r>
      <w:r>
        <w:rPr>
          <w:rFonts w:hint="eastAsia" w:cs="宋体" w:asciiTheme="majorEastAsia" w:hAnsiTheme="majorEastAsia" w:eastAsiaTheme="majorEastAsia"/>
          <w:bCs/>
          <w:color w:val="auto"/>
          <w:sz w:val="72"/>
          <w:szCs w:val="72"/>
          <w:highlight w:val="none"/>
        </w:rPr>
        <w:t>交易</w:t>
      </w:r>
    </w:p>
    <w:p>
      <w:pPr>
        <w:adjustRightInd w:val="0"/>
        <w:snapToGrid w:val="0"/>
        <w:spacing w:line="700" w:lineRule="exact"/>
        <w:jc w:val="center"/>
        <w:rPr>
          <w:rFonts w:cs="宋体" w:asciiTheme="majorEastAsia" w:hAnsiTheme="majorEastAsia" w:eastAsiaTheme="majorEastAsia"/>
          <w:bCs/>
          <w:color w:val="auto"/>
          <w:sz w:val="44"/>
          <w:szCs w:val="44"/>
          <w:highlight w:val="none"/>
        </w:rPr>
      </w:pPr>
    </w:p>
    <w:p>
      <w:pPr>
        <w:adjustRightInd w:val="0"/>
        <w:snapToGrid w:val="0"/>
        <w:spacing w:line="600" w:lineRule="exact"/>
        <w:jc w:val="center"/>
        <w:rPr>
          <w:rFonts w:cs="宋体" w:asciiTheme="majorEastAsia" w:hAnsiTheme="majorEastAsia" w:eastAsiaTheme="majorEastAsia"/>
          <w:bCs/>
          <w:color w:val="auto"/>
          <w:sz w:val="44"/>
          <w:szCs w:val="44"/>
          <w:highlight w:val="none"/>
        </w:rPr>
      </w:pPr>
      <w:r>
        <w:rPr>
          <w:rFonts w:hint="eastAsia" w:cs="宋体" w:asciiTheme="majorEastAsia" w:hAnsiTheme="majorEastAsia" w:eastAsiaTheme="majorEastAsia"/>
          <w:bCs/>
          <w:color w:val="auto"/>
          <w:sz w:val="44"/>
          <w:szCs w:val="44"/>
          <w:highlight w:val="none"/>
        </w:rPr>
        <w:t>竞争性磋商文件</w:t>
      </w:r>
    </w:p>
    <w:p>
      <w:pPr>
        <w:spacing w:line="600" w:lineRule="exact"/>
        <w:jc w:val="center"/>
        <w:rPr>
          <w:rFonts w:cs="宋体" w:asciiTheme="majorEastAsia" w:hAnsiTheme="majorEastAsia" w:eastAsiaTheme="majorEastAsia"/>
          <w:color w:val="auto"/>
          <w:highlight w:val="none"/>
        </w:rPr>
      </w:pPr>
      <w:r>
        <w:rPr>
          <w:rFonts w:hint="eastAsia" w:cs="宋体" w:asciiTheme="majorEastAsia" w:hAnsiTheme="majorEastAsia" w:eastAsiaTheme="majorEastAsia"/>
          <w:color w:val="auto"/>
          <w:highlight w:val="none"/>
        </w:rPr>
        <w:t>（</w:t>
      </w:r>
      <w:r>
        <w:rPr>
          <w:rFonts w:hint="eastAsia" w:cs="宋体" w:asciiTheme="majorEastAsia" w:hAnsiTheme="majorEastAsia" w:eastAsiaTheme="majorEastAsia"/>
          <w:color w:val="auto"/>
          <w:highlight w:val="none"/>
          <w:lang w:val="en-US" w:eastAsia="zh-CN"/>
        </w:rPr>
        <w:t>货物</w:t>
      </w:r>
      <w:r>
        <w:rPr>
          <w:rFonts w:hint="eastAsia" w:cs="宋体" w:asciiTheme="majorEastAsia" w:hAnsiTheme="majorEastAsia" w:eastAsiaTheme="majorEastAsia"/>
          <w:color w:val="auto"/>
          <w:highlight w:val="none"/>
        </w:rPr>
        <w:t>类）</w:t>
      </w:r>
    </w:p>
    <w:p>
      <w:pPr>
        <w:adjustRightInd w:val="0"/>
        <w:snapToGrid w:val="0"/>
        <w:spacing w:line="700" w:lineRule="exact"/>
        <w:rPr>
          <w:rFonts w:cs="宋体" w:asciiTheme="majorEastAsia" w:hAnsiTheme="majorEastAsia" w:eastAsiaTheme="majorEastAsia"/>
          <w:bCs/>
          <w:color w:val="auto"/>
          <w:sz w:val="30"/>
          <w:szCs w:val="30"/>
          <w:highlight w:val="none"/>
        </w:rPr>
      </w:pPr>
    </w:p>
    <w:p>
      <w:pPr>
        <w:adjustRightInd w:val="0"/>
        <w:snapToGrid w:val="0"/>
        <w:spacing w:line="700" w:lineRule="exact"/>
        <w:ind w:firstLine="840" w:firstLineChars="300"/>
        <w:rPr>
          <w:rFonts w:cs="宋体" w:asciiTheme="majorEastAsia" w:hAnsiTheme="majorEastAsia" w:eastAsiaTheme="majorEastAsia"/>
          <w:bCs/>
          <w:color w:val="auto"/>
          <w:szCs w:val="28"/>
          <w:highlight w:val="none"/>
        </w:rPr>
      </w:pPr>
    </w:p>
    <w:p>
      <w:pPr>
        <w:snapToGrid w:val="0"/>
        <w:spacing w:line="700" w:lineRule="exact"/>
        <w:rPr>
          <w:rFonts w:cs="宋体" w:asciiTheme="majorEastAsia" w:hAnsiTheme="majorEastAsia" w:eastAsiaTheme="majorEastAsia"/>
          <w:color w:val="auto"/>
          <w:szCs w:val="28"/>
          <w:highlight w:val="none"/>
        </w:rPr>
      </w:pPr>
    </w:p>
    <w:p>
      <w:pPr>
        <w:pStyle w:val="7"/>
        <w:rPr>
          <w:color w:val="auto"/>
          <w:highlight w:val="none"/>
        </w:rPr>
      </w:pPr>
    </w:p>
    <w:p>
      <w:pPr>
        <w:snapToGrid w:val="0"/>
        <w:spacing w:line="700" w:lineRule="exact"/>
        <w:jc w:val="center"/>
        <w:rPr>
          <w:rFonts w:cs="宋体" w:asciiTheme="majorEastAsia" w:hAnsiTheme="majorEastAsia" w:eastAsiaTheme="majorEastAsia"/>
          <w:color w:val="auto"/>
          <w:szCs w:val="28"/>
          <w:highlight w:val="none"/>
        </w:rPr>
      </w:pPr>
    </w:p>
    <w:p>
      <w:pPr>
        <w:adjustRightInd w:val="0"/>
        <w:snapToGrid w:val="0"/>
        <w:spacing w:line="700" w:lineRule="exact"/>
        <w:rPr>
          <w:rFonts w:cs="宋体" w:asciiTheme="majorEastAsia" w:hAnsiTheme="majorEastAsia" w:eastAsiaTheme="majorEastAsia"/>
          <w:bCs/>
          <w:color w:val="auto"/>
          <w:szCs w:val="28"/>
          <w:highlight w:val="none"/>
        </w:rPr>
      </w:pPr>
      <w:r>
        <w:rPr>
          <w:rFonts w:hint="eastAsia" w:cs="宋体" w:asciiTheme="majorEastAsia" w:hAnsiTheme="majorEastAsia" w:eastAsiaTheme="majorEastAsia"/>
          <w:bCs/>
          <w:color w:val="auto"/>
          <w:szCs w:val="28"/>
          <w:highlight w:val="none"/>
        </w:rPr>
        <w:t>项目编号：</w:t>
      </w:r>
      <w:r>
        <w:rPr>
          <w:rFonts w:hint="eastAsia" w:cs="宋体" w:asciiTheme="majorEastAsia" w:hAnsiTheme="majorEastAsia" w:eastAsiaTheme="majorEastAsia"/>
          <w:bCs/>
          <w:color w:val="auto"/>
          <w:szCs w:val="28"/>
          <w:highlight w:val="none"/>
          <w:lang w:eastAsia="zh-CN"/>
        </w:rPr>
        <w:t>竞磋2023-00</w:t>
      </w:r>
      <w:r>
        <w:rPr>
          <w:rFonts w:hint="eastAsia" w:cs="宋体" w:asciiTheme="majorEastAsia" w:hAnsiTheme="majorEastAsia" w:eastAsiaTheme="majorEastAsia"/>
          <w:bCs/>
          <w:color w:val="auto"/>
          <w:szCs w:val="28"/>
          <w:highlight w:val="none"/>
          <w:lang w:val="en-US" w:eastAsia="zh-CN"/>
        </w:rPr>
        <w:t>5</w:t>
      </w:r>
      <w:r>
        <w:rPr>
          <w:rFonts w:hint="eastAsia" w:cs="宋体" w:asciiTheme="majorEastAsia" w:hAnsiTheme="majorEastAsia" w:eastAsiaTheme="majorEastAsia"/>
          <w:bCs/>
          <w:color w:val="auto"/>
          <w:szCs w:val="28"/>
          <w:highlight w:val="none"/>
        </w:rPr>
        <w:t>号</w:t>
      </w:r>
    </w:p>
    <w:p>
      <w:pPr>
        <w:adjustRightInd w:val="0"/>
        <w:snapToGrid w:val="0"/>
        <w:spacing w:line="700" w:lineRule="exact"/>
        <w:rPr>
          <w:rFonts w:hint="eastAsia" w:cs="宋体" w:asciiTheme="majorEastAsia" w:hAnsiTheme="majorEastAsia" w:eastAsiaTheme="majorEastAsia"/>
          <w:bCs/>
          <w:color w:val="auto"/>
          <w:szCs w:val="28"/>
          <w:highlight w:val="none"/>
          <w:lang w:eastAsia="zh-CN"/>
        </w:rPr>
      </w:pPr>
      <w:r>
        <w:rPr>
          <w:rFonts w:hint="eastAsia" w:cs="宋体" w:asciiTheme="majorEastAsia" w:hAnsiTheme="majorEastAsia" w:eastAsiaTheme="majorEastAsia"/>
          <w:bCs/>
          <w:color w:val="auto"/>
          <w:szCs w:val="28"/>
          <w:highlight w:val="none"/>
        </w:rPr>
        <w:t>项目名称：</w:t>
      </w:r>
      <w:r>
        <w:rPr>
          <w:rFonts w:hint="eastAsia" w:cs="宋体" w:asciiTheme="majorEastAsia" w:hAnsiTheme="majorEastAsia" w:eastAsiaTheme="majorEastAsia"/>
          <w:bCs/>
          <w:color w:val="auto"/>
          <w:szCs w:val="28"/>
          <w:highlight w:val="none"/>
          <w:lang w:eastAsia="zh-CN"/>
        </w:rPr>
        <w:t>常州市金坛华罗庚实验幼儿园家具采购项目</w:t>
      </w:r>
    </w:p>
    <w:p>
      <w:pPr>
        <w:adjustRightInd w:val="0"/>
        <w:snapToGrid w:val="0"/>
        <w:spacing w:line="700" w:lineRule="exact"/>
        <w:rPr>
          <w:rFonts w:hint="eastAsia" w:cs="宋体" w:asciiTheme="majorEastAsia" w:hAnsiTheme="majorEastAsia" w:eastAsiaTheme="majorEastAsia"/>
          <w:bCs/>
          <w:color w:val="auto"/>
          <w:szCs w:val="28"/>
          <w:highlight w:val="none"/>
          <w:lang w:eastAsia="zh-CN"/>
        </w:rPr>
      </w:pPr>
      <w:r>
        <w:rPr>
          <w:rFonts w:hint="eastAsia" w:cs="宋体" w:asciiTheme="majorEastAsia" w:hAnsiTheme="majorEastAsia" w:eastAsiaTheme="majorEastAsia"/>
          <w:bCs/>
          <w:color w:val="auto"/>
          <w:szCs w:val="28"/>
          <w:highlight w:val="none"/>
        </w:rPr>
        <w:t>采购人名称：</w:t>
      </w:r>
      <w:r>
        <w:rPr>
          <w:rFonts w:hint="eastAsia" w:cs="宋体" w:asciiTheme="majorEastAsia" w:hAnsiTheme="majorEastAsia" w:eastAsiaTheme="majorEastAsia"/>
          <w:bCs/>
          <w:color w:val="auto"/>
          <w:szCs w:val="28"/>
          <w:highlight w:val="none"/>
          <w:lang w:eastAsia="zh-CN"/>
        </w:rPr>
        <w:t>江苏金坛滨湖新城开发建设有限公司</w:t>
      </w:r>
    </w:p>
    <w:p>
      <w:pPr>
        <w:adjustRightInd w:val="0"/>
        <w:snapToGrid w:val="0"/>
        <w:spacing w:line="700" w:lineRule="exact"/>
        <w:rPr>
          <w:rFonts w:cs="宋体" w:asciiTheme="majorEastAsia" w:hAnsiTheme="majorEastAsia" w:eastAsiaTheme="majorEastAsia"/>
          <w:bCs/>
          <w:color w:val="auto"/>
          <w:szCs w:val="28"/>
          <w:highlight w:val="none"/>
        </w:rPr>
      </w:pPr>
      <w:r>
        <w:rPr>
          <w:rFonts w:hint="eastAsia" w:cs="宋体" w:asciiTheme="majorEastAsia" w:hAnsiTheme="majorEastAsia" w:eastAsiaTheme="majorEastAsia"/>
          <w:bCs/>
          <w:color w:val="auto"/>
          <w:szCs w:val="28"/>
          <w:highlight w:val="none"/>
        </w:rPr>
        <w:t>采购代理机构：</w:t>
      </w:r>
      <w:r>
        <w:rPr>
          <w:rFonts w:cs="宋体" w:asciiTheme="majorEastAsia" w:hAnsiTheme="majorEastAsia" w:eastAsiaTheme="majorEastAsia"/>
          <w:bCs/>
          <w:color w:val="auto"/>
          <w:szCs w:val="28"/>
          <w:highlight w:val="none"/>
        </w:rPr>
        <w:t>江苏信达建设工程咨询有限公司</w:t>
      </w:r>
    </w:p>
    <w:p>
      <w:pPr>
        <w:adjustRightInd w:val="0"/>
        <w:snapToGrid w:val="0"/>
        <w:spacing w:line="700" w:lineRule="exact"/>
        <w:jc w:val="center"/>
        <w:rPr>
          <w:rFonts w:cs="宋体" w:asciiTheme="majorEastAsia" w:hAnsiTheme="majorEastAsia" w:eastAsiaTheme="majorEastAsia"/>
          <w:bCs/>
          <w:color w:val="auto"/>
          <w:sz w:val="32"/>
          <w:szCs w:val="32"/>
          <w:highlight w:val="none"/>
        </w:rPr>
      </w:pPr>
      <w:r>
        <w:rPr>
          <w:rFonts w:hint="eastAsia" w:cs="宋体" w:asciiTheme="majorEastAsia" w:hAnsiTheme="majorEastAsia" w:eastAsiaTheme="majorEastAsia"/>
          <w:bCs/>
          <w:color w:val="auto"/>
          <w:sz w:val="32"/>
          <w:szCs w:val="32"/>
          <w:highlight w:val="none"/>
          <w:lang w:eastAsia="zh-CN"/>
        </w:rPr>
        <w:t>2023年2月</w:t>
      </w:r>
      <w:r>
        <w:rPr>
          <w:rFonts w:hint="eastAsia" w:cs="宋体" w:asciiTheme="majorEastAsia" w:hAnsiTheme="majorEastAsia" w:eastAsiaTheme="majorEastAsia"/>
          <w:bCs/>
          <w:color w:val="auto"/>
          <w:sz w:val="32"/>
          <w:szCs w:val="32"/>
          <w:highlight w:val="none"/>
          <w:lang w:val="en-US" w:eastAsia="zh-CN"/>
        </w:rPr>
        <w:t>23</w:t>
      </w:r>
      <w:r>
        <w:rPr>
          <w:rFonts w:hint="eastAsia" w:cs="宋体" w:asciiTheme="majorEastAsia" w:hAnsiTheme="majorEastAsia" w:eastAsiaTheme="majorEastAsia"/>
          <w:bCs/>
          <w:color w:val="auto"/>
          <w:sz w:val="32"/>
          <w:szCs w:val="32"/>
          <w:highlight w:val="none"/>
        </w:rPr>
        <w:t>日</w:t>
      </w:r>
    </w:p>
    <w:p>
      <w:pPr>
        <w:spacing w:line="400" w:lineRule="exact"/>
        <w:rPr>
          <w:rFonts w:ascii="宋体" w:hAnsi="宋体" w:cs="宋体"/>
          <w:b/>
          <w:bCs/>
          <w:color w:val="auto"/>
          <w:sz w:val="32"/>
          <w:szCs w:val="32"/>
          <w:highlight w:val="none"/>
        </w:rPr>
      </w:pPr>
    </w:p>
    <w:p>
      <w:pPr>
        <w:rPr>
          <w:rFonts w:cs="宋体" w:asciiTheme="majorEastAsia" w:hAnsiTheme="majorEastAsia" w:eastAsiaTheme="majorEastAsia"/>
          <w:b/>
          <w:bCs/>
          <w:color w:val="auto"/>
          <w:szCs w:val="28"/>
          <w:highlight w:val="none"/>
        </w:rPr>
      </w:pPr>
      <w:r>
        <w:rPr>
          <w:rFonts w:hint="eastAsia" w:cs="宋体" w:asciiTheme="majorEastAsia" w:hAnsiTheme="majorEastAsia" w:eastAsiaTheme="majorEastAsia"/>
          <w:b/>
          <w:bCs/>
          <w:color w:val="auto"/>
          <w:szCs w:val="28"/>
          <w:highlight w:val="none"/>
        </w:rPr>
        <w:br w:type="page"/>
      </w:r>
    </w:p>
    <w:p>
      <w:pPr>
        <w:widowControl/>
        <w:spacing w:line="440" w:lineRule="exact"/>
        <w:jc w:val="center"/>
        <w:outlineLvl w:val="3"/>
        <w:rPr>
          <w:rFonts w:hint="eastAsia" w:ascii="SourceHanSansCN-Regular" w:hAnsi="SourceHanSansCN-Regular" w:eastAsia="宋体" w:cs="宋体"/>
          <w:b/>
          <w:color w:val="auto"/>
          <w:kern w:val="0"/>
          <w:sz w:val="24"/>
          <w:szCs w:val="24"/>
          <w:highlight w:val="none"/>
          <w:lang w:eastAsia="zh-CN"/>
        </w:rPr>
      </w:pPr>
      <w:r>
        <w:rPr>
          <w:rFonts w:hint="eastAsia" w:cs="宋体" w:asciiTheme="majorEastAsia" w:hAnsiTheme="majorEastAsia" w:eastAsiaTheme="majorEastAsia"/>
          <w:b/>
          <w:bCs/>
          <w:color w:val="auto"/>
          <w:sz w:val="24"/>
          <w:szCs w:val="24"/>
          <w:highlight w:val="none"/>
          <w:lang w:eastAsia="zh-CN"/>
        </w:rPr>
        <w:t>常州市金坛华罗庚实验幼儿园家具采购项目</w:t>
      </w:r>
    </w:p>
    <w:p>
      <w:pPr>
        <w:widowControl/>
        <w:spacing w:line="440" w:lineRule="exact"/>
        <w:jc w:val="center"/>
        <w:outlineLvl w:val="3"/>
        <w:rPr>
          <w:rFonts w:hint="eastAsia"/>
          <w:color w:val="auto"/>
          <w:sz w:val="24"/>
          <w:szCs w:val="24"/>
          <w:highlight w:val="none"/>
        </w:rPr>
      </w:pPr>
      <w:r>
        <w:rPr>
          <w:rFonts w:ascii="SourceHanSansCN-Regular" w:hAnsi="SourceHanSansCN-Regular" w:cs="宋体"/>
          <w:b/>
          <w:color w:val="auto"/>
          <w:kern w:val="0"/>
          <w:sz w:val="24"/>
          <w:szCs w:val="24"/>
          <w:highlight w:val="none"/>
        </w:rPr>
        <w:t>竞争性磋商公告</w:t>
      </w:r>
    </w:p>
    <w:p>
      <w:pPr>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topLinePunct w:val="0"/>
        <w:autoSpaceDE/>
        <w:autoSpaceDN/>
        <w:bidi w:val="0"/>
        <w:spacing w:line="420" w:lineRule="exact"/>
        <w:ind w:firstLine="420" w:firstLineChars="200"/>
        <w:jc w:val="left"/>
        <w:textAlignment w:val="auto"/>
        <w:rPr>
          <w:rFonts w:ascii="宋体" w:hAnsi="宋体" w:cs="宋体"/>
          <w:color w:val="auto"/>
          <w:kern w:val="0"/>
          <w:sz w:val="21"/>
          <w:szCs w:val="21"/>
          <w:highlight w:val="none"/>
        </w:rPr>
      </w:pPr>
      <w:r>
        <w:rPr>
          <w:rFonts w:ascii="宋体" w:hAnsi="宋体" w:cs="宋体"/>
          <w:color w:val="auto"/>
          <w:kern w:val="0"/>
          <w:sz w:val="21"/>
          <w:szCs w:val="21"/>
          <w:highlight w:val="none"/>
        </w:rPr>
        <w:t>项目概况</w:t>
      </w:r>
      <w:r>
        <w:rPr>
          <w:rFonts w:hint="eastAsia" w:ascii="宋体" w:hAnsi="宋体" w:cs="宋体"/>
          <w:color w:val="auto"/>
          <w:kern w:val="0"/>
          <w:sz w:val="21"/>
          <w:szCs w:val="21"/>
          <w:highlight w:val="none"/>
        </w:rPr>
        <w:t>：</w:t>
      </w:r>
      <w:r>
        <w:rPr>
          <w:rFonts w:hint="eastAsia" w:ascii="宋体" w:hAnsi="宋体" w:cs="宋体"/>
          <w:color w:val="auto"/>
          <w:sz w:val="21"/>
          <w:szCs w:val="21"/>
          <w:highlight w:val="none"/>
          <w:lang w:eastAsia="zh-CN"/>
        </w:rPr>
        <w:t>常州市金坛华罗庚实验幼儿园家具采购项目</w:t>
      </w:r>
      <w:r>
        <w:rPr>
          <w:rFonts w:ascii="宋体" w:hAnsi="宋体" w:cs="宋体"/>
          <w:color w:val="auto"/>
          <w:kern w:val="0"/>
          <w:sz w:val="21"/>
          <w:szCs w:val="21"/>
          <w:highlight w:val="none"/>
        </w:rPr>
        <w:t>的潜在</w:t>
      </w:r>
      <w:r>
        <w:rPr>
          <w:rFonts w:hint="eastAsia" w:ascii="宋体" w:hAnsi="宋体" w:cs="宋体"/>
          <w:color w:val="auto"/>
          <w:kern w:val="0"/>
          <w:sz w:val="21"/>
          <w:szCs w:val="21"/>
          <w:highlight w:val="none"/>
          <w:lang w:eastAsia="zh-CN"/>
        </w:rPr>
        <w:t>响应人</w:t>
      </w:r>
      <w:r>
        <w:rPr>
          <w:rFonts w:ascii="宋体" w:hAnsi="宋体" w:cs="宋体"/>
          <w:color w:val="auto"/>
          <w:kern w:val="0"/>
          <w:sz w:val="21"/>
          <w:szCs w:val="21"/>
          <w:highlight w:val="none"/>
        </w:rPr>
        <w:t>应在</w:t>
      </w:r>
      <w:r>
        <w:rPr>
          <w:rFonts w:hint="eastAsia" w:ascii="宋体" w:hAnsi="宋体" w:cs="宋体"/>
          <w:color w:val="auto"/>
          <w:kern w:val="0"/>
          <w:sz w:val="21"/>
          <w:szCs w:val="21"/>
          <w:highlight w:val="none"/>
        </w:rPr>
        <w:t>规定时间报名</w:t>
      </w:r>
      <w:r>
        <w:rPr>
          <w:rFonts w:ascii="宋体" w:hAnsi="宋体" w:cs="宋体"/>
          <w:color w:val="auto"/>
          <w:kern w:val="0"/>
          <w:sz w:val="21"/>
          <w:szCs w:val="21"/>
          <w:highlight w:val="none"/>
        </w:rPr>
        <w:t>，并于</w:t>
      </w:r>
      <w:r>
        <w:rPr>
          <w:rFonts w:hint="eastAsia" w:ascii="宋体" w:hAnsi="宋体" w:cs="宋体"/>
          <w:color w:val="auto"/>
          <w:kern w:val="0"/>
          <w:sz w:val="21"/>
          <w:szCs w:val="21"/>
          <w:highlight w:val="none"/>
          <w:lang w:eastAsia="zh-CN"/>
        </w:rPr>
        <w:t>2023年</w:t>
      </w:r>
      <w:r>
        <w:rPr>
          <w:rFonts w:hint="eastAsia" w:ascii="宋体" w:hAnsi="宋体" w:cs="宋体"/>
          <w:color w:val="auto"/>
          <w:kern w:val="0"/>
          <w:sz w:val="21"/>
          <w:szCs w:val="21"/>
          <w:highlight w:val="none"/>
          <w:lang w:val="en-US" w:eastAsia="zh-CN"/>
        </w:rPr>
        <w:t>3</w:t>
      </w:r>
      <w:r>
        <w:rPr>
          <w:rFonts w:hint="eastAsia" w:ascii="宋体" w:hAnsi="宋体" w:cs="宋体"/>
          <w:color w:val="auto"/>
          <w:kern w:val="0"/>
          <w:sz w:val="21"/>
          <w:szCs w:val="21"/>
          <w:highlight w:val="none"/>
          <w:lang w:eastAsia="zh-CN"/>
        </w:rPr>
        <w:t>月</w:t>
      </w:r>
      <w:r>
        <w:rPr>
          <w:rFonts w:hint="eastAsia" w:ascii="宋体" w:hAnsi="宋体" w:cs="宋体"/>
          <w:color w:val="auto"/>
          <w:kern w:val="0"/>
          <w:sz w:val="21"/>
          <w:szCs w:val="21"/>
          <w:highlight w:val="none"/>
          <w:lang w:val="en-US" w:eastAsia="zh-CN"/>
        </w:rPr>
        <w:t>9</w:t>
      </w:r>
      <w:r>
        <w:rPr>
          <w:rFonts w:ascii="宋体" w:hAnsi="宋体" w:cs="宋体"/>
          <w:color w:val="auto"/>
          <w:kern w:val="0"/>
          <w:sz w:val="21"/>
          <w:szCs w:val="21"/>
          <w:highlight w:val="none"/>
        </w:rPr>
        <w:t>日</w:t>
      </w:r>
      <w:r>
        <w:rPr>
          <w:rFonts w:hint="eastAsia" w:ascii="宋体" w:hAnsi="宋体" w:cs="宋体"/>
          <w:color w:val="auto"/>
          <w:kern w:val="0"/>
          <w:sz w:val="21"/>
          <w:szCs w:val="21"/>
          <w:highlight w:val="none"/>
        </w:rPr>
        <w:t>14</w:t>
      </w:r>
      <w:r>
        <w:rPr>
          <w:rFonts w:ascii="宋体" w:hAnsi="宋体" w:cs="宋体"/>
          <w:color w:val="auto"/>
          <w:kern w:val="0"/>
          <w:sz w:val="21"/>
          <w:szCs w:val="21"/>
          <w:highlight w:val="none"/>
        </w:rPr>
        <w:t>点</w:t>
      </w:r>
      <w:r>
        <w:rPr>
          <w:rFonts w:hint="eastAsia" w:ascii="宋体" w:hAnsi="宋体" w:cs="宋体"/>
          <w:color w:val="auto"/>
          <w:kern w:val="0"/>
          <w:sz w:val="21"/>
          <w:szCs w:val="21"/>
          <w:highlight w:val="none"/>
          <w:lang w:val="en-US" w:eastAsia="zh-CN"/>
        </w:rPr>
        <w:t>30</w:t>
      </w:r>
      <w:r>
        <w:rPr>
          <w:rFonts w:ascii="宋体" w:hAnsi="宋体" w:cs="宋体"/>
          <w:color w:val="auto"/>
          <w:kern w:val="0"/>
          <w:sz w:val="21"/>
          <w:szCs w:val="21"/>
          <w:highlight w:val="none"/>
        </w:rPr>
        <w:t>分（北京时间）前提交响应文件。</w:t>
      </w:r>
    </w:p>
    <w:p>
      <w:pPr>
        <w:keepNext w:val="0"/>
        <w:keepLines w:val="0"/>
        <w:pageBreakBefore w:val="0"/>
        <w:widowControl/>
        <w:kinsoku/>
        <w:wordWrap/>
        <w:overflowPunct/>
        <w:topLinePunct w:val="0"/>
        <w:autoSpaceDE/>
        <w:autoSpaceDN/>
        <w:bidi w:val="0"/>
        <w:spacing w:line="420" w:lineRule="exact"/>
        <w:jc w:val="left"/>
        <w:textAlignment w:val="auto"/>
        <w:rPr>
          <w:rFonts w:ascii="宋体" w:hAnsi="宋体" w:cs="宋体"/>
          <w:b/>
          <w:color w:val="auto"/>
          <w:kern w:val="0"/>
          <w:sz w:val="21"/>
          <w:szCs w:val="21"/>
          <w:highlight w:val="none"/>
        </w:rPr>
      </w:pPr>
      <w:r>
        <w:rPr>
          <w:rFonts w:hint="eastAsia" w:ascii="宋体" w:hAnsi="宋体" w:cs="宋体"/>
          <w:b/>
          <w:color w:val="auto"/>
          <w:sz w:val="21"/>
          <w:szCs w:val="21"/>
          <w:highlight w:val="none"/>
        </w:rPr>
        <w:t>一、项目基本情况</w:t>
      </w:r>
    </w:p>
    <w:p>
      <w:pPr>
        <w:keepNext w:val="0"/>
        <w:keepLines w:val="0"/>
        <w:pageBreakBefore w:val="0"/>
        <w:kinsoku/>
        <w:wordWrap/>
        <w:overflowPunct/>
        <w:topLinePunct w:val="0"/>
        <w:autoSpaceDE/>
        <w:autoSpaceDN/>
        <w:bidi w:val="0"/>
        <w:adjustRightInd w:val="0"/>
        <w:snapToGrid w:val="0"/>
        <w:spacing w:line="420" w:lineRule="exact"/>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1.项目名称：</w:t>
      </w:r>
      <w:r>
        <w:rPr>
          <w:rFonts w:hint="eastAsia" w:ascii="宋体" w:hAnsi="宋体" w:cs="宋体"/>
          <w:color w:val="auto"/>
          <w:sz w:val="21"/>
          <w:szCs w:val="21"/>
          <w:highlight w:val="none"/>
          <w:lang w:eastAsia="zh-CN"/>
        </w:rPr>
        <w:t>常州市金坛华罗庚实验幼儿园家具采购项目</w:t>
      </w:r>
    </w:p>
    <w:p>
      <w:pPr>
        <w:keepNext w:val="0"/>
        <w:keepLines w:val="0"/>
        <w:pageBreakBefore w:val="0"/>
        <w:kinsoku/>
        <w:wordWrap/>
        <w:overflowPunct/>
        <w:topLinePunct w:val="0"/>
        <w:autoSpaceDE/>
        <w:autoSpaceDN/>
        <w:bidi w:val="0"/>
        <w:adjustRightInd w:val="0"/>
        <w:snapToGrid w:val="0"/>
        <w:spacing w:line="420" w:lineRule="exact"/>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2.</w:t>
      </w:r>
      <w:r>
        <w:rPr>
          <w:rFonts w:hint="eastAsia" w:ascii="宋体" w:hAnsi="宋体" w:cs="宋体"/>
          <w:color w:val="auto"/>
          <w:sz w:val="21"/>
          <w:szCs w:val="21"/>
          <w:highlight w:val="none"/>
          <w:lang w:eastAsia="zh-CN"/>
        </w:rPr>
        <w:t>采购</w:t>
      </w:r>
      <w:r>
        <w:rPr>
          <w:rFonts w:hint="eastAsia" w:ascii="宋体" w:hAnsi="宋体" w:cs="宋体"/>
          <w:color w:val="auto"/>
          <w:sz w:val="21"/>
          <w:szCs w:val="21"/>
          <w:highlight w:val="none"/>
          <w:lang w:val="en-US" w:eastAsia="zh-CN"/>
        </w:rPr>
        <w:t>方</w:t>
      </w:r>
      <w:r>
        <w:rPr>
          <w:rFonts w:hint="eastAsia" w:ascii="宋体" w:hAnsi="宋体" w:cs="宋体"/>
          <w:color w:val="auto"/>
          <w:sz w:val="21"/>
          <w:szCs w:val="21"/>
          <w:highlight w:val="none"/>
        </w:rPr>
        <w:t xml:space="preserve">式：竞争性磋商 </w:t>
      </w:r>
    </w:p>
    <w:p>
      <w:pPr>
        <w:keepNext w:val="0"/>
        <w:keepLines w:val="0"/>
        <w:pageBreakBefore w:val="0"/>
        <w:kinsoku/>
        <w:wordWrap/>
        <w:overflowPunct/>
        <w:topLinePunct w:val="0"/>
        <w:autoSpaceDE/>
        <w:autoSpaceDN/>
        <w:bidi w:val="0"/>
        <w:adjustRightInd w:val="0"/>
        <w:snapToGrid w:val="0"/>
        <w:spacing w:line="420" w:lineRule="exact"/>
        <w:ind w:firstLine="420" w:firstLineChars="200"/>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rPr>
        <w:t>3.项目预算金额：</w:t>
      </w:r>
      <w:r>
        <w:rPr>
          <w:rFonts w:hint="eastAsia" w:ascii="宋体" w:hAnsi="宋体" w:cs="宋体"/>
          <w:color w:val="auto"/>
          <w:sz w:val="21"/>
          <w:szCs w:val="21"/>
          <w:highlight w:val="none"/>
          <w:lang w:val="en-US" w:eastAsia="zh-CN"/>
        </w:rPr>
        <w:t>275万元</w:t>
      </w:r>
    </w:p>
    <w:p>
      <w:pPr>
        <w:keepNext w:val="0"/>
        <w:keepLines w:val="0"/>
        <w:pageBreakBefore w:val="0"/>
        <w:kinsoku/>
        <w:wordWrap/>
        <w:overflowPunct/>
        <w:topLinePunct w:val="0"/>
        <w:autoSpaceDE/>
        <w:autoSpaceDN/>
        <w:bidi w:val="0"/>
        <w:adjustRightInd w:val="0"/>
        <w:snapToGrid w:val="0"/>
        <w:spacing w:line="420" w:lineRule="exact"/>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4.控制价：</w:t>
      </w:r>
      <w:r>
        <w:rPr>
          <w:rFonts w:hint="eastAsia" w:ascii="宋体" w:hAnsi="宋体" w:cs="宋体"/>
          <w:color w:val="auto"/>
          <w:sz w:val="21"/>
          <w:szCs w:val="21"/>
          <w:highlight w:val="none"/>
          <w:lang w:val="en-US" w:eastAsia="zh-CN"/>
        </w:rPr>
        <w:t>272.47万元</w:t>
      </w:r>
      <w:r>
        <w:rPr>
          <w:rFonts w:hint="eastAsia" w:ascii="宋体" w:hAnsi="宋体" w:cs="宋体"/>
          <w:color w:val="auto"/>
          <w:sz w:val="21"/>
          <w:szCs w:val="21"/>
          <w:highlight w:val="none"/>
          <w:lang w:eastAsia="zh-CN"/>
        </w:rPr>
        <w:t>，投标报价超过控制价的作废标处理。</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rPr>
        <w:t>5.采购需求：</w:t>
      </w:r>
      <w:r>
        <w:rPr>
          <w:rFonts w:hint="eastAsia" w:ascii="宋体" w:hAnsi="宋体" w:cs="宋体"/>
          <w:color w:val="auto"/>
          <w:sz w:val="21"/>
          <w:szCs w:val="21"/>
          <w:highlight w:val="none"/>
          <w:lang w:val="en-US" w:eastAsia="zh-CN"/>
        </w:rPr>
        <w:t>清单范围内家具的供应、运输、安装调试及售后服务等。</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6.合同履行期限：</w:t>
      </w:r>
      <w:r>
        <w:rPr>
          <w:rFonts w:hint="default" w:ascii="宋体" w:hAnsi="宋体" w:cs="宋体"/>
          <w:color w:val="auto"/>
          <w:sz w:val="21"/>
          <w:szCs w:val="21"/>
          <w:highlight w:val="none"/>
          <w:lang w:val="en-US" w:eastAsia="zh-CN"/>
        </w:rPr>
        <w:t>合同签订后</w:t>
      </w:r>
      <w:r>
        <w:rPr>
          <w:rFonts w:hint="eastAsia" w:ascii="宋体" w:hAnsi="宋体" w:cs="宋体"/>
          <w:color w:val="auto"/>
          <w:sz w:val="21"/>
          <w:szCs w:val="21"/>
          <w:highlight w:val="none"/>
          <w:lang w:val="en-US" w:eastAsia="zh-CN"/>
        </w:rPr>
        <w:t>25</w:t>
      </w:r>
      <w:r>
        <w:rPr>
          <w:rFonts w:hint="default" w:ascii="宋体" w:hAnsi="宋体" w:cs="宋体"/>
          <w:color w:val="auto"/>
          <w:sz w:val="21"/>
          <w:szCs w:val="21"/>
          <w:highlight w:val="none"/>
          <w:lang w:val="en-US" w:eastAsia="zh-CN"/>
        </w:rPr>
        <w:t>日历天内交货并完成调试，如不能如期供货，采购人有权终止合同，中标</w:t>
      </w:r>
      <w:r>
        <w:rPr>
          <w:rFonts w:hint="eastAsia" w:ascii="宋体" w:hAnsi="宋体" w:cs="宋体"/>
          <w:color w:val="auto"/>
          <w:sz w:val="21"/>
          <w:szCs w:val="21"/>
          <w:highlight w:val="none"/>
          <w:lang w:val="en-US" w:eastAsia="zh-CN"/>
        </w:rPr>
        <w:t>响应人</w:t>
      </w:r>
      <w:r>
        <w:rPr>
          <w:rFonts w:hint="default" w:ascii="宋体" w:hAnsi="宋体" w:cs="宋体"/>
          <w:color w:val="auto"/>
          <w:sz w:val="21"/>
          <w:szCs w:val="21"/>
          <w:highlight w:val="none"/>
          <w:lang w:val="en-US" w:eastAsia="zh-CN"/>
        </w:rPr>
        <w:t>须承担由此对采购人造成的损失。</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7.本项目不接受联合体投标。</w:t>
      </w:r>
    </w:p>
    <w:p>
      <w:pPr>
        <w:keepNext w:val="0"/>
        <w:keepLines w:val="0"/>
        <w:pageBreakBefore w:val="0"/>
        <w:widowControl/>
        <w:kinsoku/>
        <w:wordWrap/>
        <w:overflowPunct/>
        <w:topLinePunct w:val="0"/>
        <w:autoSpaceDE/>
        <w:autoSpaceDN/>
        <w:bidi w:val="0"/>
        <w:spacing w:line="420" w:lineRule="exact"/>
        <w:jc w:val="left"/>
        <w:textAlignment w:val="auto"/>
        <w:rPr>
          <w:rFonts w:ascii="宋体" w:hAnsi="宋体" w:cs="宋体"/>
          <w:b/>
          <w:color w:val="auto"/>
          <w:sz w:val="21"/>
          <w:szCs w:val="21"/>
          <w:highlight w:val="none"/>
        </w:rPr>
      </w:pPr>
      <w:r>
        <w:rPr>
          <w:rFonts w:hint="eastAsia" w:ascii="宋体" w:hAnsi="宋体" w:cs="宋体"/>
          <w:b/>
          <w:color w:val="auto"/>
          <w:sz w:val="21"/>
          <w:szCs w:val="21"/>
          <w:highlight w:val="none"/>
        </w:rPr>
        <w:t>二、申请人的资格要求：</w:t>
      </w:r>
    </w:p>
    <w:p>
      <w:pPr>
        <w:keepNext w:val="0"/>
        <w:keepLines w:val="0"/>
        <w:pageBreakBefore w:val="0"/>
        <w:kinsoku/>
        <w:wordWrap/>
        <w:overflowPunct/>
        <w:topLinePunct w:val="0"/>
        <w:autoSpaceDE/>
        <w:autoSpaceDN/>
        <w:bidi w:val="0"/>
        <w:adjustRightInd w:val="0"/>
        <w:snapToGrid w:val="0"/>
        <w:spacing w:line="420" w:lineRule="exact"/>
        <w:ind w:firstLine="420" w:firstLineChars="200"/>
        <w:textAlignment w:val="auto"/>
        <w:rPr>
          <w:rFonts w:asciiTheme="majorEastAsia" w:hAnsiTheme="majorEastAsia" w:eastAsiaTheme="majorEastAsia"/>
          <w:bCs/>
          <w:color w:val="auto"/>
          <w:sz w:val="21"/>
          <w:szCs w:val="21"/>
          <w:highlight w:val="none"/>
        </w:rPr>
      </w:pPr>
      <w:r>
        <w:rPr>
          <w:rFonts w:hint="eastAsia" w:asciiTheme="majorEastAsia" w:hAnsiTheme="majorEastAsia" w:eastAsiaTheme="majorEastAsia"/>
          <w:bCs/>
          <w:color w:val="auto"/>
          <w:sz w:val="21"/>
          <w:szCs w:val="21"/>
          <w:highlight w:val="none"/>
        </w:rPr>
        <w:t>1.未被“信用中国”网站（www.creditchina.gov.cn）列入失信被执行人、重大税收违法案件当事人名单、政府采购严重失信行为记录名单；</w:t>
      </w:r>
    </w:p>
    <w:p>
      <w:pPr>
        <w:keepNext w:val="0"/>
        <w:keepLines w:val="0"/>
        <w:pageBreakBefore w:val="0"/>
        <w:kinsoku/>
        <w:wordWrap/>
        <w:overflowPunct/>
        <w:topLinePunct w:val="0"/>
        <w:autoSpaceDE/>
        <w:autoSpaceDN/>
        <w:bidi w:val="0"/>
        <w:adjustRightInd w:val="0"/>
        <w:snapToGrid w:val="0"/>
        <w:spacing w:line="420" w:lineRule="exact"/>
        <w:ind w:firstLine="420" w:firstLineChars="200"/>
        <w:textAlignment w:val="auto"/>
        <w:rPr>
          <w:rFonts w:asciiTheme="majorEastAsia" w:hAnsiTheme="majorEastAsia" w:eastAsiaTheme="majorEastAsia"/>
          <w:bCs/>
          <w:color w:val="auto"/>
          <w:sz w:val="21"/>
          <w:szCs w:val="21"/>
          <w:highlight w:val="none"/>
        </w:rPr>
      </w:pPr>
      <w:r>
        <w:rPr>
          <w:rFonts w:hint="eastAsia" w:asciiTheme="majorEastAsia" w:hAnsiTheme="majorEastAsia" w:eastAsiaTheme="majorEastAsia"/>
          <w:bCs/>
          <w:color w:val="auto"/>
          <w:sz w:val="21"/>
          <w:szCs w:val="21"/>
          <w:highlight w:val="none"/>
        </w:rPr>
        <w:t>2.单位负责人为同一人或者存在直接控股、管理关系的不同</w:t>
      </w:r>
      <w:r>
        <w:rPr>
          <w:rFonts w:hint="eastAsia" w:asciiTheme="majorEastAsia" w:hAnsiTheme="majorEastAsia" w:eastAsiaTheme="majorEastAsia"/>
          <w:bCs/>
          <w:color w:val="auto"/>
          <w:sz w:val="21"/>
          <w:szCs w:val="21"/>
          <w:highlight w:val="none"/>
          <w:lang w:eastAsia="zh-CN"/>
        </w:rPr>
        <w:t>响应人</w:t>
      </w:r>
      <w:r>
        <w:rPr>
          <w:rFonts w:hint="eastAsia" w:asciiTheme="majorEastAsia" w:hAnsiTheme="majorEastAsia" w:eastAsiaTheme="majorEastAsia"/>
          <w:bCs/>
          <w:color w:val="auto"/>
          <w:sz w:val="21"/>
          <w:szCs w:val="21"/>
          <w:highlight w:val="none"/>
        </w:rPr>
        <w:t>（包含法定代表人（负责人）为同一个人的两个及两个以上法人，母公司、全资子公司及其控股公司），不得参加同一项合同下的采购活动；</w:t>
      </w:r>
    </w:p>
    <w:p>
      <w:pPr>
        <w:keepNext w:val="0"/>
        <w:keepLines w:val="0"/>
        <w:pageBreakBefore w:val="0"/>
        <w:widowControl/>
        <w:kinsoku/>
        <w:wordWrap/>
        <w:overflowPunct/>
        <w:topLinePunct w:val="0"/>
        <w:autoSpaceDE/>
        <w:autoSpaceDN/>
        <w:bidi w:val="0"/>
        <w:spacing w:line="420" w:lineRule="exact"/>
        <w:ind w:firstLine="422" w:firstLineChars="200"/>
        <w:jc w:val="left"/>
        <w:textAlignment w:val="auto"/>
        <w:rPr>
          <w:rFonts w:ascii="宋体" w:hAnsi="宋体" w:cs="宋体"/>
          <w:b/>
          <w:color w:val="auto"/>
          <w:kern w:val="0"/>
          <w:sz w:val="21"/>
          <w:szCs w:val="21"/>
          <w:highlight w:val="none"/>
        </w:rPr>
      </w:pPr>
      <w:r>
        <w:rPr>
          <w:rFonts w:hint="eastAsia" w:ascii="宋体" w:hAnsi="宋体" w:cs="宋体"/>
          <w:b/>
          <w:color w:val="auto"/>
          <w:sz w:val="21"/>
          <w:szCs w:val="21"/>
          <w:highlight w:val="none"/>
        </w:rPr>
        <w:t>三、获取磋商文件</w:t>
      </w:r>
    </w:p>
    <w:p>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1.时间：</w:t>
      </w:r>
      <w:r>
        <w:rPr>
          <w:rFonts w:hint="eastAsia" w:ascii="宋体" w:hAnsi="宋体" w:cs="宋体"/>
          <w:color w:val="auto"/>
          <w:sz w:val="21"/>
          <w:szCs w:val="21"/>
          <w:highlight w:val="none"/>
          <w:lang w:eastAsia="zh-CN"/>
        </w:rPr>
        <w:t>2023年2月</w:t>
      </w:r>
      <w:r>
        <w:rPr>
          <w:rFonts w:hint="eastAsia" w:ascii="宋体" w:hAnsi="宋体" w:cs="宋体"/>
          <w:color w:val="auto"/>
          <w:sz w:val="21"/>
          <w:szCs w:val="21"/>
          <w:highlight w:val="none"/>
          <w:lang w:val="en-US" w:eastAsia="zh-CN"/>
        </w:rPr>
        <w:t>23</w:t>
      </w:r>
      <w:r>
        <w:rPr>
          <w:rFonts w:hint="eastAsia" w:ascii="宋体" w:hAnsi="宋体" w:cs="宋体"/>
          <w:color w:val="auto"/>
          <w:sz w:val="21"/>
          <w:szCs w:val="21"/>
          <w:highlight w:val="none"/>
        </w:rPr>
        <w:t>日至</w:t>
      </w:r>
      <w:r>
        <w:rPr>
          <w:rFonts w:hint="eastAsia" w:ascii="宋体" w:hAnsi="宋体" w:cs="宋体"/>
          <w:color w:val="auto"/>
          <w:sz w:val="21"/>
          <w:szCs w:val="21"/>
          <w:highlight w:val="none"/>
          <w:lang w:eastAsia="zh-CN"/>
        </w:rPr>
        <w:t>2023年</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月</w:t>
      </w: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rPr>
        <w:t>日，每天上午8:30至11:00，下午14:30至17:00（北京时间，法定节假日除外）；</w:t>
      </w:r>
    </w:p>
    <w:p>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2.方式：</w:t>
      </w:r>
      <w:r>
        <w:rPr>
          <w:rFonts w:hint="eastAsia" w:ascii="宋体" w:hAnsi="宋体" w:cs="宋体"/>
          <w:color w:val="auto"/>
          <w:sz w:val="21"/>
          <w:szCs w:val="21"/>
          <w:highlight w:val="none"/>
          <w:lang w:val="zh-CN"/>
        </w:rPr>
        <w:t>本项目实行网上报名【网上报名方式</w:t>
      </w:r>
      <w:r>
        <w:rPr>
          <w:rFonts w:hint="eastAsia" w:ascii="宋体" w:hAnsi="宋体" w:cs="宋体"/>
          <w:color w:val="auto"/>
          <w:sz w:val="21"/>
          <w:szCs w:val="21"/>
          <w:highlight w:val="none"/>
        </w:rPr>
        <w:t>：</w:t>
      </w:r>
      <w:r>
        <w:rPr>
          <w:rFonts w:hint="eastAsia" w:ascii="宋体" w:hAnsi="宋体" w:cs="宋体"/>
          <w:color w:val="auto"/>
          <w:sz w:val="21"/>
          <w:szCs w:val="21"/>
          <w:highlight w:val="none"/>
          <w:lang w:val="zh-CN"/>
        </w:rPr>
        <w:t>各响应人须将填写完整并由法定代表人</w:t>
      </w:r>
      <w:r>
        <w:rPr>
          <w:rFonts w:hint="eastAsia" w:ascii="宋体" w:hAnsi="宋体" w:cs="宋体"/>
          <w:color w:val="auto"/>
          <w:sz w:val="21"/>
          <w:szCs w:val="21"/>
          <w:highlight w:val="none"/>
        </w:rPr>
        <w:t>或委托代理人</w:t>
      </w:r>
      <w:r>
        <w:rPr>
          <w:rFonts w:hint="eastAsia" w:ascii="宋体" w:hAnsi="宋体" w:cs="宋体"/>
          <w:color w:val="auto"/>
          <w:sz w:val="21"/>
          <w:szCs w:val="21"/>
          <w:highlight w:val="none"/>
          <w:lang w:val="zh-CN"/>
        </w:rPr>
        <w:t>亲自签署、</w:t>
      </w:r>
      <w:r>
        <w:rPr>
          <w:color w:val="auto"/>
          <w:sz w:val="21"/>
          <w:szCs w:val="21"/>
          <w:highlight w:val="none"/>
        </w:rPr>
        <w:fldChar w:fldCharType="begin"/>
      </w:r>
      <w:r>
        <w:rPr>
          <w:color w:val="auto"/>
          <w:sz w:val="21"/>
          <w:szCs w:val="21"/>
          <w:highlight w:val="none"/>
        </w:rPr>
        <w:instrText xml:space="preserve"> HYPERLINK "mailto:加盖投标单位公章的投标报名资料扫描成PDF版发送至邮箱774551209@qq.com，并电话联系0519-82353405确认】。报名时间：2020年3月" </w:instrText>
      </w:r>
      <w:r>
        <w:rPr>
          <w:color w:val="auto"/>
          <w:sz w:val="21"/>
          <w:szCs w:val="21"/>
          <w:highlight w:val="none"/>
        </w:rPr>
        <w:fldChar w:fldCharType="separate"/>
      </w:r>
      <w:r>
        <w:rPr>
          <w:rFonts w:hint="eastAsia" w:ascii="宋体" w:hAnsi="宋体" w:cs="宋体"/>
          <w:color w:val="auto"/>
          <w:sz w:val="21"/>
          <w:szCs w:val="21"/>
          <w:highlight w:val="none"/>
          <w:lang w:val="zh-CN"/>
        </w:rPr>
        <w:t>加盖响应人公章的报名资料扫描成</w:t>
      </w:r>
      <w:r>
        <w:rPr>
          <w:rFonts w:hint="eastAsia" w:ascii="宋体" w:hAnsi="宋体" w:cs="宋体"/>
          <w:color w:val="auto"/>
          <w:sz w:val="21"/>
          <w:szCs w:val="21"/>
          <w:highlight w:val="none"/>
        </w:rPr>
        <w:t>PDF</w:t>
      </w:r>
      <w:r>
        <w:rPr>
          <w:rFonts w:hint="eastAsia" w:ascii="宋体" w:hAnsi="宋体" w:cs="宋体"/>
          <w:color w:val="auto"/>
          <w:sz w:val="21"/>
          <w:szCs w:val="21"/>
          <w:highlight w:val="none"/>
          <w:lang w:val="zh-CN"/>
        </w:rPr>
        <w:t>版发送至</w:t>
      </w:r>
      <w:r>
        <w:rPr>
          <w:rFonts w:hint="eastAsia" w:ascii="宋体" w:hAnsi="宋体" w:cs="宋体"/>
          <w:color w:val="auto"/>
          <w:sz w:val="21"/>
          <w:szCs w:val="21"/>
          <w:highlight w:val="none"/>
        </w:rPr>
        <w:t>招标代理</w:t>
      </w:r>
      <w:r>
        <w:rPr>
          <w:rFonts w:hint="eastAsia" w:ascii="宋体" w:hAnsi="宋体" w:cs="宋体"/>
          <w:color w:val="auto"/>
          <w:sz w:val="21"/>
          <w:szCs w:val="21"/>
          <w:highlight w:val="none"/>
          <w:lang w:val="zh-CN"/>
        </w:rPr>
        <w:t>邮箱</w:t>
      </w:r>
      <w:r>
        <w:rPr>
          <w:rFonts w:hint="eastAsia" w:ascii="宋体" w:hAnsi="宋体" w:cs="宋体"/>
          <w:color w:val="auto"/>
          <w:sz w:val="21"/>
          <w:szCs w:val="21"/>
          <w:highlight w:val="none"/>
        </w:rPr>
        <w:t>774551209@qq.com，</w:t>
      </w:r>
      <w:r>
        <w:rPr>
          <w:rFonts w:hint="eastAsia" w:ascii="宋体" w:hAnsi="宋体" w:cs="宋体"/>
          <w:color w:val="auto"/>
          <w:sz w:val="21"/>
          <w:szCs w:val="21"/>
          <w:highlight w:val="none"/>
          <w:lang w:val="zh-CN"/>
        </w:rPr>
        <w:t>并电话联系</w:t>
      </w:r>
      <w:r>
        <w:rPr>
          <w:rFonts w:hint="eastAsia" w:ascii="宋体" w:hAnsi="宋体" w:cs="宋体"/>
          <w:color w:val="auto"/>
          <w:sz w:val="21"/>
          <w:szCs w:val="21"/>
          <w:highlight w:val="none"/>
        </w:rPr>
        <w:t>0519-82353405</w:t>
      </w:r>
      <w:r>
        <w:rPr>
          <w:rFonts w:hint="eastAsia" w:ascii="宋体" w:hAnsi="宋体" w:cs="宋体"/>
          <w:color w:val="auto"/>
          <w:sz w:val="21"/>
          <w:szCs w:val="21"/>
          <w:highlight w:val="none"/>
          <w:lang w:val="zh-CN"/>
        </w:rPr>
        <w:t>确认】。</w:t>
      </w:r>
      <w:r>
        <w:rPr>
          <w:rFonts w:hint="eastAsia" w:ascii="宋体" w:hAnsi="宋体" w:cs="宋体"/>
          <w:color w:val="auto"/>
          <w:sz w:val="21"/>
          <w:szCs w:val="21"/>
          <w:highlight w:val="none"/>
          <w:lang w:val="zh-CN"/>
        </w:rPr>
        <w:fldChar w:fldCharType="end"/>
      </w:r>
    </w:p>
    <w:p>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ascii="宋体" w:hAnsi="宋体" w:cs="宋体"/>
          <w:color w:val="auto"/>
          <w:sz w:val="21"/>
          <w:szCs w:val="21"/>
          <w:highlight w:val="none"/>
          <w:lang w:val="zh-CN"/>
        </w:rPr>
      </w:pPr>
      <w:r>
        <w:rPr>
          <w:rFonts w:hint="eastAsia" w:ascii="宋体" w:hAnsi="宋体" w:cs="宋体"/>
          <w:color w:val="auto"/>
          <w:sz w:val="21"/>
          <w:szCs w:val="21"/>
          <w:highlight w:val="none"/>
        </w:rPr>
        <w:t>3.售价：人民币伍佰</w:t>
      </w:r>
      <w:r>
        <w:rPr>
          <w:rFonts w:hint="eastAsia" w:ascii="宋体" w:hAnsi="宋体" w:cs="宋体"/>
          <w:color w:val="auto"/>
          <w:sz w:val="21"/>
          <w:szCs w:val="21"/>
          <w:highlight w:val="none"/>
          <w:lang w:val="zh-CN"/>
        </w:rPr>
        <w:t>元/份，于递交响应文件的同时支付给招标代理单位，</w:t>
      </w:r>
      <w:r>
        <w:rPr>
          <w:rFonts w:hint="eastAsia" w:ascii="宋体" w:hAnsi="宋体" w:cs="宋体"/>
          <w:color w:val="auto"/>
          <w:sz w:val="21"/>
          <w:szCs w:val="21"/>
          <w:highlight w:val="none"/>
          <w:lang w:val="en-US" w:eastAsia="zh-CN"/>
        </w:rPr>
        <w:t>未报名的不得参与本项目的磋商</w:t>
      </w:r>
      <w:r>
        <w:rPr>
          <w:rFonts w:hint="eastAsia" w:ascii="宋体" w:hAnsi="宋体" w:cs="宋体"/>
          <w:color w:val="auto"/>
          <w:sz w:val="21"/>
          <w:szCs w:val="21"/>
          <w:highlight w:val="none"/>
          <w:lang w:val="zh-CN"/>
        </w:rPr>
        <w:t>。</w:t>
      </w:r>
    </w:p>
    <w:p>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4.报名时需携带的资料：</w:t>
      </w:r>
    </w:p>
    <w:p>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（1）报名申请</w:t>
      </w:r>
      <w:r>
        <w:rPr>
          <w:rFonts w:hint="eastAsia" w:ascii="宋体" w:hAnsi="宋体" w:cs="宋体"/>
          <w:color w:val="auto"/>
          <w:sz w:val="21"/>
          <w:szCs w:val="21"/>
          <w:highlight w:val="none"/>
          <w:lang w:val="en-US" w:eastAsia="zh-CN"/>
        </w:rPr>
        <w:t>书</w:t>
      </w:r>
      <w:r>
        <w:rPr>
          <w:rFonts w:hint="eastAsia" w:ascii="宋体" w:hAnsi="宋体" w:cs="宋体"/>
          <w:color w:val="auto"/>
          <w:sz w:val="21"/>
          <w:szCs w:val="21"/>
          <w:highlight w:val="none"/>
        </w:rPr>
        <w:t>；</w:t>
      </w:r>
    </w:p>
    <w:p>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（2）企业营业执照；</w:t>
      </w:r>
    </w:p>
    <w:p>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（3）法定代表人资格证明书及本人身份证；或授权委托书及委托代理人身份证；</w:t>
      </w:r>
    </w:p>
    <w:p>
      <w:pPr>
        <w:keepNext w:val="0"/>
        <w:keepLines w:val="0"/>
        <w:pageBreakBefore w:val="0"/>
        <w:widowControl/>
        <w:kinsoku/>
        <w:wordWrap/>
        <w:overflowPunct/>
        <w:topLinePunct w:val="0"/>
        <w:autoSpaceDE/>
        <w:autoSpaceDN/>
        <w:bidi w:val="0"/>
        <w:spacing w:line="420" w:lineRule="exact"/>
        <w:jc w:val="left"/>
        <w:textAlignment w:val="auto"/>
        <w:rPr>
          <w:rFonts w:ascii="宋体" w:hAnsi="宋体" w:cs="宋体"/>
          <w:b/>
          <w:color w:val="auto"/>
          <w:kern w:val="0"/>
          <w:sz w:val="21"/>
          <w:szCs w:val="21"/>
          <w:highlight w:val="none"/>
        </w:rPr>
      </w:pPr>
      <w:r>
        <w:rPr>
          <w:rFonts w:hint="eastAsia" w:ascii="宋体" w:hAnsi="宋体" w:cs="宋体"/>
          <w:b/>
          <w:color w:val="auto"/>
          <w:sz w:val="21"/>
          <w:szCs w:val="21"/>
          <w:highlight w:val="none"/>
        </w:rPr>
        <w:t>四、响应文件提交</w:t>
      </w:r>
    </w:p>
    <w:p>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截止时间：</w:t>
      </w:r>
      <w:r>
        <w:rPr>
          <w:rFonts w:hint="eastAsia" w:ascii="宋体" w:hAnsi="宋体" w:cs="宋体"/>
          <w:color w:val="auto"/>
          <w:sz w:val="21"/>
          <w:szCs w:val="21"/>
          <w:highlight w:val="none"/>
          <w:lang w:eastAsia="zh-CN"/>
        </w:rPr>
        <w:t>2023年</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月</w:t>
      </w:r>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lang w:eastAsia="zh-CN"/>
        </w:rPr>
        <w:t>日</w:t>
      </w:r>
      <w:r>
        <w:rPr>
          <w:rFonts w:hint="eastAsia" w:ascii="宋体" w:hAnsi="宋体" w:cs="宋体"/>
          <w:color w:val="auto"/>
          <w:sz w:val="21"/>
          <w:szCs w:val="21"/>
          <w:highlight w:val="none"/>
          <w:lang w:val="en-US" w:eastAsia="zh-CN"/>
        </w:rPr>
        <w:t>14点30分</w:t>
      </w:r>
      <w:r>
        <w:rPr>
          <w:rFonts w:hint="eastAsia" w:ascii="宋体" w:hAnsi="宋体" w:cs="宋体"/>
          <w:color w:val="auto"/>
          <w:sz w:val="21"/>
          <w:szCs w:val="21"/>
          <w:highlight w:val="none"/>
        </w:rPr>
        <w:t>（北京时间）；</w:t>
      </w:r>
    </w:p>
    <w:p>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地点：常州市金坛区金山路168号--常州市金坛区市民中心</w:t>
      </w:r>
      <w:r>
        <w:rPr>
          <w:rFonts w:hint="eastAsia" w:ascii="宋体" w:hAnsi="宋体" w:cs="宋体"/>
          <w:color w:val="auto"/>
          <w:sz w:val="21"/>
          <w:szCs w:val="21"/>
          <w:highlight w:val="none"/>
          <w:lang w:eastAsia="zh-CN"/>
        </w:rPr>
        <w:t>C栋0503室</w:t>
      </w:r>
      <w:r>
        <w:rPr>
          <w:rFonts w:hint="eastAsia" w:ascii="宋体" w:hAnsi="宋体" w:cs="宋体"/>
          <w:color w:val="auto"/>
          <w:sz w:val="21"/>
          <w:szCs w:val="21"/>
          <w:highlight w:val="none"/>
        </w:rPr>
        <w:t>。</w:t>
      </w:r>
    </w:p>
    <w:p>
      <w:pPr>
        <w:keepNext w:val="0"/>
        <w:keepLines w:val="0"/>
        <w:pageBreakBefore w:val="0"/>
        <w:widowControl/>
        <w:kinsoku/>
        <w:wordWrap/>
        <w:overflowPunct/>
        <w:topLinePunct w:val="0"/>
        <w:autoSpaceDE/>
        <w:autoSpaceDN/>
        <w:bidi w:val="0"/>
        <w:spacing w:line="420" w:lineRule="exact"/>
        <w:jc w:val="left"/>
        <w:textAlignment w:val="auto"/>
        <w:rPr>
          <w:rFonts w:ascii="宋体" w:hAnsi="宋体" w:cs="宋体"/>
          <w:b/>
          <w:color w:val="auto"/>
          <w:kern w:val="0"/>
          <w:sz w:val="21"/>
          <w:szCs w:val="21"/>
          <w:highlight w:val="none"/>
        </w:rPr>
      </w:pPr>
      <w:r>
        <w:rPr>
          <w:rFonts w:hint="eastAsia" w:ascii="宋体" w:hAnsi="宋体" w:cs="宋体"/>
          <w:b/>
          <w:color w:val="auto"/>
          <w:sz w:val="21"/>
          <w:szCs w:val="21"/>
          <w:highlight w:val="none"/>
        </w:rPr>
        <w:t>五、开启</w:t>
      </w:r>
    </w:p>
    <w:p>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ascii="宋体" w:hAnsi="宋体" w:cs="宋体"/>
          <w:color w:val="auto"/>
          <w:kern w:val="0"/>
          <w:sz w:val="21"/>
          <w:szCs w:val="21"/>
          <w:highlight w:val="none"/>
        </w:rPr>
      </w:pPr>
      <w:r>
        <w:rPr>
          <w:rFonts w:hint="eastAsia" w:ascii="宋体" w:hAnsi="宋体" w:cs="宋体"/>
          <w:color w:val="auto"/>
          <w:sz w:val="21"/>
          <w:szCs w:val="21"/>
          <w:highlight w:val="none"/>
        </w:rPr>
        <w:t>时间：</w:t>
      </w:r>
      <w:r>
        <w:rPr>
          <w:rFonts w:hint="eastAsia" w:ascii="宋体" w:hAnsi="宋体" w:cs="宋体"/>
          <w:color w:val="auto"/>
          <w:sz w:val="21"/>
          <w:szCs w:val="21"/>
          <w:highlight w:val="none"/>
          <w:lang w:eastAsia="zh-CN"/>
        </w:rPr>
        <w:t>2023年</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月</w:t>
      </w:r>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lang w:eastAsia="zh-CN"/>
        </w:rPr>
        <w:t>日</w:t>
      </w:r>
      <w:r>
        <w:rPr>
          <w:rFonts w:hint="eastAsia" w:ascii="宋体" w:hAnsi="宋体" w:cs="宋体"/>
          <w:color w:val="auto"/>
          <w:sz w:val="21"/>
          <w:szCs w:val="21"/>
          <w:highlight w:val="none"/>
          <w:lang w:val="en-US" w:eastAsia="zh-CN"/>
        </w:rPr>
        <w:t>14点30分</w:t>
      </w:r>
      <w:r>
        <w:rPr>
          <w:rFonts w:hint="eastAsia" w:ascii="宋体" w:hAnsi="宋体" w:cs="宋体"/>
          <w:color w:val="auto"/>
          <w:sz w:val="21"/>
          <w:szCs w:val="21"/>
          <w:highlight w:val="none"/>
        </w:rPr>
        <w:t>（北京时间）；</w:t>
      </w:r>
    </w:p>
    <w:p>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地点：常州市金坛区金山路168号--常州市金坛区市民中心</w:t>
      </w:r>
      <w:r>
        <w:rPr>
          <w:rFonts w:hint="eastAsia" w:ascii="宋体" w:hAnsi="宋体" w:cs="宋体"/>
          <w:color w:val="auto"/>
          <w:sz w:val="21"/>
          <w:szCs w:val="21"/>
          <w:highlight w:val="none"/>
          <w:lang w:eastAsia="zh-CN"/>
        </w:rPr>
        <w:t>C栋0503室</w:t>
      </w:r>
      <w:r>
        <w:rPr>
          <w:rFonts w:hint="eastAsia" w:ascii="宋体" w:hAnsi="宋体" w:cs="宋体"/>
          <w:color w:val="auto"/>
          <w:sz w:val="21"/>
          <w:szCs w:val="21"/>
          <w:highlight w:val="none"/>
        </w:rPr>
        <w:t>。</w:t>
      </w:r>
    </w:p>
    <w:p>
      <w:pPr>
        <w:keepNext w:val="0"/>
        <w:keepLines w:val="0"/>
        <w:pageBreakBefore w:val="0"/>
        <w:widowControl/>
        <w:kinsoku/>
        <w:wordWrap/>
        <w:overflowPunct/>
        <w:topLinePunct w:val="0"/>
        <w:autoSpaceDE/>
        <w:autoSpaceDN/>
        <w:bidi w:val="0"/>
        <w:spacing w:line="420" w:lineRule="exact"/>
        <w:textAlignment w:val="auto"/>
        <w:rPr>
          <w:rFonts w:ascii="宋体" w:hAnsi="宋体" w:cs="宋体"/>
          <w:b/>
          <w:bCs/>
          <w:color w:val="auto"/>
          <w:sz w:val="21"/>
          <w:szCs w:val="21"/>
          <w:highlight w:val="none"/>
        </w:rPr>
      </w:pPr>
      <w:r>
        <w:rPr>
          <w:rFonts w:hint="eastAsia" w:ascii="宋体" w:hAnsi="宋体" w:cs="宋体"/>
          <w:b/>
          <w:bCs/>
          <w:color w:val="auto"/>
          <w:sz w:val="21"/>
          <w:szCs w:val="21"/>
          <w:highlight w:val="none"/>
        </w:rPr>
        <w:t>六、公告期限</w:t>
      </w:r>
    </w:p>
    <w:p>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ascii="宋体" w:hAnsi="宋体" w:cs="宋体"/>
          <w:color w:val="auto"/>
          <w:kern w:val="0"/>
          <w:sz w:val="21"/>
          <w:szCs w:val="21"/>
          <w:highlight w:val="none"/>
        </w:rPr>
      </w:pPr>
      <w:r>
        <w:rPr>
          <w:rFonts w:hint="eastAsia" w:ascii="宋体" w:hAnsi="宋体" w:cs="宋体"/>
          <w:color w:val="auto"/>
          <w:kern w:val="0"/>
          <w:sz w:val="21"/>
          <w:szCs w:val="21"/>
          <w:highlight w:val="none"/>
        </w:rPr>
        <w:t>自本公告发布之日起5个工作日。</w:t>
      </w:r>
    </w:p>
    <w:p>
      <w:pPr>
        <w:keepNext w:val="0"/>
        <w:keepLines w:val="0"/>
        <w:pageBreakBefore w:val="0"/>
        <w:widowControl/>
        <w:kinsoku/>
        <w:wordWrap/>
        <w:overflowPunct/>
        <w:topLinePunct w:val="0"/>
        <w:autoSpaceDE/>
        <w:autoSpaceDN/>
        <w:bidi w:val="0"/>
        <w:spacing w:line="420" w:lineRule="exact"/>
        <w:jc w:val="left"/>
        <w:textAlignment w:val="auto"/>
        <w:rPr>
          <w:rFonts w:hint="default" w:ascii="宋体" w:hAnsi="宋体" w:cs="宋体"/>
          <w:b/>
          <w:bCs w:val="0"/>
          <w:color w:val="auto"/>
          <w:sz w:val="21"/>
          <w:szCs w:val="21"/>
          <w:highlight w:val="none"/>
          <w:lang w:val="en-US" w:eastAsia="zh-CN"/>
        </w:rPr>
      </w:pPr>
      <w:bookmarkStart w:id="0" w:name="_Toc35393635"/>
      <w:bookmarkStart w:id="1" w:name="_Toc35393804"/>
      <w:r>
        <w:rPr>
          <w:rFonts w:hint="eastAsia" w:ascii="宋体" w:hAnsi="宋体" w:cs="宋体"/>
          <w:b/>
          <w:bCs w:val="0"/>
          <w:color w:val="auto"/>
          <w:sz w:val="21"/>
          <w:szCs w:val="21"/>
          <w:highlight w:val="none"/>
          <w:lang w:val="en-US" w:eastAsia="zh-CN"/>
        </w:rPr>
        <w:t>七、特别注意</w:t>
      </w:r>
    </w:p>
    <w:p>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hint="default" w:ascii="宋体" w:hAnsi="宋体" w:eastAsia="宋体" w:cs="宋体"/>
          <w:b w:val="0"/>
          <w:bCs/>
          <w:color w:val="auto"/>
          <w:sz w:val="21"/>
          <w:szCs w:val="21"/>
          <w:highlight w:val="none"/>
          <w:lang w:val="en-US" w:eastAsia="zh-CN"/>
        </w:rPr>
      </w:pPr>
      <w:r>
        <w:rPr>
          <w:rFonts w:hint="eastAsia" w:ascii="宋体" w:hAnsi="宋体" w:cs="宋体"/>
          <w:b w:val="0"/>
          <w:bCs/>
          <w:color w:val="auto"/>
          <w:sz w:val="21"/>
          <w:szCs w:val="21"/>
          <w:highlight w:val="none"/>
          <w:lang w:val="en-US" w:eastAsia="zh-CN"/>
        </w:rPr>
        <w:t>本项目需携带样品参与投标；中标供应商的样品将留下封存，作为验收的标准之一。未中标单位的样品将直接退还。样品提交截止时间同</w:t>
      </w:r>
      <w:r>
        <w:rPr>
          <w:rFonts w:hint="eastAsia" w:ascii="宋体" w:hAnsi="宋体" w:cs="宋体"/>
          <w:b w:val="0"/>
          <w:bCs/>
          <w:color w:val="auto"/>
          <w:sz w:val="21"/>
          <w:szCs w:val="21"/>
          <w:highlight w:val="none"/>
        </w:rPr>
        <w:t>响应文件</w:t>
      </w:r>
      <w:r>
        <w:rPr>
          <w:rFonts w:hint="eastAsia" w:ascii="宋体" w:hAnsi="宋体" w:cs="宋体"/>
          <w:b w:val="0"/>
          <w:bCs/>
          <w:color w:val="auto"/>
          <w:sz w:val="21"/>
          <w:szCs w:val="21"/>
          <w:highlight w:val="none"/>
          <w:lang w:val="en-US" w:eastAsia="zh-CN"/>
        </w:rPr>
        <w:t>提交截止时间，样品清单及产品标准详见附件2。</w:t>
      </w:r>
    </w:p>
    <w:bookmarkEnd w:id="0"/>
    <w:bookmarkEnd w:id="1"/>
    <w:p>
      <w:pPr>
        <w:keepNext w:val="0"/>
        <w:keepLines w:val="0"/>
        <w:pageBreakBefore w:val="0"/>
        <w:widowControl/>
        <w:kinsoku/>
        <w:wordWrap/>
        <w:overflowPunct/>
        <w:topLinePunct w:val="0"/>
        <w:autoSpaceDE/>
        <w:autoSpaceDN/>
        <w:bidi w:val="0"/>
        <w:spacing w:line="420" w:lineRule="exact"/>
        <w:jc w:val="left"/>
        <w:textAlignment w:val="auto"/>
        <w:rPr>
          <w:rFonts w:ascii="宋体" w:hAnsi="宋体" w:cs="宋体"/>
          <w:b/>
          <w:color w:val="auto"/>
          <w:sz w:val="21"/>
          <w:szCs w:val="21"/>
          <w:highlight w:val="none"/>
        </w:rPr>
      </w:pPr>
      <w:bookmarkStart w:id="2" w:name="_Toc35393636"/>
      <w:bookmarkStart w:id="3" w:name="_Toc35393805"/>
      <w:bookmarkStart w:id="4" w:name="_Toc28359018"/>
      <w:bookmarkStart w:id="5" w:name="_Toc28359095"/>
      <w:r>
        <w:rPr>
          <w:rFonts w:hint="eastAsia" w:ascii="宋体" w:hAnsi="宋体" w:cs="宋体"/>
          <w:b/>
          <w:color w:val="auto"/>
          <w:sz w:val="21"/>
          <w:szCs w:val="21"/>
          <w:highlight w:val="none"/>
          <w:lang w:val="en-US" w:eastAsia="zh-CN"/>
        </w:rPr>
        <w:t>八</w:t>
      </w:r>
      <w:r>
        <w:rPr>
          <w:rFonts w:hint="eastAsia" w:ascii="宋体" w:hAnsi="宋体" w:cs="宋体"/>
          <w:b/>
          <w:color w:val="auto"/>
          <w:sz w:val="21"/>
          <w:szCs w:val="21"/>
          <w:highlight w:val="none"/>
        </w:rPr>
        <w:t>、凡对本次采购提出询问，请按以下方式联系。</w:t>
      </w:r>
      <w:bookmarkEnd w:id="2"/>
      <w:bookmarkEnd w:id="3"/>
      <w:bookmarkEnd w:id="4"/>
      <w:bookmarkEnd w:id="5"/>
    </w:p>
    <w:p>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1.采购人信息</w:t>
      </w:r>
    </w:p>
    <w:p>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名    称：</w:t>
      </w:r>
      <w:r>
        <w:rPr>
          <w:rFonts w:hint="eastAsia" w:ascii="宋体" w:hAnsi="宋体" w:cs="宋体"/>
          <w:color w:val="auto"/>
          <w:sz w:val="21"/>
          <w:szCs w:val="21"/>
          <w:highlight w:val="none"/>
          <w:lang w:eastAsia="zh-CN"/>
        </w:rPr>
        <w:t>江苏金坛滨湖新城开发建设有限公司</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地    址：常州市金坛区</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联系方式：0519-82692989  </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2.采购代理机构信息</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名    称：江苏信达建设工程咨询有限公司</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 xml:space="preserve">地 </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 xml:space="preserve"> 址：常州市金坛区汇金路227号(筑立方大厦9楼) </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联系方式：0519-82353405</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3.项目联系方式</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项目联系人：林女士</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color w:val="auto"/>
          <w:sz w:val="21"/>
          <w:szCs w:val="21"/>
          <w:highlight w:val="none"/>
        </w:rPr>
      </w:pPr>
      <w:r>
        <w:rPr>
          <w:rFonts w:hint="eastAsia" w:ascii="宋体" w:hAnsi="宋体" w:cs="宋体"/>
          <w:color w:val="auto"/>
          <w:sz w:val="21"/>
          <w:szCs w:val="21"/>
          <w:highlight w:val="none"/>
        </w:rPr>
        <w:t>电   话：0519-82353405</w:t>
      </w:r>
    </w:p>
    <w:p>
      <w:pPr>
        <w:rPr>
          <w:rFonts w:ascii="宋体" w:hAnsi="宋体" w:cs="宋体"/>
          <w:b/>
          <w:color w:val="auto"/>
          <w:sz w:val="21"/>
          <w:szCs w:val="21"/>
          <w:highlight w:val="none"/>
        </w:rPr>
      </w:pPr>
      <w:r>
        <w:rPr>
          <w:rFonts w:hint="eastAsia" w:ascii="宋体" w:hAnsi="宋体" w:cs="宋体"/>
          <w:b/>
          <w:color w:val="auto"/>
          <w:sz w:val="21"/>
          <w:szCs w:val="21"/>
          <w:highlight w:val="none"/>
        </w:rPr>
        <w:br w:type="page"/>
      </w:r>
    </w:p>
    <w:p>
      <w:pPr>
        <w:snapToGrid w:val="0"/>
        <w:spacing w:line="360" w:lineRule="auto"/>
        <w:rPr>
          <w:rFonts w:ascii="宋体" w:hAnsi="宋体" w:cs="宋体"/>
          <w:b/>
          <w:color w:val="auto"/>
          <w:sz w:val="21"/>
          <w:szCs w:val="21"/>
          <w:highlight w:val="none"/>
        </w:rPr>
      </w:pPr>
      <w:r>
        <w:rPr>
          <w:rFonts w:hint="eastAsia" w:ascii="宋体" w:hAnsi="宋体" w:cs="宋体"/>
          <w:b/>
          <w:color w:val="auto"/>
          <w:sz w:val="21"/>
          <w:szCs w:val="21"/>
          <w:highlight w:val="none"/>
        </w:rPr>
        <w:t>附件1：</w:t>
      </w:r>
    </w:p>
    <w:p>
      <w:pPr>
        <w:pStyle w:val="21"/>
        <w:shd w:val="clear" w:color="auto" w:fill="FFFFFF"/>
        <w:spacing w:before="0" w:beforeAutospacing="0" w:after="0" w:afterAutospacing="0" w:line="640" w:lineRule="exact"/>
        <w:jc w:val="center"/>
        <w:rPr>
          <w:rFonts w:cs="宋体" w:eastAsiaTheme="minorEastAsia"/>
          <w:color w:val="auto"/>
          <w:sz w:val="21"/>
          <w:szCs w:val="21"/>
          <w:highlight w:val="none"/>
        </w:rPr>
      </w:pPr>
      <w:r>
        <w:rPr>
          <w:rFonts w:hint="eastAsia" w:cs="宋体"/>
          <w:b/>
          <w:color w:val="auto"/>
          <w:sz w:val="21"/>
          <w:szCs w:val="21"/>
          <w:highlight w:val="none"/>
          <w:shd w:val="clear" w:color="auto" w:fill="FFFFFF"/>
        </w:rPr>
        <w:t>报名申请书</w:t>
      </w:r>
    </w:p>
    <w:p>
      <w:pPr>
        <w:pStyle w:val="21"/>
        <w:shd w:val="clear" w:color="auto" w:fill="FFFFFF"/>
        <w:spacing w:before="0" w:beforeAutospacing="0" w:after="0" w:afterAutospacing="0" w:line="640" w:lineRule="exact"/>
        <w:rPr>
          <w:rFonts w:cs="宋体"/>
          <w:color w:val="auto"/>
          <w:sz w:val="21"/>
          <w:szCs w:val="21"/>
          <w:highlight w:val="none"/>
        </w:rPr>
      </w:pPr>
      <w:r>
        <w:rPr>
          <w:rFonts w:hint="eastAsia" w:cs="宋体"/>
          <w:color w:val="auto"/>
          <w:sz w:val="21"/>
          <w:szCs w:val="21"/>
          <w:highlight w:val="none"/>
          <w:shd w:val="clear" w:color="auto" w:fill="FFFFFF"/>
        </w:rPr>
        <w:t xml:space="preserve">项目名称： </w:t>
      </w:r>
    </w:p>
    <w:tbl>
      <w:tblPr>
        <w:tblStyle w:val="24"/>
        <w:tblW w:w="8624" w:type="dxa"/>
        <w:tblInd w:w="6"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862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ind w:firstLine="420" w:firstLineChars="200"/>
              <w:rPr>
                <w:rFonts w:cs="宋体"/>
                <w:color w:val="auto"/>
                <w:sz w:val="21"/>
                <w:szCs w:val="21"/>
                <w:highlight w:val="none"/>
              </w:rPr>
            </w:pPr>
            <w:r>
              <w:rPr>
                <w:rFonts w:hint="eastAsia" w:cs="宋体"/>
                <w:color w:val="auto"/>
                <w:sz w:val="21"/>
                <w:szCs w:val="21"/>
                <w:highlight w:val="none"/>
              </w:rPr>
              <w:t>我方经仔细研究，在充分理解并完全同意</w:t>
            </w:r>
            <w:r>
              <w:rPr>
                <w:rFonts w:hint="eastAsia" w:eastAsia="宋体" w:cs="宋体"/>
                <w:color w:val="auto"/>
                <w:sz w:val="21"/>
                <w:szCs w:val="21"/>
                <w:highlight w:val="none"/>
                <w:lang w:val="en-US" w:eastAsia="zh-CN"/>
              </w:rPr>
              <w:t>磋商</w:t>
            </w:r>
            <w:r>
              <w:rPr>
                <w:rFonts w:hint="eastAsia" w:eastAsia="宋体" w:cs="宋体"/>
                <w:color w:val="auto"/>
                <w:sz w:val="21"/>
                <w:szCs w:val="21"/>
                <w:highlight w:val="none"/>
                <w:lang w:eastAsia="zh-CN"/>
              </w:rPr>
              <w:t>文件</w:t>
            </w:r>
            <w:r>
              <w:rPr>
                <w:rFonts w:hint="eastAsia" w:cs="宋体"/>
                <w:color w:val="auto"/>
                <w:sz w:val="21"/>
                <w:szCs w:val="21"/>
                <w:highlight w:val="none"/>
              </w:rPr>
              <w:t>的基础上，现委托</w:t>
            </w:r>
            <w:r>
              <w:rPr>
                <w:rFonts w:hint="eastAsia" w:cs="宋体"/>
                <w:color w:val="auto"/>
                <w:sz w:val="21"/>
                <w:szCs w:val="21"/>
                <w:highlight w:val="none"/>
                <w:u w:val="single"/>
              </w:rPr>
              <w:t>   </w:t>
            </w:r>
            <w:r>
              <w:rPr>
                <w:rFonts w:hint="eastAsia" w:eastAsia="宋体" w:cs="宋体"/>
                <w:color w:val="auto"/>
                <w:sz w:val="21"/>
                <w:szCs w:val="21"/>
                <w:highlight w:val="none"/>
                <w:u w:val="single"/>
              </w:rPr>
              <w:t xml:space="preserve">        </w:t>
            </w:r>
            <w:r>
              <w:rPr>
                <w:rFonts w:hint="eastAsia" w:cs="宋体"/>
                <w:color w:val="auto"/>
                <w:sz w:val="21"/>
                <w:szCs w:val="21"/>
                <w:highlight w:val="none"/>
                <w:u w:val="single"/>
              </w:rPr>
              <w:t xml:space="preserve">  </w:t>
            </w:r>
            <w:r>
              <w:rPr>
                <w:rFonts w:hint="eastAsia" w:cs="宋体"/>
                <w:color w:val="auto"/>
                <w:sz w:val="21"/>
                <w:szCs w:val="21"/>
                <w:highlight w:val="none"/>
              </w:rPr>
              <w:t>（被授权人的姓名）参与此项目的报名工作。项目</w:t>
            </w:r>
            <w:r>
              <w:rPr>
                <w:rFonts w:hint="eastAsia" w:eastAsia="宋体" w:cs="宋体"/>
                <w:color w:val="auto"/>
                <w:sz w:val="21"/>
                <w:szCs w:val="21"/>
                <w:highlight w:val="none"/>
                <w:lang w:val="en-US" w:eastAsia="zh-CN"/>
              </w:rPr>
              <w:t>磋商</w:t>
            </w:r>
            <w:r>
              <w:rPr>
                <w:rFonts w:hint="eastAsia" w:cs="宋体"/>
                <w:color w:val="auto"/>
                <w:sz w:val="21"/>
                <w:szCs w:val="21"/>
                <w:highlight w:val="none"/>
              </w:rPr>
              <w:t>过程中答疑补充等相关文件都须</w:t>
            </w:r>
            <w:r>
              <w:rPr>
                <w:rFonts w:hint="eastAsia" w:eastAsia="宋体" w:cs="宋体"/>
                <w:color w:val="auto"/>
                <w:sz w:val="21"/>
                <w:szCs w:val="21"/>
                <w:highlight w:val="none"/>
                <w:lang w:eastAsia="zh-CN"/>
              </w:rPr>
              <w:t>响应人</w:t>
            </w:r>
            <w:r>
              <w:rPr>
                <w:rFonts w:hint="eastAsia" w:cs="宋体"/>
                <w:color w:val="auto"/>
                <w:sz w:val="21"/>
                <w:szCs w:val="21"/>
                <w:highlight w:val="none"/>
              </w:rPr>
              <w:t xml:space="preserve">在相关网站上或者报名时预留邮箱中下载，本单位会及时关注相关网站及报名时预留邮箱，以防遗漏，并承诺不以此为理由提出质疑。 </w:t>
            </w:r>
          </w:p>
          <w:p>
            <w:pPr>
              <w:pStyle w:val="21"/>
              <w:widowControl w:val="0"/>
              <w:spacing w:before="0" w:beforeAutospacing="0" w:after="0" w:afterAutospacing="0" w:line="600" w:lineRule="exact"/>
              <w:ind w:firstLine="420" w:firstLineChars="200"/>
              <w:rPr>
                <w:rFonts w:cs="宋体"/>
                <w:color w:val="auto"/>
                <w:sz w:val="21"/>
                <w:szCs w:val="21"/>
                <w:highlight w:val="none"/>
              </w:rPr>
            </w:pPr>
            <w:r>
              <w:rPr>
                <w:rFonts w:hint="eastAsia" w:cs="宋体"/>
                <w:color w:val="auto"/>
                <w:sz w:val="21"/>
                <w:szCs w:val="21"/>
                <w:highlight w:val="none"/>
              </w:rPr>
              <w:t xml:space="preserve">我单位在此声明，申请文件中所提交的资料在各方面都是完整的，真实的和准确的，如出现不完整，不真实，不准确的资料，我方愿意承担由此引起的一切后果。 </w:t>
            </w:r>
          </w:p>
          <w:p>
            <w:pPr>
              <w:pStyle w:val="21"/>
              <w:widowControl w:val="0"/>
              <w:spacing w:before="0" w:beforeAutospacing="0" w:after="0" w:afterAutospacing="0" w:line="600" w:lineRule="exact"/>
              <w:rPr>
                <w:rFonts w:cs="宋体" w:eastAsiaTheme="minorEastAsia"/>
                <w:color w:val="auto"/>
                <w:sz w:val="21"/>
                <w:szCs w:val="21"/>
                <w:highlight w:val="none"/>
              </w:rPr>
            </w:pPr>
            <w:r>
              <w:rPr>
                <w:rFonts w:hint="eastAsia" w:cs="宋体"/>
                <w:color w:val="auto"/>
                <w:sz w:val="21"/>
                <w:szCs w:val="21"/>
                <w:highlight w:val="none"/>
              </w:rPr>
              <w:t> </w:t>
            </w:r>
            <w:r>
              <w:rPr>
                <w:rFonts w:hint="eastAsia" w:cs="宋体" w:eastAsiaTheme="minorEastAsia"/>
                <w:color w:val="auto"/>
                <w:sz w:val="21"/>
                <w:szCs w:val="21"/>
                <w:highlight w:val="none"/>
              </w:rPr>
              <w:t xml:space="preserve">                                   </w:t>
            </w:r>
            <w:r>
              <w:rPr>
                <w:rFonts w:hint="eastAsia" w:cs="宋体"/>
                <w:color w:val="auto"/>
                <w:sz w:val="21"/>
                <w:szCs w:val="21"/>
                <w:highlight w:val="none"/>
              </w:rPr>
              <w:t xml:space="preserve">申请单位（公章）： </w:t>
            </w:r>
          </w:p>
          <w:p>
            <w:pPr>
              <w:pStyle w:val="21"/>
              <w:widowControl w:val="0"/>
              <w:spacing w:before="0" w:beforeAutospacing="0" w:after="0" w:afterAutospacing="0" w:line="600" w:lineRule="exact"/>
              <w:rPr>
                <w:rFonts w:cs="宋体"/>
                <w:color w:val="auto"/>
                <w:sz w:val="21"/>
                <w:szCs w:val="21"/>
                <w:highlight w:val="none"/>
              </w:rPr>
            </w:pPr>
            <w:r>
              <w:rPr>
                <w:rFonts w:hint="eastAsia" w:cs="宋体"/>
                <w:color w:val="auto"/>
                <w:sz w:val="21"/>
                <w:szCs w:val="21"/>
                <w:highlight w:val="none"/>
              </w:rPr>
              <w:t> </w:t>
            </w:r>
            <w:r>
              <w:rPr>
                <w:rFonts w:hint="eastAsia" w:cs="宋体" w:eastAsiaTheme="minorEastAsia"/>
                <w:color w:val="auto"/>
                <w:sz w:val="21"/>
                <w:szCs w:val="21"/>
                <w:highlight w:val="none"/>
              </w:rPr>
              <w:t xml:space="preserve">                                   </w:t>
            </w:r>
            <w:r>
              <w:rPr>
                <w:rFonts w:hint="eastAsia" w:cs="宋体"/>
                <w:color w:val="auto"/>
                <w:sz w:val="21"/>
                <w:szCs w:val="21"/>
                <w:highlight w:val="none"/>
              </w:rPr>
              <w:t xml:space="preserve">法定代表人（签字或盖章）：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jc w:val="both"/>
              <w:rPr>
                <w:rFonts w:cs="宋体"/>
                <w:color w:val="auto"/>
                <w:sz w:val="21"/>
                <w:szCs w:val="21"/>
                <w:highlight w:val="none"/>
              </w:rPr>
            </w:pPr>
            <w:r>
              <w:rPr>
                <w:rFonts w:hint="eastAsia" w:cs="宋体"/>
                <w:color w:val="auto"/>
                <w:sz w:val="21"/>
                <w:szCs w:val="21"/>
                <w:highlight w:val="none"/>
              </w:rPr>
              <w:t xml:space="preserve">被授权人姓名（签字）：                    联系电话：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jc w:val="both"/>
              <w:rPr>
                <w:rFonts w:cs="宋体"/>
                <w:color w:val="auto"/>
                <w:sz w:val="21"/>
                <w:szCs w:val="21"/>
                <w:highlight w:val="none"/>
              </w:rPr>
            </w:pPr>
            <w:r>
              <w:rPr>
                <w:rFonts w:hint="eastAsia" w:cs="宋体"/>
                <w:color w:val="auto"/>
                <w:sz w:val="21"/>
                <w:szCs w:val="21"/>
                <w:highlight w:val="none"/>
              </w:rPr>
              <w:t xml:space="preserve">第二代身份证号码：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jc w:val="both"/>
              <w:rPr>
                <w:rFonts w:cs="宋体"/>
                <w:color w:val="auto"/>
                <w:sz w:val="21"/>
                <w:szCs w:val="21"/>
                <w:highlight w:val="none"/>
              </w:rPr>
            </w:pPr>
            <w:r>
              <w:rPr>
                <w:rFonts w:hint="eastAsia" w:cs="宋体"/>
                <w:color w:val="auto"/>
                <w:sz w:val="21"/>
                <w:szCs w:val="21"/>
                <w:highlight w:val="none"/>
              </w:rPr>
              <w:t xml:space="preserve">报名时间：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jc w:val="both"/>
              <w:rPr>
                <w:rFonts w:cs="宋体"/>
                <w:color w:val="auto"/>
                <w:sz w:val="21"/>
                <w:szCs w:val="21"/>
                <w:highlight w:val="none"/>
              </w:rPr>
            </w:pPr>
            <w:r>
              <w:rPr>
                <w:rFonts w:hint="eastAsia" w:cs="宋体"/>
                <w:color w:val="auto"/>
                <w:sz w:val="21"/>
                <w:szCs w:val="21"/>
                <w:highlight w:val="none"/>
              </w:rPr>
              <w:t>接收招</w:t>
            </w:r>
            <w:r>
              <w:rPr>
                <w:rFonts w:hint="eastAsia" w:eastAsia="宋体" w:cs="宋体"/>
                <w:color w:val="auto"/>
                <w:sz w:val="21"/>
                <w:szCs w:val="21"/>
                <w:highlight w:val="none"/>
                <w:lang w:eastAsia="zh-CN"/>
              </w:rPr>
              <w:t>响应文件</w:t>
            </w:r>
            <w:r>
              <w:rPr>
                <w:rFonts w:hint="eastAsia" w:cs="宋体"/>
                <w:color w:val="auto"/>
                <w:sz w:val="21"/>
                <w:szCs w:val="21"/>
                <w:highlight w:val="none"/>
              </w:rPr>
              <w:t xml:space="preserve">指定电子邮箱： </w:t>
            </w:r>
          </w:p>
        </w:tc>
      </w:tr>
    </w:tbl>
    <w:p>
      <w:pPr>
        <w:widowControl/>
        <w:spacing w:line="640" w:lineRule="exact"/>
        <w:jc w:val="left"/>
        <w:rPr>
          <w:rFonts w:ascii="宋体" w:hAnsi="宋体" w:cs="宋体"/>
          <w:b/>
          <w:bCs/>
          <w:color w:val="auto"/>
          <w:sz w:val="21"/>
          <w:szCs w:val="21"/>
          <w:highlight w:val="none"/>
        </w:rPr>
      </w:pPr>
      <w:r>
        <w:rPr>
          <w:rFonts w:hint="eastAsia" w:cs="宋体"/>
          <w:color w:val="auto"/>
          <w:sz w:val="21"/>
          <w:szCs w:val="21"/>
          <w:highlight w:val="none"/>
        </w:rPr>
        <w:t>*注：</w:t>
      </w:r>
      <w:r>
        <w:rPr>
          <w:rFonts w:hint="eastAsia" w:cs="宋体"/>
          <w:color w:val="auto"/>
          <w:sz w:val="21"/>
          <w:szCs w:val="21"/>
          <w:highlight w:val="none"/>
          <w:lang w:eastAsia="zh-CN"/>
        </w:rPr>
        <w:t>响应人</w:t>
      </w:r>
      <w:r>
        <w:rPr>
          <w:rFonts w:hint="eastAsia" w:cs="宋体"/>
          <w:color w:val="auto"/>
          <w:sz w:val="21"/>
          <w:szCs w:val="21"/>
          <w:highlight w:val="none"/>
        </w:rPr>
        <w:t>应完整填写表格，并对内容的真实性和有效性负全部责任。</w:t>
      </w:r>
    </w:p>
    <w:p>
      <w:pPr>
        <w:widowControl/>
        <w:spacing w:line="640" w:lineRule="exact"/>
        <w:jc w:val="left"/>
        <w:rPr>
          <w:rFonts w:ascii="宋体" w:hAnsi="宋体" w:cs="宋体"/>
          <w:b/>
          <w:bCs/>
          <w:color w:val="auto"/>
          <w:sz w:val="21"/>
          <w:szCs w:val="21"/>
          <w:highlight w:val="none"/>
        </w:rPr>
      </w:pPr>
    </w:p>
    <w:p>
      <w:pPr>
        <w:rPr>
          <w:color w:val="auto"/>
          <w:sz w:val="21"/>
          <w:szCs w:val="21"/>
          <w:highlight w:val="none"/>
        </w:rPr>
      </w:pPr>
    </w:p>
    <w:p>
      <w:pPr>
        <w:rPr>
          <w:color w:val="auto"/>
          <w:highlight w:val="none"/>
        </w:rPr>
      </w:pPr>
    </w:p>
    <w:p>
      <w:pPr>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br w:type="page"/>
      </w:r>
    </w:p>
    <w:p>
      <w:pPr>
        <w:snapToGrid w:val="0"/>
        <w:spacing w:line="360" w:lineRule="auto"/>
        <w:rPr>
          <w:rFonts w:hint="eastAsia" w:ascii="宋体" w:hAnsi="宋体" w:cs="宋体"/>
          <w:b/>
          <w:color w:val="auto"/>
          <w:sz w:val="21"/>
          <w:szCs w:val="21"/>
          <w:highlight w:val="none"/>
          <w:lang w:val="en-US" w:eastAsia="zh-CN"/>
        </w:rPr>
      </w:pPr>
      <w:r>
        <w:rPr>
          <w:rFonts w:hint="eastAsia" w:ascii="宋体" w:hAnsi="宋体" w:cs="宋体"/>
          <w:b/>
          <w:color w:val="auto"/>
          <w:sz w:val="21"/>
          <w:szCs w:val="21"/>
          <w:highlight w:val="none"/>
          <w:lang w:val="en-US" w:eastAsia="zh-CN"/>
        </w:rPr>
        <w:t>附件2</w:t>
      </w:r>
    </w:p>
    <w:p>
      <w:pPr>
        <w:pageBreakBefore w:val="0"/>
        <w:widowControl w:val="0"/>
        <w:kinsoku/>
        <w:overflowPunct/>
        <w:topLinePunct w:val="0"/>
        <w:autoSpaceDE/>
        <w:autoSpaceDN/>
        <w:bidi w:val="0"/>
        <w:adjustRightInd/>
        <w:spacing w:line="390" w:lineRule="exact"/>
        <w:jc w:val="center"/>
        <w:textAlignment w:val="auto"/>
        <w:rPr>
          <w:rFonts w:ascii="宋体" w:hAnsi="宋体" w:cs="宋体"/>
          <w:b/>
          <w:bCs/>
          <w:color w:val="auto"/>
          <w:sz w:val="32"/>
          <w:szCs w:val="32"/>
          <w:highlight w:val="none"/>
        </w:rPr>
      </w:pPr>
      <w:r>
        <w:rPr>
          <w:rFonts w:hint="eastAsia" w:ascii="宋体" w:hAnsi="宋体" w:eastAsia="宋体" w:cs="宋体"/>
          <w:b/>
          <w:bCs/>
          <w:i w:val="0"/>
          <w:color w:val="auto"/>
          <w:kern w:val="0"/>
          <w:sz w:val="28"/>
          <w:szCs w:val="28"/>
          <w:highlight w:val="none"/>
          <w:u w:val="none"/>
          <w:lang w:val="en-US" w:eastAsia="zh-CN" w:bidi="ar"/>
        </w:rPr>
        <w:t>样品清单</w:t>
      </w:r>
    </w:p>
    <w:tbl>
      <w:tblPr>
        <w:tblStyle w:val="24"/>
        <w:tblW w:w="10294" w:type="dxa"/>
        <w:jc w:val="center"/>
        <w:tblLayout w:type="fixed"/>
        <w:tblCellMar>
          <w:top w:w="0" w:type="dxa"/>
          <w:left w:w="0" w:type="dxa"/>
          <w:bottom w:w="0" w:type="dxa"/>
          <w:right w:w="0" w:type="dxa"/>
        </w:tblCellMar>
      </w:tblPr>
      <w:tblGrid>
        <w:gridCol w:w="630"/>
        <w:gridCol w:w="930"/>
        <w:gridCol w:w="1190"/>
        <w:gridCol w:w="915"/>
        <w:gridCol w:w="5318"/>
        <w:gridCol w:w="655"/>
        <w:gridCol w:w="656"/>
      </w:tblGrid>
      <w:tr>
        <w:tblPrEx>
          <w:tblCellMar>
            <w:top w:w="0" w:type="dxa"/>
            <w:left w:w="0" w:type="dxa"/>
            <w:bottom w:w="0" w:type="dxa"/>
            <w:right w:w="0" w:type="dxa"/>
          </w:tblCellMar>
        </w:tblPrEx>
        <w:trPr>
          <w:trHeight w:val="567" w:hRule="atLeast"/>
          <w:jc w:val="center"/>
        </w:trPr>
        <w:tc>
          <w:tcPr>
            <w:tcW w:w="630" w:type="dxa"/>
            <w:tcBorders>
              <w:top w:val="single" w:color="000000" w:sz="4" w:space="0"/>
              <w:left w:val="single" w:color="000000" w:sz="4" w:space="0"/>
              <w:bottom w:val="single" w:color="000000" w:sz="4" w:space="0"/>
              <w:right w:val="single" w:color="000000" w:sz="4" w:space="0"/>
            </w:tcBorders>
            <w:shd w:val="clear" w:color="auto" w:fill="9BC2E6"/>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center"/>
              <w:rPr>
                <w:rFonts w:hint="eastAsia" w:ascii="宋体" w:hAnsi="宋体" w:eastAsia="宋体" w:cs="宋体"/>
                <w:b/>
                <w:i w:val="0"/>
                <w:color w:val="auto"/>
                <w:sz w:val="21"/>
                <w:szCs w:val="21"/>
                <w:highlight w:val="none"/>
                <w:u w:val="none"/>
              </w:rPr>
            </w:pPr>
            <w:r>
              <w:rPr>
                <w:rFonts w:hint="eastAsia" w:ascii="宋体" w:hAnsi="宋体" w:eastAsia="宋体" w:cs="宋体"/>
                <w:b/>
                <w:i w:val="0"/>
                <w:color w:val="auto"/>
                <w:kern w:val="0"/>
                <w:sz w:val="21"/>
                <w:szCs w:val="21"/>
                <w:highlight w:val="none"/>
                <w:u w:val="none"/>
                <w:lang w:val="en-US" w:eastAsia="zh-CN" w:bidi="ar"/>
              </w:rPr>
              <w:t>序号</w:t>
            </w:r>
          </w:p>
        </w:tc>
        <w:tc>
          <w:tcPr>
            <w:tcW w:w="930" w:type="dxa"/>
            <w:tcBorders>
              <w:top w:val="single" w:color="000000" w:sz="4" w:space="0"/>
              <w:left w:val="single" w:color="000000" w:sz="4" w:space="0"/>
              <w:bottom w:val="single" w:color="000000" w:sz="4" w:space="0"/>
              <w:right w:val="single" w:color="000000" w:sz="4" w:space="0"/>
            </w:tcBorders>
            <w:shd w:val="clear" w:color="auto" w:fill="9BC2E6"/>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center"/>
              <w:rPr>
                <w:rFonts w:hint="eastAsia" w:ascii="宋体" w:hAnsi="宋体" w:eastAsia="宋体" w:cs="宋体"/>
                <w:b/>
                <w:i w:val="0"/>
                <w:color w:val="auto"/>
                <w:sz w:val="21"/>
                <w:szCs w:val="21"/>
                <w:highlight w:val="none"/>
                <w:u w:val="none"/>
              </w:rPr>
            </w:pPr>
            <w:r>
              <w:rPr>
                <w:rFonts w:hint="eastAsia" w:ascii="宋体" w:hAnsi="宋体" w:eastAsia="宋体" w:cs="宋体"/>
                <w:b/>
                <w:i w:val="0"/>
                <w:color w:val="auto"/>
                <w:kern w:val="0"/>
                <w:sz w:val="21"/>
                <w:szCs w:val="21"/>
                <w:highlight w:val="none"/>
                <w:u w:val="none"/>
                <w:lang w:val="en-US" w:eastAsia="zh-CN" w:bidi="ar"/>
              </w:rPr>
              <w:t>产品名称</w:t>
            </w:r>
          </w:p>
        </w:tc>
        <w:tc>
          <w:tcPr>
            <w:tcW w:w="1190" w:type="dxa"/>
            <w:tcBorders>
              <w:top w:val="single" w:color="000000" w:sz="4" w:space="0"/>
              <w:left w:val="single" w:color="000000" w:sz="4" w:space="0"/>
              <w:bottom w:val="single" w:color="000000" w:sz="4" w:space="0"/>
              <w:right w:val="single" w:color="000000" w:sz="4" w:space="0"/>
            </w:tcBorders>
            <w:shd w:val="clear" w:color="auto" w:fill="9BC2E6"/>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center"/>
              <w:rPr>
                <w:rFonts w:hint="eastAsia" w:ascii="宋体" w:hAnsi="宋体" w:eastAsia="宋体" w:cs="宋体"/>
                <w:b/>
                <w:i w:val="0"/>
                <w:color w:val="auto"/>
                <w:sz w:val="21"/>
                <w:szCs w:val="21"/>
                <w:highlight w:val="none"/>
                <w:u w:val="none"/>
              </w:rPr>
            </w:pPr>
            <w:r>
              <w:rPr>
                <w:rFonts w:hint="eastAsia" w:ascii="宋体" w:hAnsi="宋体" w:eastAsia="宋体" w:cs="宋体"/>
                <w:b/>
                <w:i w:val="0"/>
                <w:color w:val="auto"/>
                <w:kern w:val="0"/>
                <w:sz w:val="21"/>
                <w:szCs w:val="21"/>
                <w:highlight w:val="none"/>
                <w:u w:val="none"/>
                <w:lang w:val="en-US" w:eastAsia="zh-CN" w:bidi="ar"/>
              </w:rPr>
              <w:t>图片</w:t>
            </w:r>
          </w:p>
        </w:tc>
        <w:tc>
          <w:tcPr>
            <w:tcW w:w="915" w:type="dxa"/>
            <w:tcBorders>
              <w:top w:val="single" w:color="000000" w:sz="4" w:space="0"/>
              <w:left w:val="single" w:color="000000" w:sz="4" w:space="0"/>
              <w:bottom w:val="single" w:color="000000" w:sz="4" w:space="0"/>
              <w:right w:val="single" w:color="000000" w:sz="4" w:space="0"/>
            </w:tcBorders>
            <w:shd w:val="clear" w:color="auto" w:fill="9BC2E6"/>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center"/>
              <w:rPr>
                <w:rFonts w:hint="eastAsia" w:ascii="宋体" w:hAnsi="宋体" w:eastAsia="宋体" w:cs="宋体"/>
                <w:b/>
                <w:i w:val="0"/>
                <w:color w:val="auto"/>
                <w:sz w:val="21"/>
                <w:szCs w:val="21"/>
                <w:highlight w:val="none"/>
                <w:u w:val="none"/>
              </w:rPr>
            </w:pPr>
            <w:r>
              <w:rPr>
                <w:rFonts w:hint="eastAsia" w:ascii="宋体" w:hAnsi="宋体" w:eastAsia="宋体" w:cs="宋体"/>
                <w:b/>
                <w:i w:val="0"/>
                <w:color w:val="auto"/>
                <w:kern w:val="0"/>
                <w:sz w:val="21"/>
                <w:szCs w:val="21"/>
                <w:highlight w:val="none"/>
                <w:u w:val="none"/>
                <w:lang w:val="en-US" w:eastAsia="zh-CN" w:bidi="ar"/>
              </w:rPr>
              <w:t>规格</w:t>
            </w:r>
          </w:p>
        </w:tc>
        <w:tc>
          <w:tcPr>
            <w:tcW w:w="5318" w:type="dxa"/>
            <w:tcBorders>
              <w:top w:val="single" w:color="000000" w:sz="4" w:space="0"/>
              <w:left w:val="single" w:color="000000" w:sz="4" w:space="0"/>
              <w:bottom w:val="single" w:color="000000" w:sz="4" w:space="0"/>
              <w:right w:val="single" w:color="000000" w:sz="4" w:space="0"/>
            </w:tcBorders>
            <w:shd w:val="clear" w:color="auto" w:fill="9BC2E6"/>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center"/>
              <w:rPr>
                <w:rFonts w:hint="eastAsia" w:ascii="宋体" w:hAnsi="宋体" w:eastAsia="宋体" w:cs="宋体"/>
                <w:b/>
                <w:i w:val="0"/>
                <w:color w:val="auto"/>
                <w:sz w:val="21"/>
                <w:szCs w:val="21"/>
                <w:highlight w:val="none"/>
                <w:u w:val="none"/>
              </w:rPr>
            </w:pPr>
            <w:r>
              <w:rPr>
                <w:rFonts w:hint="eastAsia" w:ascii="宋体" w:hAnsi="宋体" w:eastAsia="宋体" w:cs="宋体"/>
                <w:b/>
                <w:i w:val="0"/>
                <w:color w:val="auto"/>
                <w:kern w:val="0"/>
                <w:sz w:val="21"/>
                <w:szCs w:val="21"/>
                <w:highlight w:val="none"/>
                <w:u w:val="none"/>
                <w:lang w:val="en-US" w:eastAsia="zh-CN" w:bidi="ar"/>
              </w:rPr>
              <w:t>参数</w:t>
            </w:r>
          </w:p>
        </w:tc>
        <w:tc>
          <w:tcPr>
            <w:tcW w:w="655" w:type="dxa"/>
            <w:tcBorders>
              <w:top w:val="single" w:color="000000" w:sz="4" w:space="0"/>
              <w:left w:val="single" w:color="000000" w:sz="4" w:space="0"/>
              <w:bottom w:val="single" w:color="000000" w:sz="4" w:space="0"/>
              <w:right w:val="single" w:color="000000" w:sz="4" w:space="0"/>
            </w:tcBorders>
            <w:shd w:val="clear" w:color="auto" w:fill="9BC2E6"/>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center"/>
              <w:rPr>
                <w:rFonts w:hint="eastAsia" w:ascii="宋体" w:hAnsi="宋体" w:eastAsia="宋体" w:cs="宋体"/>
                <w:b/>
                <w:i w:val="0"/>
                <w:color w:val="auto"/>
                <w:sz w:val="21"/>
                <w:szCs w:val="21"/>
                <w:highlight w:val="none"/>
                <w:u w:val="none"/>
              </w:rPr>
            </w:pPr>
            <w:r>
              <w:rPr>
                <w:rFonts w:hint="eastAsia" w:ascii="宋体" w:hAnsi="宋体" w:eastAsia="宋体" w:cs="宋体"/>
                <w:b/>
                <w:i w:val="0"/>
                <w:color w:val="auto"/>
                <w:kern w:val="0"/>
                <w:sz w:val="21"/>
                <w:szCs w:val="21"/>
                <w:highlight w:val="none"/>
                <w:u w:val="none"/>
                <w:lang w:val="en-US" w:eastAsia="zh-CN" w:bidi="ar"/>
              </w:rPr>
              <w:t>单位</w:t>
            </w:r>
          </w:p>
        </w:tc>
        <w:tc>
          <w:tcPr>
            <w:tcW w:w="656" w:type="dxa"/>
            <w:tcBorders>
              <w:top w:val="single" w:color="000000" w:sz="4" w:space="0"/>
              <w:left w:val="single" w:color="000000" w:sz="4" w:space="0"/>
              <w:bottom w:val="single" w:color="000000" w:sz="4" w:space="0"/>
              <w:right w:val="single" w:color="000000" w:sz="4" w:space="0"/>
            </w:tcBorders>
            <w:shd w:val="clear" w:color="auto" w:fill="9BC2E6"/>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center"/>
              <w:rPr>
                <w:rFonts w:hint="eastAsia" w:ascii="宋体" w:hAnsi="宋体" w:eastAsia="宋体" w:cs="宋体"/>
                <w:b/>
                <w:i w:val="0"/>
                <w:color w:val="auto"/>
                <w:sz w:val="21"/>
                <w:szCs w:val="21"/>
                <w:highlight w:val="none"/>
                <w:u w:val="none"/>
              </w:rPr>
            </w:pPr>
            <w:r>
              <w:rPr>
                <w:rFonts w:hint="eastAsia" w:ascii="宋体" w:hAnsi="宋体" w:eastAsia="宋体" w:cs="宋体"/>
                <w:b/>
                <w:i w:val="0"/>
                <w:color w:val="auto"/>
                <w:kern w:val="0"/>
                <w:sz w:val="21"/>
                <w:szCs w:val="21"/>
                <w:highlight w:val="none"/>
                <w:u w:val="none"/>
                <w:lang w:val="en-US" w:eastAsia="zh-CN" w:bidi="ar"/>
              </w:rPr>
              <w:t>数量</w:t>
            </w:r>
          </w:p>
        </w:tc>
      </w:tr>
      <w:tr>
        <w:tblPrEx>
          <w:tblCellMar>
            <w:top w:w="0" w:type="dxa"/>
            <w:left w:w="0" w:type="dxa"/>
            <w:bottom w:w="0" w:type="dxa"/>
            <w:right w:w="0" w:type="dxa"/>
          </w:tblCellMar>
        </w:tblPrEx>
        <w:trPr>
          <w:trHeight w:val="5381" w:hRule="atLeast"/>
          <w:jc w:val="center"/>
        </w:trPr>
        <w:tc>
          <w:tcPr>
            <w:tcW w:w="6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center"/>
              <w:rPr>
                <w:rStyle w:val="81"/>
                <w:rFonts w:hint="eastAsia"/>
                <w:color w:val="auto"/>
                <w:highlight w:val="none"/>
                <w:lang w:val="en-US" w:eastAsia="zh-CN" w:bidi="ar"/>
              </w:rPr>
            </w:pPr>
            <w:r>
              <w:rPr>
                <w:rStyle w:val="81"/>
                <w:rFonts w:hint="eastAsia"/>
                <w:color w:val="auto"/>
                <w:highlight w:val="none"/>
                <w:lang w:val="en-US" w:eastAsia="zh-CN" w:bidi="ar"/>
              </w:rPr>
              <w:t>1</w:t>
            </w:r>
          </w:p>
        </w:tc>
        <w:tc>
          <w:tcPr>
            <w:tcW w:w="9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center"/>
              <w:rPr>
                <w:rStyle w:val="81"/>
                <w:rFonts w:hint="eastAsia"/>
                <w:color w:val="auto"/>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center"/>
              <w:rPr>
                <w:rStyle w:val="81"/>
                <w:rFonts w:hint="eastAsia"/>
                <w:color w:val="auto"/>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center"/>
              <w:rPr>
                <w:rStyle w:val="81"/>
                <w:rFonts w:hint="eastAsia"/>
                <w:color w:val="auto"/>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center"/>
              <w:rPr>
                <w:rStyle w:val="81"/>
                <w:rFonts w:hint="eastAsia"/>
                <w:color w:val="auto"/>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center"/>
              <w:rPr>
                <w:rStyle w:val="81"/>
                <w:rFonts w:hint="eastAsia"/>
                <w:color w:val="auto"/>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center"/>
              <w:rPr>
                <w:rStyle w:val="81"/>
                <w:rFonts w:hint="eastAsia"/>
                <w:color w:val="auto"/>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center"/>
              <w:rPr>
                <w:rStyle w:val="81"/>
                <w:rFonts w:hint="eastAsia"/>
                <w:color w:val="auto"/>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center"/>
              <w:rPr>
                <w:rStyle w:val="81"/>
                <w:rFonts w:hint="eastAsia"/>
                <w:color w:val="auto"/>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center"/>
              <w:rPr>
                <w:rStyle w:val="81"/>
                <w:rFonts w:hint="eastAsia"/>
                <w:color w:val="auto"/>
                <w:highlight w:val="none"/>
                <w:lang w:val="en-US" w:eastAsia="zh-CN" w:bidi="ar"/>
              </w:rPr>
            </w:pPr>
            <w:r>
              <w:rPr>
                <w:rStyle w:val="81"/>
                <w:rFonts w:hint="eastAsia"/>
                <w:color w:val="auto"/>
                <w:highlight w:val="none"/>
                <w:lang w:val="en-US" w:eastAsia="zh-CN" w:bidi="ar"/>
              </w:rPr>
              <w:drawing>
                <wp:anchor distT="0" distB="0" distL="114300" distR="114300" simplePos="0" relativeHeight="251665408" behindDoc="0" locked="0" layoutInCell="1" allowOverlap="1">
                  <wp:simplePos x="0" y="0"/>
                  <wp:positionH relativeFrom="column">
                    <wp:posOffset>441960</wp:posOffset>
                  </wp:positionH>
                  <wp:positionV relativeFrom="paragraph">
                    <wp:posOffset>128905</wp:posOffset>
                  </wp:positionV>
                  <wp:extent cx="565785" cy="0"/>
                  <wp:effectExtent l="0" t="0" r="0" b="0"/>
                  <wp:wrapNone/>
                  <wp:docPr id="9" name="图片_46"/>
                  <wp:cNvGraphicFramePr/>
                  <a:graphic xmlns:a="http://schemas.openxmlformats.org/drawingml/2006/main">
                    <a:graphicData uri="http://schemas.openxmlformats.org/drawingml/2006/picture">
                      <pic:pic xmlns:pic="http://schemas.openxmlformats.org/drawingml/2006/picture">
                        <pic:nvPicPr>
                          <pic:cNvPr id="9" name="图片_46"/>
                          <pic:cNvPicPr/>
                        </pic:nvPicPr>
                        <pic:blipFill>
                          <a:blip r:embed="rId6"/>
                          <a:stretch>
                            <a:fillRect/>
                          </a:stretch>
                        </pic:blipFill>
                        <pic:spPr>
                          <a:xfrm>
                            <a:off x="0" y="0"/>
                            <a:ext cx="565785" cy="0"/>
                          </a:xfrm>
                          <a:prstGeom prst="rect">
                            <a:avLst/>
                          </a:prstGeom>
                          <a:noFill/>
                          <a:ln>
                            <a:noFill/>
                          </a:ln>
                        </pic:spPr>
                      </pic:pic>
                    </a:graphicData>
                  </a:graphic>
                </wp:anchor>
              </w:drawing>
            </w:r>
            <w:r>
              <w:rPr>
                <w:rStyle w:val="81"/>
                <w:rFonts w:hint="eastAsia"/>
                <w:color w:val="auto"/>
                <w:highlight w:val="none"/>
                <w:lang w:val="en-US" w:eastAsia="zh-CN" w:bidi="ar"/>
              </w:rPr>
              <w:drawing>
                <wp:anchor distT="0" distB="0" distL="114300" distR="114300" simplePos="0" relativeHeight="251666432" behindDoc="0" locked="0" layoutInCell="1" allowOverlap="1">
                  <wp:simplePos x="0" y="0"/>
                  <wp:positionH relativeFrom="column">
                    <wp:posOffset>452755</wp:posOffset>
                  </wp:positionH>
                  <wp:positionV relativeFrom="paragraph">
                    <wp:posOffset>128905</wp:posOffset>
                  </wp:positionV>
                  <wp:extent cx="554990" cy="0"/>
                  <wp:effectExtent l="0" t="0" r="0" b="0"/>
                  <wp:wrapNone/>
                  <wp:docPr id="10" name="图片_46_SpCnt_1"/>
                  <wp:cNvGraphicFramePr/>
                  <a:graphic xmlns:a="http://schemas.openxmlformats.org/drawingml/2006/main">
                    <a:graphicData uri="http://schemas.openxmlformats.org/drawingml/2006/picture">
                      <pic:pic xmlns:pic="http://schemas.openxmlformats.org/drawingml/2006/picture">
                        <pic:nvPicPr>
                          <pic:cNvPr id="10" name="图片_46_SpCnt_1"/>
                          <pic:cNvPicPr/>
                        </pic:nvPicPr>
                        <pic:blipFill>
                          <a:blip r:embed="rId7"/>
                          <a:stretch>
                            <a:fillRect/>
                          </a:stretch>
                        </pic:blipFill>
                        <pic:spPr>
                          <a:xfrm>
                            <a:off x="0" y="0"/>
                            <a:ext cx="554990" cy="0"/>
                          </a:xfrm>
                          <a:prstGeom prst="rect">
                            <a:avLst/>
                          </a:prstGeom>
                          <a:noFill/>
                          <a:ln>
                            <a:noFill/>
                          </a:ln>
                        </pic:spPr>
                      </pic:pic>
                    </a:graphicData>
                  </a:graphic>
                </wp:anchor>
              </w:drawing>
            </w:r>
            <w:r>
              <w:rPr>
                <w:rStyle w:val="81"/>
                <w:rFonts w:hint="eastAsia"/>
                <w:color w:val="auto"/>
                <w:highlight w:val="none"/>
                <w:lang w:val="en-US" w:eastAsia="zh-CN" w:bidi="ar"/>
              </w:rPr>
              <w:drawing>
                <wp:anchor distT="0" distB="0" distL="114300" distR="114300" simplePos="0" relativeHeight="251667456" behindDoc="0" locked="0" layoutInCell="1" allowOverlap="1">
                  <wp:simplePos x="0" y="0"/>
                  <wp:positionH relativeFrom="column">
                    <wp:posOffset>546735</wp:posOffset>
                  </wp:positionH>
                  <wp:positionV relativeFrom="paragraph">
                    <wp:posOffset>128905</wp:posOffset>
                  </wp:positionV>
                  <wp:extent cx="461010" cy="0"/>
                  <wp:effectExtent l="0" t="0" r="0" b="0"/>
                  <wp:wrapNone/>
                  <wp:docPr id="11" name="图片_6"/>
                  <wp:cNvGraphicFramePr/>
                  <a:graphic xmlns:a="http://schemas.openxmlformats.org/drawingml/2006/main">
                    <a:graphicData uri="http://schemas.openxmlformats.org/drawingml/2006/picture">
                      <pic:pic xmlns:pic="http://schemas.openxmlformats.org/drawingml/2006/picture">
                        <pic:nvPicPr>
                          <pic:cNvPr id="11" name="图片_6"/>
                          <pic:cNvPicPr/>
                        </pic:nvPicPr>
                        <pic:blipFill>
                          <a:blip r:embed="rId8"/>
                          <a:stretch>
                            <a:fillRect/>
                          </a:stretch>
                        </pic:blipFill>
                        <pic:spPr>
                          <a:xfrm>
                            <a:off x="0" y="0"/>
                            <a:ext cx="461010" cy="0"/>
                          </a:xfrm>
                          <a:prstGeom prst="rect">
                            <a:avLst/>
                          </a:prstGeom>
                          <a:noFill/>
                          <a:ln>
                            <a:noFill/>
                          </a:ln>
                        </pic:spPr>
                      </pic:pic>
                    </a:graphicData>
                  </a:graphic>
                </wp:anchor>
              </w:drawing>
            </w:r>
            <w:r>
              <w:rPr>
                <w:rStyle w:val="81"/>
                <w:rFonts w:hint="eastAsia"/>
                <w:color w:val="auto"/>
                <w:highlight w:val="none"/>
                <w:lang w:val="en-US" w:eastAsia="zh-CN" w:bidi="ar"/>
              </w:rPr>
              <w:drawing>
                <wp:anchor distT="0" distB="0" distL="114300" distR="114300" simplePos="0" relativeHeight="251668480" behindDoc="0" locked="0" layoutInCell="1" allowOverlap="1">
                  <wp:simplePos x="0" y="0"/>
                  <wp:positionH relativeFrom="column">
                    <wp:posOffset>546735</wp:posOffset>
                  </wp:positionH>
                  <wp:positionV relativeFrom="paragraph">
                    <wp:posOffset>128905</wp:posOffset>
                  </wp:positionV>
                  <wp:extent cx="461010" cy="0"/>
                  <wp:effectExtent l="0" t="0" r="0" b="0"/>
                  <wp:wrapNone/>
                  <wp:docPr id="12" name="图片_9"/>
                  <wp:cNvGraphicFramePr/>
                  <a:graphic xmlns:a="http://schemas.openxmlformats.org/drawingml/2006/main">
                    <a:graphicData uri="http://schemas.openxmlformats.org/drawingml/2006/picture">
                      <pic:pic xmlns:pic="http://schemas.openxmlformats.org/drawingml/2006/picture">
                        <pic:nvPicPr>
                          <pic:cNvPr id="12" name="图片_9"/>
                          <pic:cNvPicPr/>
                        </pic:nvPicPr>
                        <pic:blipFill>
                          <a:blip r:embed="rId7"/>
                          <a:stretch>
                            <a:fillRect/>
                          </a:stretch>
                        </pic:blipFill>
                        <pic:spPr>
                          <a:xfrm>
                            <a:off x="0" y="0"/>
                            <a:ext cx="461010" cy="0"/>
                          </a:xfrm>
                          <a:prstGeom prst="rect">
                            <a:avLst/>
                          </a:prstGeom>
                          <a:noFill/>
                          <a:ln>
                            <a:noFill/>
                          </a:ln>
                        </pic:spPr>
                      </pic:pic>
                    </a:graphicData>
                  </a:graphic>
                </wp:anchor>
              </w:drawing>
            </w:r>
            <w:r>
              <w:rPr>
                <w:rStyle w:val="81"/>
                <w:rFonts w:hint="eastAsia"/>
                <w:color w:val="auto"/>
                <w:highlight w:val="none"/>
                <w:lang w:val="en-US" w:eastAsia="zh-CN" w:bidi="ar"/>
              </w:rPr>
              <w:t>儿童课桌</w:t>
            </w:r>
            <w:r>
              <w:rPr>
                <w:rStyle w:val="81"/>
                <w:rFonts w:hint="eastAsia"/>
                <w:color w:val="auto"/>
                <w:highlight w:val="none"/>
                <w:lang w:val="en-US" w:eastAsia="zh-CN" w:bidi="ar"/>
              </w:rPr>
              <w:br w:type="textWrapping"/>
            </w:r>
            <w:r>
              <w:rPr>
                <w:rStyle w:val="81"/>
                <w:rFonts w:hint="eastAsia"/>
                <w:color w:val="auto"/>
                <w:highlight w:val="none"/>
                <w:lang w:val="en-US" w:eastAsia="zh-CN" w:bidi="ar"/>
              </w:rPr>
              <w:t>大班</w:t>
            </w:r>
          </w:p>
        </w:tc>
        <w:tc>
          <w:tcPr>
            <w:tcW w:w="1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center"/>
              <w:rPr>
                <w:rFonts w:hint="eastAsia" w:ascii="宋体" w:hAnsi="宋体" w:eastAsia="宋体" w:cs="宋体"/>
                <w:b/>
                <w:i w:val="0"/>
                <w:color w:val="auto"/>
                <w:sz w:val="22"/>
                <w:szCs w:val="22"/>
                <w:highlight w:val="none"/>
                <w:u w:val="none"/>
              </w:rPr>
            </w:pPr>
            <w:r>
              <w:rPr>
                <w:rFonts w:hint="eastAsia" w:ascii="宋体" w:hAnsi="宋体" w:eastAsia="宋体" w:cs="宋体"/>
                <w:b/>
                <w:i w:val="0"/>
                <w:color w:val="auto"/>
                <w:kern w:val="0"/>
                <w:sz w:val="22"/>
                <w:szCs w:val="22"/>
                <w:highlight w:val="none"/>
                <w:u w:val="none"/>
                <w:bdr w:val="single" w:color="000000" w:sz="4" w:space="0"/>
                <w:lang w:val="en-US" w:eastAsia="zh-CN" w:bidi="ar"/>
              </w:rPr>
              <w:drawing>
                <wp:anchor distT="0" distB="0" distL="114300" distR="114300" simplePos="0" relativeHeight="251669504" behindDoc="0" locked="0" layoutInCell="1" allowOverlap="1">
                  <wp:simplePos x="0" y="0"/>
                  <wp:positionH relativeFrom="column">
                    <wp:posOffset>34925</wp:posOffset>
                  </wp:positionH>
                  <wp:positionV relativeFrom="paragraph">
                    <wp:posOffset>790575</wp:posOffset>
                  </wp:positionV>
                  <wp:extent cx="703580" cy="512445"/>
                  <wp:effectExtent l="0" t="0" r="1270" b="1905"/>
                  <wp:wrapNone/>
                  <wp:docPr id="13" name="ID_9F0F853F92BE4BD090722154BDC9EF5C"/>
                  <wp:cNvGraphicFramePr/>
                  <a:graphic xmlns:a="http://schemas.openxmlformats.org/drawingml/2006/main">
                    <a:graphicData uri="http://schemas.openxmlformats.org/drawingml/2006/picture">
                      <pic:pic xmlns:pic="http://schemas.openxmlformats.org/drawingml/2006/picture">
                        <pic:nvPicPr>
                          <pic:cNvPr id="13" name="ID_9F0F853F92BE4BD090722154BDC9EF5C"/>
                          <pic:cNvPicPr/>
                        </pic:nvPicPr>
                        <pic:blipFill>
                          <a:blip r:embed="rId9"/>
                          <a:stretch>
                            <a:fillRect/>
                          </a:stretch>
                        </pic:blipFill>
                        <pic:spPr>
                          <a:xfrm>
                            <a:off x="0" y="0"/>
                            <a:ext cx="703580" cy="512445"/>
                          </a:xfrm>
                          <a:prstGeom prst="rect">
                            <a:avLst/>
                          </a:prstGeom>
                          <a:noFill/>
                          <a:ln>
                            <a:noFill/>
                          </a:ln>
                        </pic:spPr>
                      </pic:pic>
                    </a:graphicData>
                  </a:graphic>
                </wp:anchor>
              </w:drawing>
            </w:r>
          </w:p>
        </w:tc>
        <w:tc>
          <w:tcPr>
            <w:tcW w:w="91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center"/>
              <w:rPr>
                <w:rFonts w:hint="default" w:ascii="宋体" w:hAnsi="宋体" w:eastAsia="宋体" w:cs="宋体"/>
                <w:i w:val="0"/>
                <w:color w:val="auto"/>
                <w:sz w:val="21"/>
                <w:szCs w:val="21"/>
                <w:highlight w:val="none"/>
                <w:u w:val="none"/>
                <w:lang w:val="en-US"/>
              </w:rPr>
            </w:pPr>
            <w:r>
              <w:rPr>
                <w:rStyle w:val="81"/>
                <w:color w:val="auto"/>
                <w:sz w:val="21"/>
                <w:szCs w:val="21"/>
                <w:highlight w:val="none"/>
                <w:lang w:val="en-US" w:eastAsia="zh-CN" w:bidi="ar"/>
              </w:rPr>
              <w:t>L60×W60×H52</w:t>
            </w:r>
            <w:r>
              <w:rPr>
                <w:rStyle w:val="81"/>
                <w:rFonts w:hint="eastAsia"/>
                <w:color w:val="auto"/>
                <w:sz w:val="21"/>
                <w:szCs w:val="21"/>
                <w:highlight w:val="none"/>
                <w:lang w:val="en-US" w:eastAsia="zh-CN" w:bidi="ar"/>
              </w:rPr>
              <w:t>cm</w:t>
            </w:r>
          </w:p>
        </w:tc>
        <w:tc>
          <w:tcPr>
            <w:tcW w:w="53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Autospacing="0" w:line="350" w:lineRule="exact"/>
              <w:jc w:val="left"/>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1.产品框架采用橡胶木生产加工而成，桌面厚度为18MM橡胶木拼板，桌脚为50*50MM；甲醛释放量≤0.1mg/L，符合当地木材含水率标准；</w:t>
            </w:r>
            <w:r>
              <w:rPr>
                <w:rFonts w:hint="eastAsia" w:ascii="宋体" w:hAnsi="宋体" w:eastAsia="宋体" w:cs="宋体"/>
                <w:i w:val="0"/>
                <w:color w:val="auto"/>
                <w:kern w:val="0"/>
                <w:sz w:val="18"/>
                <w:szCs w:val="18"/>
                <w:highlight w:val="none"/>
                <w:u w:val="none"/>
                <w:lang w:val="en-US" w:eastAsia="zh-CN" w:bidi="ar"/>
              </w:rPr>
              <w:br w:type="textWrapping"/>
            </w:r>
            <w:r>
              <w:rPr>
                <w:rFonts w:hint="eastAsia" w:ascii="宋体" w:hAnsi="宋体" w:eastAsia="宋体" w:cs="宋体"/>
                <w:i w:val="0"/>
                <w:color w:val="auto"/>
                <w:kern w:val="0"/>
                <w:sz w:val="18"/>
                <w:szCs w:val="18"/>
                <w:highlight w:val="none"/>
                <w:u w:val="none"/>
                <w:lang w:val="en-US" w:eastAsia="zh-CN" w:bidi="ar"/>
              </w:rPr>
              <w:t>2.油漆：采用水性环保漆，水性漆经久耐用，不易黄变，耐霉菌性能好，耐人工气候老化，涂膜无起泡无剥落、无裂纹，耐黄变性能符合GB/T 23999-2009、GB/T 23987-2009标准要求，耐霉菌性能符合GB/T 1741-2020标准要求，耐人工气候老化符合GB/T 1865-2009、GB/T 1766-2008标准要求。</w:t>
            </w:r>
            <w:r>
              <w:rPr>
                <w:rFonts w:hint="eastAsia" w:ascii="宋体" w:hAnsi="宋体" w:eastAsia="宋体" w:cs="宋体"/>
                <w:i w:val="0"/>
                <w:color w:val="auto"/>
                <w:kern w:val="0"/>
                <w:sz w:val="18"/>
                <w:szCs w:val="18"/>
                <w:highlight w:val="none"/>
                <w:u w:val="none"/>
                <w:lang w:val="en-US" w:eastAsia="zh-CN" w:bidi="ar"/>
              </w:rPr>
              <w:br w:type="textWrapping"/>
            </w:r>
            <w:r>
              <w:rPr>
                <w:rFonts w:hint="eastAsia" w:ascii="宋体" w:hAnsi="宋体" w:eastAsia="宋体" w:cs="宋体"/>
                <w:i w:val="0"/>
                <w:color w:val="auto"/>
                <w:kern w:val="0"/>
                <w:sz w:val="18"/>
                <w:szCs w:val="18"/>
                <w:highlight w:val="none"/>
                <w:u w:val="none"/>
                <w:lang w:val="en-US" w:eastAsia="zh-CN" w:bidi="ar"/>
              </w:rPr>
              <w:t>3.产品外观要求、理化性能要求、结构安全、有害物质限量（可迁移元素、甲醛释放量等）、力学性能、警示标识等符合GB28007-2011标准要求。</w:t>
            </w:r>
            <w:r>
              <w:rPr>
                <w:rFonts w:hint="eastAsia" w:ascii="宋体" w:hAnsi="宋体" w:eastAsia="宋体" w:cs="宋体"/>
                <w:i w:val="0"/>
                <w:color w:val="auto"/>
                <w:kern w:val="0"/>
                <w:sz w:val="18"/>
                <w:szCs w:val="18"/>
                <w:highlight w:val="none"/>
                <w:u w:val="none"/>
                <w:lang w:val="en-US" w:eastAsia="zh-CN" w:bidi="ar"/>
              </w:rPr>
              <w:br w:type="textWrapping"/>
            </w:r>
            <w:r>
              <w:rPr>
                <w:rFonts w:hint="eastAsia" w:ascii="宋体" w:hAnsi="宋体" w:eastAsia="宋体" w:cs="宋体"/>
                <w:i w:val="0"/>
                <w:color w:val="auto"/>
                <w:kern w:val="0"/>
                <w:sz w:val="18"/>
                <w:szCs w:val="18"/>
                <w:highlight w:val="none"/>
                <w:u w:val="none"/>
                <w:lang w:val="en-US" w:eastAsia="zh-CN" w:bidi="ar"/>
              </w:rPr>
              <w:t>4.五金：采用优质环保五金，安全无毒，表面特定元素的迁移符合标准要求，锑、砷、钡、镉、铬、铅、汞、硒等八大重金属含量符合行业标准要求。五金件通过中性盐雾试验、无生锈、无气泡、无粉化等腐蚀现象等符合GB/T 1766-2008、GB/T 10125-2021标准要求。</w:t>
            </w:r>
            <w:r>
              <w:rPr>
                <w:rFonts w:hint="eastAsia" w:ascii="宋体" w:hAnsi="宋体" w:eastAsia="宋体" w:cs="宋体"/>
                <w:i w:val="0"/>
                <w:color w:val="auto"/>
                <w:kern w:val="0"/>
                <w:sz w:val="18"/>
                <w:szCs w:val="18"/>
                <w:highlight w:val="none"/>
                <w:u w:val="none"/>
                <w:lang w:val="en-US" w:eastAsia="zh-CN" w:bidi="ar"/>
              </w:rPr>
              <w:br w:type="textWrapping"/>
            </w:r>
            <w:r>
              <w:rPr>
                <w:rFonts w:hint="eastAsia" w:ascii="宋体" w:hAnsi="宋体" w:eastAsia="宋体" w:cs="宋体"/>
                <w:i w:val="0"/>
                <w:color w:val="auto"/>
                <w:kern w:val="0"/>
                <w:sz w:val="18"/>
                <w:szCs w:val="18"/>
                <w:highlight w:val="none"/>
                <w:u w:val="none"/>
                <w:lang w:val="en-US" w:eastAsia="zh-CN" w:bidi="ar"/>
              </w:rPr>
              <w:t>5.脚钉：安装防滑脚钉，保护地板减少噪音，其中脚钉的领苯二甲酸酯符合GB28007-2011的检测标准。</w:t>
            </w:r>
          </w:p>
        </w:tc>
        <w:tc>
          <w:tcPr>
            <w:tcW w:w="6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张</w:t>
            </w:r>
          </w:p>
        </w:tc>
        <w:tc>
          <w:tcPr>
            <w:tcW w:w="65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1</w:t>
            </w:r>
          </w:p>
        </w:tc>
      </w:tr>
      <w:tr>
        <w:tblPrEx>
          <w:tblCellMar>
            <w:top w:w="0" w:type="dxa"/>
            <w:left w:w="0" w:type="dxa"/>
            <w:bottom w:w="0" w:type="dxa"/>
            <w:right w:w="0" w:type="dxa"/>
          </w:tblCellMar>
        </w:tblPrEx>
        <w:trPr>
          <w:trHeight w:val="2005" w:hRule="atLeast"/>
          <w:jc w:val="center"/>
        </w:trPr>
        <w:tc>
          <w:tcPr>
            <w:tcW w:w="6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center"/>
              <w:rPr>
                <w:rStyle w:val="81"/>
                <w:rFonts w:hint="eastAsia"/>
                <w:color w:val="auto"/>
                <w:highlight w:val="none"/>
                <w:lang w:val="en-US" w:eastAsia="zh-CN" w:bidi="ar"/>
              </w:rPr>
            </w:pPr>
            <w:r>
              <w:rPr>
                <w:rStyle w:val="81"/>
                <w:rFonts w:hint="eastAsia"/>
                <w:color w:val="auto"/>
                <w:highlight w:val="none"/>
                <w:lang w:val="en-US" w:eastAsia="zh-CN" w:bidi="ar"/>
              </w:rPr>
              <w:t>2</w:t>
            </w:r>
          </w:p>
        </w:tc>
        <w:tc>
          <w:tcPr>
            <w:tcW w:w="9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center"/>
              <w:rPr>
                <w:rStyle w:val="81"/>
                <w:rFonts w:hint="eastAsia"/>
                <w:color w:val="auto"/>
                <w:highlight w:val="none"/>
                <w:lang w:val="en-US" w:eastAsia="zh-CN" w:bidi="ar"/>
              </w:rPr>
            </w:pPr>
            <w:r>
              <w:rPr>
                <w:rStyle w:val="81"/>
                <w:rFonts w:hint="eastAsia"/>
                <w:color w:val="auto"/>
                <w:highlight w:val="none"/>
                <w:lang w:val="en-US" w:eastAsia="zh-CN" w:bidi="ar"/>
              </w:rPr>
              <w:t>儿童课椅</w:t>
            </w:r>
            <w:r>
              <w:rPr>
                <w:rStyle w:val="81"/>
                <w:rFonts w:hint="eastAsia"/>
                <w:color w:val="auto"/>
                <w:highlight w:val="none"/>
                <w:lang w:val="en-US" w:eastAsia="zh-CN" w:bidi="ar"/>
              </w:rPr>
              <w:br w:type="textWrapping"/>
            </w:r>
            <w:r>
              <w:rPr>
                <w:rStyle w:val="81"/>
                <w:rFonts w:hint="eastAsia"/>
                <w:color w:val="auto"/>
                <w:highlight w:val="none"/>
                <w:lang w:val="en-US" w:eastAsia="zh-CN" w:bidi="ar"/>
              </w:rPr>
              <w:t>大班</w:t>
            </w:r>
          </w:p>
        </w:tc>
        <w:tc>
          <w:tcPr>
            <w:tcW w:w="1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center"/>
              <w:rPr>
                <w:rFonts w:hint="eastAsia" w:ascii="宋体" w:hAnsi="宋体" w:eastAsia="宋体" w:cs="宋体"/>
                <w:b/>
                <w:i w:val="0"/>
                <w:color w:val="auto"/>
                <w:sz w:val="22"/>
                <w:szCs w:val="22"/>
                <w:highlight w:val="none"/>
                <w:u w:val="none"/>
              </w:rPr>
            </w:pPr>
            <w:r>
              <w:rPr>
                <w:rFonts w:hint="eastAsia" w:ascii="宋体" w:hAnsi="宋体" w:eastAsia="宋体" w:cs="宋体"/>
                <w:b/>
                <w:i w:val="0"/>
                <w:color w:val="auto"/>
                <w:kern w:val="0"/>
                <w:sz w:val="22"/>
                <w:szCs w:val="22"/>
                <w:highlight w:val="none"/>
                <w:u w:val="none"/>
                <w:bdr w:val="single" w:color="000000" w:sz="4" w:space="0"/>
                <w:lang w:val="en-US" w:eastAsia="zh-CN" w:bidi="ar"/>
              </w:rPr>
              <w:drawing>
                <wp:anchor distT="0" distB="0" distL="114300" distR="114300" simplePos="0" relativeHeight="251670528" behindDoc="0" locked="0" layoutInCell="1" allowOverlap="1">
                  <wp:simplePos x="0" y="0"/>
                  <wp:positionH relativeFrom="column">
                    <wp:posOffset>56515</wp:posOffset>
                  </wp:positionH>
                  <wp:positionV relativeFrom="paragraph">
                    <wp:posOffset>1381125</wp:posOffset>
                  </wp:positionV>
                  <wp:extent cx="568325" cy="675005"/>
                  <wp:effectExtent l="0" t="0" r="3175" b="10795"/>
                  <wp:wrapNone/>
                  <wp:docPr id="14" name="图片_1"/>
                  <wp:cNvGraphicFramePr/>
                  <a:graphic xmlns:a="http://schemas.openxmlformats.org/drawingml/2006/main">
                    <a:graphicData uri="http://schemas.openxmlformats.org/drawingml/2006/picture">
                      <pic:pic xmlns:pic="http://schemas.openxmlformats.org/drawingml/2006/picture">
                        <pic:nvPicPr>
                          <pic:cNvPr id="14" name="图片_1"/>
                          <pic:cNvPicPr/>
                        </pic:nvPicPr>
                        <pic:blipFill>
                          <a:blip r:embed="rId10"/>
                          <a:stretch>
                            <a:fillRect/>
                          </a:stretch>
                        </pic:blipFill>
                        <pic:spPr>
                          <a:xfrm>
                            <a:off x="0" y="0"/>
                            <a:ext cx="568325" cy="675005"/>
                          </a:xfrm>
                          <a:prstGeom prst="rect">
                            <a:avLst/>
                          </a:prstGeom>
                          <a:noFill/>
                          <a:ln>
                            <a:noFill/>
                          </a:ln>
                        </pic:spPr>
                      </pic:pic>
                    </a:graphicData>
                  </a:graphic>
                </wp:anchor>
              </w:drawing>
            </w:r>
          </w:p>
        </w:tc>
        <w:tc>
          <w:tcPr>
            <w:tcW w:w="91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center"/>
              <w:rPr>
                <w:rFonts w:hint="default" w:ascii="宋体" w:hAnsi="宋体" w:eastAsia="宋体" w:cs="宋体"/>
                <w:i w:val="0"/>
                <w:color w:val="auto"/>
                <w:sz w:val="21"/>
                <w:szCs w:val="21"/>
                <w:highlight w:val="none"/>
                <w:u w:val="none"/>
                <w:lang w:val="en-US"/>
              </w:rPr>
            </w:pPr>
            <w:r>
              <w:rPr>
                <w:rFonts w:hint="eastAsia" w:ascii="宋体" w:hAnsi="宋体" w:eastAsia="宋体" w:cs="宋体"/>
                <w:i w:val="0"/>
                <w:color w:val="auto"/>
                <w:kern w:val="0"/>
                <w:sz w:val="21"/>
                <w:szCs w:val="21"/>
                <w:highlight w:val="none"/>
                <w:u w:val="none"/>
                <w:lang w:val="en-US" w:eastAsia="zh-CN" w:bidi="ar"/>
              </w:rPr>
              <w:t>高度29</w:t>
            </w:r>
            <w:r>
              <w:rPr>
                <w:rFonts w:hint="eastAsia" w:ascii="宋体" w:hAnsi="宋体" w:cs="宋体"/>
                <w:i w:val="0"/>
                <w:color w:val="auto"/>
                <w:kern w:val="0"/>
                <w:sz w:val="21"/>
                <w:szCs w:val="21"/>
                <w:highlight w:val="none"/>
                <w:u w:val="none"/>
                <w:lang w:val="en-US" w:eastAsia="zh-CN" w:bidi="ar"/>
              </w:rPr>
              <w:t>cm</w:t>
            </w:r>
          </w:p>
        </w:tc>
        <w:tc>
          <w:tcPr>
            <w:tcW w:w="53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50" w:lineRule="exact"/>
              <w:jc w:val="left"/>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 xml:space="preserve">1.产品框架采用橡胶木生产加工而成，椅面厚度为18MM橡胶木拼板，椅脚规格为40*24MM；甲醛释放量≤0.1mg/L，符合当地木材含水率标准；                                                           </w:t>
            </w:r>
            <w:r>
              <w:rPr>
                <w:rFonts w:hint="eastAsia" w:ascii="宋体" w:hAnsi="宋体" w:eastAsia="宋体" w:cs="宋体"/>
                <w:i w:val="0"/>
                <w:color w:val="auto"/>
                <w:kern w:val="0"/>
                <w:sz w:val="18"/>
                <w:szCs w:val="18"/>
                <w:highlight w:val="none"/>
                <w:u w:val="none"/>
                <w:lang w:val="en-US" w:eastAsia="zh-CN" w:bidi="ar"/>
              </w:rPr>
              <w:br w:type="textWrapping"/>
            </w:r>
            <w:r>
              <w:rPr>
                <w:rFonts w:hint="eastAsia" w:ascii="宋体" w:hAnsi="宋体" w:eastAsia="宋体" w:cs="宋体"/>
                <w:i w:val="0"/>
                <w:color w:val="auto"/>
                <w:kern w:val="0"/>
                <w:sz w:val="18"/>
                <w:szCs w:val="18"/>
                <w:highlight w:val="none"/>
                <w:u w:val="none"/>
                <w:lang w:val="en-US" w:eastAsia="zh-CN" w:bidi="ar"/>
              </w:rPr>
              <w:t>2.油漆：采用水性环保漆，水性漆经久耐用，不易黄变，耐霉菌性能好，耐人工气候老化，涂膜无起泡无剥落、无裂纹，耐黄变性能符合GB/T 23999-2009、GB/T 23987-2009标准要求，耐霉菌性能符合GB/T 1741-2020标准要求，耐人工气候老化符合GB/T 1865-2009、GB/T 1766-2008标准要求。</w:t>
            </w:r>
            <w:r>
              <w:rPr>
                <w:rFonts w:hint="eastAsia" w:ascii="宋体" w:hAnsi="宋体" w:eastAsia="宋体" w:cs="宋体"/>
                <w:i w:val="0"/>
                <w:color w:val="auto"/>
                <w:kern w:val="0"/>
                <w:sz w:val="18"/>
                <w:szCs w:val="18"/>
                <w:highlight w:val="none"/>
                <w:u w:val="none"/>
                <w:lang w:val="en-US" w:eastAsia="zh-CN" w:bidi="ar"/>
              </w:rPr>
              <w:br w:type="textWrapping"/>
            </w:r>
            <w:r>
              <w:rPr>
                <w:rFonts w:hint="eastAsia" w:ascii="宋体" w:hAnsi="宋体" w:eastAsia="宋体" w:cs="宋体"/>
                <w:i w:val="0"/>
                <w:color w:val="auto"/>
                <w:kern w:val="0"/>
                <w:sz w:val="18"/>
                <w:szCs w:val="18"/>
                <w:highlight w:val="none"/>
                <w:u w:val="none"/>
                <w:lang w:val="en-US" w:eastAsia="zh-CN" w:bidi="ar"/>
              </w:rPr>
              <w:t>3.产品外观要求、理化性能要求、结构安全、有害物质限量（可迁移元素、甲醛释放量等）、力学性能、警示标识等符合GB28007-2011标准要求。</w:t>
            </w:r>
            <w:r>
              <w:rPr>
                <w:rFonts w:hint="eastAsia" w:ascii="宋体" w:hAnsi="宋体" w:eastAsia="宋体" w:cs="宋体"/>
                <w:i w:val="0"/>
                <w:color w:val="auto"/>
                <w:kern w:val="0"/>
                <w:sz w:val="18"/>
                <w:szCs w:val="18"/>
                <w:highlight w:val="none"/>
                <w:u w:val="none"/>
                <w:lang w:val="en-US" w:eastAsia="zh-CN" w:bidi="ar"/>
              </w:rPr>
              <w:br w:type="textWrapping"/>
            </w:r>
            <w:r>
              <w:rPr>
                <w:rFonts w:hint="eastAsia" w:ascii="宋体" w:hAnsi="宋体" w:eastAsia="宋体" w:cs="宋体"/>
                <w:i w:val="0"/>
                <w:color w:val="auto"/>
                <w:kern w:val="0"/>
                <w:sz w:val="18"/>
                <w:szCs w:val="18"/>
                <w:highlight w:val="none"/>
                <w:u w:val="none"/>
                <w:lang w:val="en-US" w:eastAsia="zh-CN" w:bidi="ar"/>
              </w:rPr>
              <w:t>4.五金：采用优质环保五金，安全无毒，表面特定元素的迁移符合标准要求，锑、砷、钡、镉、铬、铅、汞、硒等八大重金属含量符合行业标准要求。五金件通过中性盐雾试验、无生锈、无气泡、无粉化等腐蚀现象等符合GB/T 1766-2008、GB/T 10125-2021标准要求。</w:t>
            </w:r>
            <w:r>
              <w:rPr>
                <w:rFonts w:hint="eastAsia" w:ascii="宋体" w:hAnsi="宋体" w:eastAsia="宋体" w:cs="宋体"/>
                <w:i w:val="0"/>
                <w:color w:val="auto"/>
                <w:kern w:val="0"/>
                <w:sz w:val="18"/>
                <w:szCs w:val="18"/>
                <w:highlight w:val="none"/>
                <w:u w:val="none"/>
                <w:lang w:val="en-US" w:eastAsia="zh-CN" w:bidi="ar"/>
              </w:rPr>
              <w:br w:type="textWrapping"/>
            </w:r>
            <w:r>
              <w:rPr>
                <w:rFonts w:hint="eastAsia" w:ascii="宋体" w:hAnsi="宋体" w:eastAsia="宋体" w:cs="宋体"/>
                <w:i w:val="0"/>
                <w:color w:val="auto"/>
                <w:kern w:val="0"/>
                <w:sz w:val="18"/>
                <w:szCs w:val="18"/>
                <w:highlight w:val="none"/>
                <w:u w:val="none"/>
                <w:lang w:val="en-US" w:eastAsia="zh-CN" w:bidi="ar"/>
              </w:rPr>
              <w:t>5.脚钉：安装防滑脚钉，保护地板减少噪音，其中脚钉的领苯二甲酸酯符合GB28007-2011的检测标准。</w:t>
            </w:r>
          </w:p>
        </w:tc>
        <w:tc>
          <w:tcPr>
            <w:tcW w:w="6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张</w:t>
            </w:r>
          </w:p>
        </w:tc>
        <w:tc>
          <w:tcPr>
            <w:tcW w:w="65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1</w:t>
            </w:r>
          </w:p>
        </w:tc>
      </w:tr>
      <w:tr>
        <w:tblPrEx>
          <w:tblCellMar>
            <w:top w:w="0" w:type="dxa"/>
            <w:left w:w="0" w:type="dxa"/>
            <w:bottom w:w="0" w:type="dxa"/>
            <w:right w:w="0" w:type="dxa"/>
          </w:tblCellMar>
        </w:tblPrEx>
        <w:trPr>
          <w:trHeight w:val="3540" w:hRule="atLeast"/>
          <w:jc w:val="center"/>
        </w:trPr>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3</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center"/>
              <w:rPr>
                <w:rFonts w:hint="eastAsia" w:ascii="宋体" w:hAnsi="宋体" w:eastAsia="宋体" w:cs="宋体"/>
                <w:i w:val="0"/>
                <w:color w:val="auto"/>
                <w:kern w:val="0"/>
                <w:sz w:val="22"/>
                <w:szCs w:val="22"/>
                <w:highlight w:val="none"/>
                <w:u w:val="none"/>
                <w:lang w:val="en-US" w:eastAsia="zh-CN" w:bidi="ar"/>
              </w:rPr>
            </w:pPr>
            <w:r>
              <w:rPr>
                <w:rFonts w:hint="eastAsia" w:ascii="宋体" w:hAnsi="宋体" w:eastAsia="宋体" w:cs="宋体"/>
                <w:i w:val="0"/>
                <w:color w:val="auto"/>
                <w:kern w:val="0"/>
                <w:sz w:val="22"/>
                <w:szCs w:val="22"/>
                <w:highlight w:val="none"/>
                <w:u w:val="none"/>
                <w:lang w:val="en-US" w:eastAsia="zh-CN" w:bidi="ar"/>
              </w:rPr>
              <w:t>六格高柜</w:t>
            </w:r>
          </w:p>
          <w:p>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（每班2个）</w:t>
            </w: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center"/>
              <w:rPr>
                <w:rFonts w:hint="eastAsia" w:ascii="宋体" w:hAnsi="宋体" w:eastAsia="宋体" w:cs="宋体"/>
                <w:b/>
                <w:i w:val="0"/>
                <w:color w:val="auto"/>
                <w:sz w:val="22"/>
                <w:szCs w:val="22"/>
                <w:highlight w:val="none"/>
                <w:u w:val="none"/>
              </w:rPr>
            </w:pPr>
            <w:r>
              <w:rPr>
                <w:color w:val="auto"/>
                <w:highlight w:val="none"/>
              </w:rPr>
              <w:drawing>
                <wp:inline distT="0" distB="0" distL="114300" distR="114300">
                  <wp:extent cx="848360" cy="622300"/>
                  <wp:effectExtent l="0" t="0" r="8890" b="635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pic:cNvPicPr>
                            <a:picLocks noChangeAspect="1"/>
                          </pic:cNvPicPr>
                        </pic:nvPicPr>
                        <pic:blipFill>
                          <a:blip r:embed="rId11"/>
                          <a:stretch>
                            <a:fillRect/>
                          </a:stretch>
                        </pic:blipFill>
                        <pic:spPr>
                          <a:xfrm>
                            <a:off x="0" y="0"/>
                            <a:ext cx="848360" cy="622300"/>
                          </a:xfrm>
                          <a:prstGeom prst="rect">
                            <a:avLst/>
                          </a:prstGeom>
                          <a:noFill/>
                          <a:ln>
                            <a:noFill/>
                          </a:ln>
                        </pic:spPr>
                      </pic:pic>
                    </a:graphicData>
                  </a:graphic>
                </wp:inline>
              </w:drawing>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center"/>
              <w:rPr>
                <w:rFonts w:hint="eastAsia" w:ascii="宋体" w:hAnsi="宋体" w:eastAsia="宋体" w:cs="宋体"/>
                <w:i w:val="0"/>
                <w:color w:val="auto"/>
                <w:sz w:val="21"/>
                <w:szCs w:val="21"/>
                <w:highlight w:val="none"/>
                <w:u w:val="none"/>
              </w:rPr>
            </w:pPr>
            <w:r>
              <w:rPr>
                <w:rStyle w:val="81"/>
                <w:rFonts w:hint="eastAsia"/>
                <w:color w:val="auto"/>
                <w:sz w:val="21"/>
                <w:szCs w:val="21"/>
                <w:highlight w:val="none"/>
                <w:lang w:val="en-US" w:eastAsia="zh-CN" w:bidi="ar"/>
              </w:rPr>
              <w:t xml:space="preserve">90*30*80CM             </w:t>
            </w:r>
            <w:r>
              <w:rPr>
                <w:rStyle w:val="82"/>
                <w:color w:val="auto"/>
                <w:sz w:val="21"/>
                <w:szCs w:val="21"/>
                <w:highlight w:val="none"/>
                <w:lang w:val="en-US" w:eastAsia="zh-CN" w:bidi="ar"/>
              </w:rPr>
              <w:t xml:space="preserve">          </w:t>
            </w:r>
          </w:p>
        </w:tc>
        <w:tc>
          <w:tcPr>
            <w:tcW w:w="5318"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Autospacing="0" w:line="350" w:lineRule="exact"/>
              <w:jc w:val="left"/>
              <w:textAlignment w:val="center"/>
              <w:rPr>
                <w:rFonts w:hint="eastAsia" w:ascii="宋体" w:hAnsi="宋体" w:eastAsia="宋体" w:cs="宋体"/>
                <w:i w:val="0"/>
                <w:color w:val="auto"/>
                <w:kern w:val="0"/>
                <w:sz w:val="18"/>
                <w:szCs w:val="18"/>
                <w:highlight w:val="none"/>
                <w:u w:val="none"/>
                <w:lang w:val="en-US" w:eastAsia="zh-CN" w:bidi="ar"/>
              </w:rPr>
            </w:pPr>
            <w:r>
              <w:rPr>
                <w:rFonts w:hint="eastAsia" w:ascii="宋体" w:hAnsi="宋体" w:eastAsia="宋体" w:cs="宋体"/>
                <w:i w:val="0"/>
                <w:color w:val="auto"/>
                <w:kern w:val="0"/>
                <w:sz w:val="18"/>
                <w:szCs w:val="18"/>
                <w:highlight w:val="none"/>
                <w:u w:val="none"/>
                <w:lang w:val="en-US" w:eastAsia="zh-CN" w:bidi="ar"/>
              </w:rPr>
              <w:t>1.产品采用18MM橡胶木拼板生产加工而成，甲醛释放量≤0.1mg/L，符合当地木材含水率标准；</w:t>
            </w:r>
          </w:p>
          <w:p>
            <w:pPr>
              <w:keepNext w:val="0"/>
              <w:keepLines w:val="0"/>
              <w:pageBreakBefore w:val="0"/>
              <w:widowControl/>
              <w:suppressLineNumbers w:val="0"/>
              <w:kinsoku/>
              <w:wordWrap/>
              <w:overflowPunct/>
              <w:topLinePunct w:val="0"/>
              <w:autoSpaceDE/>
              <w:autoSpaceDN/>
              <w:bidi w:val="0"/>
              <w:adjustRightInd/>
              <w:snapToGrid/>
              <w:spacing w:afterAutospacing="0" w:line="350" w:lineRule="exact"/>
              <w:jc w:val="left"/>
              <w:textAlignment w:val="center"/>
              <w:rPr>
                <w:rFonts w:hint="eastAsia" w:ascii="宋体" w:hAnsi="宋体" w:eastAsia="宋体" w:cs="宋体"/>
                <w:i w:val="0"/>
                <w:color w:val="auto"/>
                <w:kern w:val="0"/>
                <w:sz w:val="18"/>
                <w:szCs w:val="18"/>
                <w:highlight w:val="none"/>
                <w:u w:val="none"/>
                <w:lang w:val="en-US" w:eastAsia="zh-CN" w:bidi="ar"/>
              </w:rPr>
            </w:pPr>
            <w:r>
              <w:rPr>
                <w:rFonts w:hint="eastAsia" w:ascii="宋体" w:hAnsi="宋体" w:eastAsia="宋体" w:cs="宋体"/>
                <w:i w:val="0"/>
                <w:color w:val="auto"/>
                <w:kern w:val="0"/>
                <w:sz w:val="18"/>
                <w:szCs w:val="18"/>
                <w:highlight w:val="none"/>
                <w:u w:val="none"/>
                <w:lang w:val="en-US" w:eastAsia="zh-CN" w:bidi="ar"/>
              </w:rPr>
              <w:t>2.油漆：采用水性环保漆，水性漆经久耐用，不易黄变，耐霉菌性能好，耐人工气候老化，涂膜无起泡无剥落、无裂纹，耐黄变性能符合GB/T 23999-2009、GB/T 23987-2009标准要求，耐霉菌性能符合GB/T 1741-2020标准要求，耐人工气候老化符合GB/T 1865-2009、GB/T 1766-2008标准要求。</w:t>
            </w:r>
          </w:p>
          <w:p>
            <w:pPr>
              <w:keepNext w:val="0"/>
              <w:keepLines w:val="0"/>
              <w:pageBreakBefore w:val="0"/>
              <w:widowControl/>
              <w:suppressLineNumbers w:val="0"/>
              <w:kinsoku/>
              <w:wordWrap/>
              <w:overflowPunct/>
              <w:topLinePunct w:val="0"/>
              <w:autoSpaceDE/>
              <w:autoSpaceDN/>
              <w:bidi w:val="0"/>
              <w:adjustRightInd/>
              <w:snapToGrid/>
              <w:spacing w:afterAutospacing="0" w:line="350" w:lineRule="exact"/>
              <w:jc w:val="left"/>
              <w:textAlignment w:val="center"/>
              <w:rPr>
                <w:rFonts w:hint="eastAsia" w:ascii="宋体" w:hAnsi="宋体" w:eastAsia="宋体" w:cs="宋体"/>
                <w:i w:val="0"/>
                <w:color w:val="auto"/>
                <w:kern w:val="0"/>
                <w:sz w:val="18"/>
                <w:szCs w:val="18"/>
                <w:highlight w:val="none"/>
                <w:u w:val="none"/>
                <w:lang w:val="en-US" w:eastAsia="zh-CN" w:bidi="ar"/>
              </w:rPr>
            </w:pPr>
            <w:r>
              <w:rPr>
                <w:rFonts w:hint="eastAsia" w:ascii="宋体" w:hAnsi="宋体" w:eastAsia="宋体" w:cs="宋体"/>
                <w:i w:val="0"/>
                <w:color w:val="auto"/>
                <w:kern w:val="0"/>
                <w:sz w:val="18"/>
                <w:szCs w:val="18"/>
                <w:highlight w:val="none"/>
                <w:u w:val="none"/>
                <w:lang w:val="en-US" w:eastAsia="zh-CN" w:bidi="ar"/>
              </w:rPr>
              <w:t>3.产品外观要求、理化性能要求、结构安全、有害物质限量（可迁移元素、甲醛释放量等）、力学性能、警示标识等符合GB28007-2011标准要求。</w:t>
            </w:r>
          </w:p>
          <w:p>
            <w:pPr>
              <w:keepNext w:val="0"/>
              <w:keepLines w:val="0"/>
              <w:pageBreakBefore w:val="0"/>
              <w:widowControl/>
              <w:suppressLineNumbers w:val="0"/>
              <w:kinsoku/>
              <w:wordWrap/>
              <w:overflowPunct/>
              <w:topLinePunct w:val="0"/>
              <w:autoSpaceDE/>
              <w:autoSpaceDN/>
              <w:bidi w:val="0"/>
              <w:adjustRightInd/>
              <w:snapToGrid/>
              <w:spacing w:afterAutospacing="0" w:line="350" w:lineRule="exact"/>
              <w:jc w:val="left"/>
              <w:textAlignment w:val="center"/>
              <w:rPr>
                <w:rFonts w:hint="eastAsia" w:ascii="宋体" w:hAnsi="宋体" w:eastAsia="宋体" w:cs="宋体"/>
                <w:i w:val="0"/>
                <w:color w:val="auto"/>
                <w:kern w:val="0"/>
                <w:sz w:val="18"/>
                <w:szCs w:val="18"/>
                <w:highlight w:val="none"/>
                <w:u w:val="none"/>
                <w:lang w:val="en-US" w:eastAsia="zh-CN" w:bidi="ar"/>
              </w:rPr>
            </w:pPr>
            <w:r>
              <w:rPr>
                <w:rFonts w:hint="eastAsia" w:ascii="宋体" w:hAnsi="宋体" w:eastAsia="宋体" w:cs="宋体"/>
                <w:i w:val="0"/>
                <w:color w:val="auto"/>
                <w:kern w:val="0"/>
                <w:sz w:val="18"/>
                <w:szCs w:val="18"/>
                <w:highlight w:val="none"/>
                <w:u w:val="none"/>
                <w:lang w:val="en-US" w:eastAsia="zh-CN" w:bidi="ar"/>
              </w:rPr>
              <w:t>4.五金：采用优质环保五金，安全无毒，表面特定元素的迁移符合标准要求，锑、砷、钡、镉、铬、铅、汞、硒等八大重金属含量符合行业标准要求。五金件通过中性盐雾试验、无生锈、无气泡、无粉化等腐蚀现象等符合GB/T 1766-2008、GB/T 10125-2021标准要求。</w:t>
            </w:r>
          </w:p>
          <w:p>
            <w:pPr>
              <w:keepNext w:val="0"/>
              <w:keepLines w:val="0"/>
              <w:pageBreakBefore w:val="0"/>
              <w:widowControl/>
              <w:suppressLineNumbers w:val="0"/>
              <w:kinsoku/>
              <w:wordWrap/>
              <w:overflowPunct/>
              <w:topLinePunct w:val="0"/>
              <w:autoSpaceDE/>
              <w:autoSpaceDN/>
              <w:bidi w:val="0"/>
              <w:adjustRightInd/>
              <w:snapToGrid/>
              <w:spacing w:afterAutospacing="0" w:line="350" w:lineRule="exact"/>
              <w:jc w:val="left"/>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5.脚钉：安装防滑脚钉，保护地板减少噪音，其中脚钉的领苯二甲酸酯符合GB28007-2011的检测标准。</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个</w:t>
            </w:r>
          </w:p>
        </w:tc>
        <w:tc>
          <w:tcPr>
            <w:tcW w:w="65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1</w:t>
            </w:r>
          </w:p>
        </w:tc>
      </w:tr>
    </w:tbl>
    <w:p>
      <w:pPr>
        <w:rPr>
          <w:rFonts w:hint="eastAsia" w:ascii="宋体" w:hAnsi="宋体" w:eastAsia="宋体" w:cs="宋体"/>
          <w:b/>
          <w:bCs w:val="0"/>
          <w:color w:val="auto"/>
          <w:sz w:val="21"/>
          <w:szCs w:val="21"/>
          <w:highlight w:val="none"/>
          <w:lang w:eastAsia="zh-CN"/>
        </w:rPr>
      </w:pPr>
    </w:p>
    <w:p>
      <w:pPr>
        <w:rPr>
          <w:rFonts w:hint="eastAsia" w:ascii="宋体" w:hAnsi="宋体" w:cs="宋体"/>
          <w:b/>
          <w:color w:val="auto"/>
          <w:sz w:val="36"/>
          <w:szCs w:val="32"/>
          <w:highlight w:val="none"/>
        </w:rPr>
      </w:pPr>
    </w:p>
    <w:p>
      <w:pPr>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br w:type="page"/>
      </w:r>
    </w:p>
    <w:p>
      <w:pPr>
        <w:spacing w:line="400" w:lineRule="exact"/>
        <w:jc w:val="center"/>
        <w:outlineLvl w:val="0"/>
        <w:rPr>
          <w:rFonts w:ascii="宋体" w:hAnsi="宋体" w:cs="宋体"/>
          <w:b/>
          <w:bCs/>
          <w:color w:val="auto"/>
          <w:sz w:val="32"/>
          <w:szCs w:val="32"/>
          <w:highlight w:val="none"/>
        </w:rPr>
      </w:pPr>
      <w:r>
        <w:rPr>
          <w:rFonts w:hint="eastAsia" w:ascii="宋体" w:hAnsi="宋体" w:cs="宋体"/>
          <w:b/>
          <w:bCs/>
          <w:color w:val="auto"/>
          <w:sz w:val="32"/>
          <w:szCs w:val="32"/>
          <w:highlight w:val="none"/>
        </w:rPr>
        <w:t>目  录</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第一部分 采购邀请</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第二部分 响应人须知前附表</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第三部分 响应人须知</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第四部分 采购需求</w:t>
      </w:r>
    </w:p>
    <w:p>
      <w:pPr>
        <w:spacing w:line="400" w:lineRule="exact"/>
        <w:rPr>
          <w:rFonts w:ascii="宋体" w:hAnsi="宋体" w:cs="宋体"/>
          <w:color w:val="auto"/>
          <w:sz w:val="21"/>
          <w:szCs w:val="21"/>
          <w:highlight w:val="none"/>
        </w:rPr>
      </w:pPr>
      <w:r>
        <w:rPr>
          <w:color w:val="auto"/>
          <w:highlight w:val="none"/>
        </w:rPr>
        <w:fldChar w:fldCharType="begin"/>
      </w:r>
      <w:r>
        <w:rPr>
          <w:color w:val="auto"/>
          <w:highlight w:val="none"/>
        </w:rPr>
        <w:instrText xml:space="preserve"> HYPERLINK \l "_Toc214163640" </w:instrText>
      </w:r>
      <w:r>
        <w:rPr>
          <w:color w:val="auto"/>
          <w:highlight w:val="none"/>
        </w:rPr>
        <w:fldChar w:fldCharType="separate"/>
      </w:r>
      <w:r>
        <w:rPr>
          <w:rFonts w:hint="eastAsia" w:ascii="宋体" w:hAnsi="宋体" w:cs="宋体"/>
          <w:color w:val="auto"/>
          <w:sz w:val="21"/>
          <w:szCs w:val="21"/>
          <w:highlight w:val="none"/>
        </w:rPr>
        <w:t>第五部分 评审办法和</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评审标准</w:t>
      </w:r>
    </w:p>
    <w:p>
      <w:pPr>
        <w:spacing w:line="400" w:lineRule="exact"/>
        <w:rPr>
          <w:rStyle w:val="35"/>
          <w:rFonts w:ascii="宋体" w:hAnsi="宋体" w:cs="宋体"/>
          <w:color w:val="auto"/>
          <w:sz w:val="21"/>
          <w:szCs w:val="21"/>
          <w:highlight w:val="none"/>
        </w:rPr>
      </w:pPr>
      <w:r>
        <w:rPr>
          <w:rStyle w:val="35"/>
          <w:rFonts w:hint="eastAsia" w:ascii="宋体" w:hAnsi="宋体" w:cs="宋体"/>
          <w:color w:val="auto"/>
          <w:sz w:val="21"/>
          <w:szCs w:val="21"/>
          <w:highlight w:val="none"/>
        </w:rPr>
        <w:t>第六部分 合同条款</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第七部分 响应文件格式</w:t>
      </w:r>
    </w:p>
    <w:p>
      <w:pPr>
        <w:spacing w:line="400" w:lineRule="exact"/>
        <w:rPr>
          <w:rFonts w:ascii="宋体" w:hAnsi="宋体" w:cs="宋体"/>
          <w:color w:val="auto"/>
          <w:sz w:val="21"/>
          <w:szCs w:val="21"/>
          <w:highlight w:val="none"/>
        </w:rPr>
      </w:pPr>
    </w:p>
    <w:p>
      <w:pPr>
        <w:spacing w:line="400" w:lineRule="exact"/>
        <w:rPr>
          <w:rFonts w:ascii="宋体" w:hAnsi="宋体" w:cs="宋体"/>
          <w:color w:val="auto"/>
          <w:sz w:val="21"/>
          <w:szCs w:val="21"/>
          <w:highlight w:val="none"/>
        </w:rPr>
      </w:pPr>
    </w:p>
    <w:p>
      <w:pPr>
        <w:spacing w:line="400" w:lineRule="exact"/>
        <w:rPr>
          <w:rFonts w:ascii="宋体" w:hAnsi="宋体" w:cs="宋体"/>
          <w:color w:val="auto"/>
          <w:sz w:val="21"/>
          <w:szCs w:val="21"/>
          <w:highlight w:val="none"/>
        </w:rPr>
      </w:pPr>
    </w:p>
    <w:p>
      <w:pPr>
        <w:spacing w:line="400" w:lineRule="exact"/>
        <w:rPr>
          <w:rFonts w:ascii="宋体" w:hAnsi="宋体" w:cs="宋体"/>
          <w:color w:val="auto"/>
          <w:sz w:val="21"/>
          <w:szCs w:val="21"/>
          <w:highlight w:val="none"/>
        </w:rPr>
      </w:pPr>
    </w:p>
    <w:p>
      <w:pPr>
        <w:spacing w:line="400" w:lineRule="exact"/>
        <w:rPr>
          <w:rFonts w:ascii="宋体" w:hAnsi="宋体" w:cs="宋体"/>
          <w:color w:val="auto"/>
          <w:sz w:val="21"/>
          <w:szCs w:val="21"/>
          <w:highlight w:val="none"/>
        </w:rPr>
      </w:pPr>
    </w:p>
    <w:p>
      <w:pPr>
        <w:spacing w:line="400" w:lineRule="exact"/>
        <w:rPr>
          <w:rFonts w:ascii="宋体" w:hAnsi="宋体" w:cs="宋体"/>
          <w:color w:val="auto"/>
          <w:sz w:val="21"/>
          <w:szCs w:val="21"/>
          <w:highlight w:val="none"/>
        </w:rPr>
      </w:pPr>
    </w:p>
    <w:p>
      <w:pPr>
        <w:spacing w:line="400" w:lineRule="exact"/>
        <w:jc w:val="left"/>
        <w:rPr>
          <w:rFonts w:ascii="宋体" w:hAnsi="宋体" w:cs="宋体"/>
          <w:b/>
          <w:bCs/>
          <w:color w:val="auto"/>
          <w:sz w:val="21"/>
          <w:szCs w:val="21"/>
          <w:highlight w:val="none"/>
        </w:rPr>
      </w:pPr>
    </w:p>
    <w:p>
      <w:pPr>
        <w:spacing w:line="400" w:lineRule="exact"/>
        <w:jc w:val="center"/>
        <w:rPr>
          <w:rFonts w:ascii="宋体" w:hAnsi="宋体" w:cs="宋体"/>
          <w:b/>
          <w:color w:val="auto"/>
          <w:sz w:val="21"/>
          <w:szCs w:val="21"/>
          <w:highlight w:val="none"/>
          <w:lang w:bidi="ar"/>
        </w:rPr>
      </w:pPr>
    </w:p>
    <w:p>
      <w:pPr>
        <w:spacing w:line="400" w:lineRule="exact"/>
        <w:jc w:val="center"/>
        <w:rPr>
          <w:rFonts w:ascii="宋体" w:hAnsi="宋体" w:cs="宋体"/>
          <w:b/>
          <w:color w:val="auto"/>
          <w:sz w:val="21"/>
          <w:szCs w:val="21"/>
          <w:highlight w:val="none"/>
          <w:lang w:bidi="ar"/>
        </w:rPr>
      </w:pPr>
    </w:p>
    <w:p>
      <w:pPr>
        <w:spacing w:line="400" w:lineRule="exact"/>
        <w:jc w:val="center"/>
        <w:rPr>
          <w:rFonts w:ascii="宋体" w:hAnsi="宋体" w:cs="宋体"/>
          <w:b/>
          <w:color w:val="auto"/>
          <w:sz w:val="21"/>
          <w:szCs w:val="21"/>
          <w:highlight w:val="none"/>
          <w:lang w:bidi="ar"/>
        </w:rPr>
      </w:pPr>
    </w:p>
    <w:p>
      <w:pPr>
        <w:spacing w:line="400" w:lineRule="exact"/>
        <w:jc w:val="center"/>
        <w:rPr>
          <w:rFonts w:ascii="宋体" w:hAnsi="宋体" w:cs="宋体"/>
          <w:b/>
          <w:color w:val="auto"/>
          <w:sz w:val="21"/>
          <w:szCs w:val="21"/>
          <w:highlight w:val="none"/>
          <w:lang w:bidi="ar"/>
        </w:rPr>
      </w:pPr>
    </w:p>
    <w:p>
      <w:pPr>
        <w:spacing w:line="400" w:lineRule="exact"/>
        <w:jc w:val="center"/>
        <w:rPr>
          <w:rFonts w:ascii="宋体" w:hAnsi="宋体" w:cs="宋体"/>
          <w:b/>
          <w:color w:val="auto"/>
          <w:sz w:val="21"/>
          <w:szCs w:val="21"/>
          <w:highlight w:val="none"/>
          <w:lang w:bidi="ar"/>
        </w:rPr>
      </w:pPr>
    </w:p>
    <w:p>
      <w:pPr>
        <w:rPr>
          <w:rFonts w:ascii="宋体" w:hAnsi="宋体" w:cs="宋体"/>
          <w:color w:val="auto"/>
          <w:sz w:val="21"/>
          <w:szCs w:val="21"/>
          <w:highlight w:val="none"/>
          <w:lang w:bidi="ar"/>
        </w:rPr>
      </w:pPr>
    </w:p>
    <w:p>
      <w:pPr>
        <w:rPr>
          <w:rFonts w:ascii="宋体" w:hAnsi="宋体" w:cs="宋体"/>
          <w:b/>
          <w:color w:val="auto"/>
          <w:sz w:val="21"/>
          <w:szCs w:val="21"/>
          <w:highlight w:val="none"/>
          <w:lang w:bidi="ar"/>
        </w:rPr>
      </w:pPr>
    </w:p>
    <w:p>
      <w:pPr>
        <w:rPr>
          <w:rFonts w:ascii="宋体" w:hAnsi="宋体" w:cs="宋体"/>
          <w:color w:val="auto"/>
          <w:sz w:val="21"/>
          <w:szCs w:val="21"/>
          <w:highlight w:val="none"/>
          <w:lang w:bidi="ar"/>
        </w:rPr>
      </w:pPr>
    </w:p>
    <w:p>
      <w:pPr>
        <w:rPr>
          <w:rFonts w:ascii="宋体" w:hAnsi="宋体" w:cs="宋体"/>
          <w:b/>
          <w:color w:val="auto"/>
          <w:sz w:val="21"/>
          <w:szCs w:val="21"/>
          <w:highlight w:val="none"/>
          <w:lang w:bidi="ar"/>
        </w:rPr>
      </w:pPr>
    </w:p>
    <w:p>
      <w:pPr>
        <w:spacing w:line="400" w:lineRule="exact"/>
        <w:rPr>
          <w:rFonts w:ascii="宋体" w:hAnsi="宋体" w:cs="宋体"/>
          <w:b/>
          <w:bCs/>
          <w:color w:val="auto"/>
          <w:sz w:val="32"/>
          <w:szCs w:val="32"/>
          <w:highlight w:val="none"/>
        </w:rPr>
      </w:pPr>
    </w:p>
    <w:p>
      <w:pPr>
        <w:widowControl/>
        <w:jc w:val="left"/>
        <w:rPr>
          <w:rFonts w:ascii="宋体" w:hAnsi="宋体" w:cs="宋体"/>
          <w:b/>
          <w:bCs/>
          <w:color w:val="auto"/>
          <w:sz w:val="32"/>
          <w:szCs w:val="32"/>
          <w:highlight w:val="none"/>
        </w:rPr>
      </w:pPr>
      <w:r>
        <w:rPr>
          <w:rFonts w:ascii="宋体" w:hAnsi="宋体" w:cs="宋体"/>
          <w:b/>
          <w:bCs/>
          <w:color w:val="auto"/>
          <w:sz w:val="32"/>
          <w:szCs w:val="32"/>
          <w:highlight w:val="none"/>
        </w:rPr>
        <w:br w:type="page"/>
      </w:r>
    </w:p>
    <w:p>
      <w:pPr>
        <w:spacing w:line="440" w:lineRule="exact"/>
        <w:jc w:val="center"/>
        <w:outlineLvl w:val="0"/>
        <w:rPr>
          <w:rFonts w:ascii="宋体" w:hAnsi="宋体" w:cs="宋体"/>
          <w:color w:val="auto"/>
          <w:sz w:val="21"/>
          <w:szCs w:val="21"/>
          <w:highlight w:val="none"/>
        </w:rPr>
      </w:pPr>
      <w:r>
        <w:rPr>
          <w:rFonts w:hint="eastAsia" w:ascii="宋体" w:hAnsi="宋体" w:cs="宋体"/>
          <w:b/>
          <w:bCs/>
          <w:color w:val="auto"/>
          <w:sz w:val="21"/>
          <w:szCs w:val="21"/>
          <w:highlight w:val="none"/>
        </w:rPr>
        <w:t>第一部分 采购邀请</w:t>
      </w:r>
    </w:p>
    <w:p>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江苏信达建设工程咨询有限公司（以下简称代理机构）就以下所述项目相关服务进行竞争性磋商，邀请合格响应人密封响应。</w:t>
      </w:r>
    </w:p>
    <w:p>
      <w:pPr>
        <w:spacing w:line="440" w:lineRule="exact"/>
        <w:rPr>
          <w:rFonts w:hint="eastAsia" w:ascii="宋体" w:hAnsi="宋体" w:eastAsia="宋体" w:cs="宋体"/>
          <w:color w:val="auto"/>
          <w:sz w:val="21"/>
          <w:szCs w:val="21"/>
          <w:highlight w:val="none"/>
          <w:lang w:eastAsia="zh-CN"/>
        </w:rPr>
      </w:pPr>
      <w:r>
        <w:rPr>
          <w:rFonts w:hint="eastAsia" w:ascii="宋体" w:hAnsi="宋体" w:cs="宋体"/>
          <w:b/>
          <w:color w:val="auto"/>
          <w:sz w:val="21"/>
          <w:szCs w:val="21"/>
          <w:highlight w:val="none"/>
        </w:rPr>
        <w:t>一、项目名称：</w:t>
      </w:r>
      <w:bookmarkStart w:id="6" w:name="_Toc517793362"/>
      <w:r>
        <w:rPr>
          <w:rFonts w:hint="eastAsia" w:ascii="宋体" w:hAnsi="宋体" w:cs="宋体"/>
          <w:color w:val="auto"/>
          <w:sz w:val="21"/>
          <w:szCs w:val="21"/>
          <w:highlight w:val="none"/>
          <w:lang w:eastAsia="zh-CN"/>
        </w:rPr>
        <w:t>常州市金坛华罗庚实验幼儿园家具采购项目</w:t>
      </w:r>
    </w:p>
    <w:p>
      <w:pPr>
        <w:spacing w:line="440" w:lineRule="exact"/>
        <w:rPr>
          <w:rFonts w:ascii="宋体" w:hAnsi="宋体" w:cs="宋体"/>
          <w:b/>
          <w:color w:val="auto"/>
          <w:sz w:val="21"/>
          <w:szCs w:val="21"/>
          <w:highlight w:val="none"/>
        </w:rPr>
      </w:pPr>
      <w:r>
        <w:rPr>
          <w:rFonts w:hint="eastAsia" w:ascii="宋体" w:hAnsi="宋体" w:cs="宋体"/>
          <w:b/>
          <w:color w:val="auto"/>
          <w:sz w:val="21"/>
          <w:szCs w:val="21"/>
          <w:highlight w:val="none"/>
        </w:rPr>
        <w:t>二、磋商内容：</w:t>
      </w:r>
    </w:p>
    <w:p>
      <w:pPr>
        <w:spacing w:line="440" w:lineRule="exact"/>
        <w:ind w:firstLine="420" w:firstLineChars="200"/>
        <w:rPr>
          <w:rFonts w:ascii="宋体" w:hAnsi="宋体" w:cs="宋体"/>
          <w:bCs/>
          <w:color w:val="auto"/>
          <w:sz w:val="21"/>
          <w:szCs w:val="21"/>
          <w:highlight w:val="none"/>
        </w:rPr>
      </w:pPr>
      <w:r>
        <w:rPr>
          <w:rFonts w:hint="eastAsia" w:ascii="宋体" w:hAnsi="宋体" w:cs="宋体"/>
          <w:bCs/>
          <w:color w:val="auto"/>
          <w:sz w:val="21"/>
          <w:szCs w:val="21"/>
          <w:highlight w:val="none"/>
        </w:rPr>
        <w:t>1.</w:t>
      </w:r>
      <w:r>
        <w:rPr>
          <w:rFonts w:hint="eastAsia" w:ascii="宋体" w:hAnsi="宋体" w:cs="宋体"/>
          <w:color w:val="auto"/>
          <w:sz w:val="21"/>
          <w:szCs w:val="21"/>
          <w:highlight w:val="none"/>
        </w:rPr>
        <w:t>本次磋商共计</w:t>
      </w:r>
      <w:r>
        <w:rPr>
          <w:rFonts w:hint="eastAsia" w:ascii="宋体" w:hAnsi="宋体" w:cs="宋体"/>
          <w:bCs/>
          <w:color w:val="auto"/>
          <w:kern w:val="20"/>
          <w:sz w:val="21"/>
          <w:szCs w:val="21"/>
          <w:highlight w:val="none"/>
          <w:u w:val="single"/>
        </w:rPr>
        <w:t xml:space="preserve"> 1 </w:t>
      </w:r>
      <w:r>
        <w:rPr>
          <w:rFonts w:hint="eastAsia" w:ascii="宋体" w:hAnsi="宋体" w:cs="宋体"/>
          <w:color w:val="auto"/>
          <w:sz w:val="21"/>
          <w:szCs w:val="21"/>
          <w:highlight w:val="none"/>
        </w:rPr>
        <w:t>包。</w:t>
      </w:r>
    </w:p>
    <w:p>
      <w:pPr>
        <w:widowControl/>
        <w:spacing w:line="440" w:lineRule="exact"/>
        <w:ind w:firstLine="420" w:firstLineChars="200"/>
        <w:jc w:val="left"/>
        <w:rPr>
          <w:rFonts w:ascii="宋体" w:hAnsi="宋体" w:cs="宋体"/>
          <w:color w:val="auto"/>
          <w:sz w:val="21"/>
          <w:szCs w:val="21"/>
          <w:highlight w:val="none"/>
        </w:rPr>
      </w:pPr>
      <w:r>
        <w:rPr>
          <w:rFonts w:hint="eastAsia" w:ascii="宋体" w:hAnsi="宋体" w:cs="宋体"/>
          <w:color w:val="auto"/>
          <w:sz w:val="21"/>
          <w:szCs w:val="21"/>
          <w:highlight w:val="none"/>
        </w:rPr>
        <w:t>2.采购需求：</w:t>
      </w:r>
      <w:r>
        <w:rPr>
          <w:rFonts w:hint="eastAsia" w:ascii="宋体" w:hAnsi="宋体" w:cs="宋体"/>
          <w:color w:val="auto"/>
          <w:sz w:val="21"/>
          <w:szCs w:val="21"/>
          <w:highlight w:val="none"/>
          <w:lang w:val="en-US" w:eastAsia="zh-CN"/>
        </w:rPr>
        <w:t>清单范围内家具的供应、运输、安装调试及售后服务等。</w:t>
      </w:r>
    </w:p>
    <w:p>
      <w:pPr>
        <w:widowControl/>
        <w:spacing w:line="440" w:lineRule="exact"/>
        <w:ind w:firstLine="420" w:firstLineChars="200"/>
        <w:jc w:val="left"/>
        <w:rPr>
          <w:rFonts w:ascii="宋体" w:hAnsi="宋体" w:cs="宋体"/>
          <w:color w:val="auto"/>
          <w:sz w:val="21"/>
          <w:szCs w:val="21"/>
          <w:highlight w:val="none"/>
        </w:rPr>
      </w:pPr>
      <w:r>
        <w:rPr>
          <w:rFonts w:hint="eastAsia" w:ascii="宋体" w:hAnsi="宋体" w:cs="宋体"/>
          <w:color w:val="auto"/>
          <w:sz w:val="21"/>
          <w:szCs w:val="21"/>
          <w:highlight w:val="none"/>
        </w:rPr>
        <w:t>3.履约地点：</w:t>
      </w:r>
      <w:r>
        <w:rPr>
          <w:rFonts w:hint="eastAsia" w:ascii="宋体" w:hAnsi="宋体" w:eastAsia="宋体" w:cs="宋体"/>
          <w:color w:val="auto"/>
          <w:sz w:val="21"/>
          <w:szCs w:val="21"/>
          <w:highlight w:val="none"/>
          <w:lang w:eastAsia="zh-CN"/>
        </w:rPr>
        <w:t>位于滨湖新城；东至凌云路、南至思诚路、西至徐塘路、北至鸿福路</w:t>
      </w:r>
      <w:r>
        <w:rPr>
          <w:rFonts w:hint="eastAsia" w:ascii="宋体" w:hAnsi="宋体" w:eastAsia="宋体" w:cs="宋体"/>
          <w:color w:val="auto"/>
          <w:sz w:val="21"/>
          <w:szCs w:val="21"/>
          <w:highlight w:val="none"/>
          <w:lang w:val="zh-CN"/>
        </w:rPr>
        <w:t>；</w:t>
      </w:r>
    </w:p>
    <w:p>
      <w:pPr>
        <w:widowControl/>
        <w:spacing w:line="440" w:lineRule="exact"/>
        <w:ind w:firstLine="420" w:firstLineChars="200"/>
        <w:jc w:val="left"/>
        <w:rPr>
          <w:rFonts w:ascii="宋体" w:hAnsi="宋体" w:cs="宋体"/>
          <w:color w:val="auto"/>
          <w:sz w:val="21"/>
          <w:szCs w:val="21"/>
          <w:highlight w:val="none"/>
        </w:rPr>
      </w:pPr>
      <w:r>
        <w:rPr>
          <w:rFonts w:hint="eastAsia" w:ascii="宋体" w:hAnsi="宋体" w:cs="宋体"/>
          <w:color w:val="auto"/>
          <w:sz w:val="21"/>
          <w:szCs w:val="21"/>
          <w:highlight w:val="none"/>
        </w:rPr>
        <w:t>4.合同履行期限（交货期）：</w:t>
      </w:r>
      <w:r>
        <w:rPr>
          <w:rFonts w:hint="default" w:ascii="宋体" w:hAnsi="宋体" w:cs="宋体"/>
          <w:color w:val="auto"/>
          <w:sz w:val="21"/>
          <w:szCs w:val="21"/>
          <w:highlight w:val="none"/>
          <w:lang w:val="en-US" w:eastAsia="zh-CN"/>
        </w:rPr>
        <w:t>合同签订后</w:t>
      </w:r>
      <w:r>
        <w:rPr>
          <w:rFonts w:hint="eastAsia" w:ascii="宋体" w:hAnsi="宋体" w:cs="宋体"/>
          <w:color w:val="auto"/>
          <w:sz w:val="21"/>
          <w:szCs w:val="21"/>
          <w:highlight w:val="none"/>
          <w:lang w:val="en-US" w:eastAsia="zh-CN"/>
        </w:rPr>
        <w:t>25</w:t>
      </w:r>
      <w:r>
        <w:rPr>
          <w:rFonts w:hint="default" w:ascii="宋体" w:hAnsi="宋体" w:cs="宋体"/>
          <w:color w:val="auto"/>
          <w:sz w:val="21"/>
          <w:szCs w:val="21"/>
          <w:highlight w:val="none"/>
          <w:lang w:val="en-US" w:eastAsia="zh-CN"/>
        </w:rPr>
        <w:t>日历天内交货并完成调试，如不能如期供货，采购人有权终止合同，中标</w:t>
      </w:r>
      <w:r>
        <w:rPr>
          <w:rFonts w:hint="eastAsia" w:ascii="宋体" w:hAnsi="宋体" w:cs="宋体"/>
          <w:color w:val="auto"/>
          <w:sz w:val="21"/>
          <w:szCs w:val="21"/>
          <w:highlight w:val="none"/>
          <w:lang w:val="en-US" w:eastAsia="zh-CN"/>
        </w:rPr>
        <w:t>响应人</w:t>
      </w:r>
      <w:r>
        <w:rPr>
          <w:rFonts w:hint="default" w:ascii="宋体" w:hAnsi="宋体" w:cs="宋体"/>
          <w:color w:val="auto"/>
          <w:sz w:val="21"/>
          <w:szCs w:val="21"/>
          <w:highlight w:val="none"/>
          <w:lang w:val="en-US" w:eastAsia="zh-CN"/>
        </w:rPr>
        <w:t>须承担由此对采购人造成的损失。</w:t>
      </w:r>
    </w:p>
    <w:p>
      <w:pPr>
        <w:widowControl/>
        <w:spacing w:line="440" w:lineRule="exact"/>
        <w:ind w:firstLine="420" w:firstLineChars="200"/>
        <w:jc w:val="left"/>
        <w:rPr>
          <w:rFonts w:ascii="宋体" w:hAnsi="宋体" w:cs="宋体"/>
          <w:color w:val="auto"/>
          <w:sz w:val="21"/>
          <w:szCs w:val="21"/>
          <w:highlight w:val="none"/>
        </w:rPr>
      </w:pPr>
      <w:r>
        <w:rPr>
          <w:rFonts w:hint="eastAsia" w:ascii="宋体" w:hAnsi="宋体" w:cs="宋体"/>
          <w:color w:val="auto"/>
          <w:sz w:val="21"/>
          <w:szCs w:val="21"/>
          <w:highlight w:val="none"/>
        </w:rPr>
        <w:t>5.质量标准：</w:t>
      </w:r>
      <w:r>
        <w:rPr>
          <w:rFonts w:hint="default" w:ascii="Times New Roman" w:hAnsi="Times New Roman" w:eastAsia="宋体" w:cs="Times New Roman"/>
          <w:color w:val="auto"/>
          <w:kern w:val="2"/>
          <w:sz w:val="21"/>
          <w:szCs w:val="21"/>
          <w:highlight w:val="none"/>
          <w:lang w:val="en-US" w:eastAsia="zh-CN" w:bidi="ar"/>
        </w:rPr>
        <w:t>合格且符合</w:t>
      </w:r>
      <w:r>
        <w:rPr>
          <w:rFonts w:hint="eastAsia" w:cs="Times New Roman"/>
          <w:color w:val="auto"/>
          <w:kern w:val="2"/>
          <w:sz w:val="21"/>
          <w:szCs w:val="21"/>
          <w:highlight w:val="none"/>
          <w:lang w:val="en-US" w:eastAsia="zh-CN" w:bidi="ar"/>
        </w:rPr>
        <w:t>磋商</w:t>
      </w:r>
      <w:r>
        <w:rPr>
          <w:rFonts w:hint="default" w:ascii="Times New Roman" w:hAnsi="Times New Roman" w:eastAsia="宋体" w:cs="Times New Roman"/>
          <w:color w:val="auto"/>
          <w:kern w:val="2"/>
          <w:sz w:val="21"/>
          <w:szCs w:val="21"/>
          <w:highlight w:val="none"/>
          <w:lang w:val="en-US" w:eastAsia="zh-CN" w:bidi="ar"/>
        </w:rPr>
        <w:t>文件技术要求及现行国家相关规范、标准。</w:t>
      </w:r>
    </w:p>
    <w:p>
      <w:pPr>
        <w:adjustRightInd w:val="0"/>
        <w:snapToGrid w:val="0"/>
        <w:spacing w:line="44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6.项目预算金额：</w:t>
      </w:r>
      <w:r>
        <w:rPr>
          <w:rFonts w:hint="eastAsia" w:ascii="宋体" w:hAnsi="宋体" w:cs="宋体"/>
          <w:color w:val="auto"/>
          <w:sz w:val="21"/>
          <w:szCs w:val="21"/>
          <w:highlight w:val="none"/>
          <w:lang w:val="en-US" w:eastAsia="zh-CN"/>
        </w:rPr>
        <w:t>275万元</w:t>
      </w:r>
    </w:p>
    <w:p>
      <w:pPr>
        <w:adjustRightInd w:val="0"/>
        <w:snapToGrid w:val="0"/>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7.控制价：</w:t>
      </w:r>
      <w:r>
        <w:rPr>
          <w:rFonts w:hint="eastAsia" w:ascii="宋体" w:hAnsi="宋体" w:cs="宋体"/>
          <w:color w:val="auto"/>
          <w:sz w:val="21"/>
          <w:szCs w:val="21"/>
          <w:highlight w:val="none"/>
          <w:lang w:val="en-US" w:eastAsia="zh-CN"/>
        </w:rPr>
        <w:t>272.47</w:t>
      </w:r>
      <w:r>
        <w:rPr>
          <w:rFonts w:hint="eastAsia" w:ascii="宋体" w:hAnsi="宋体" w:cs="宋体"/>
          <w:color w:val="auto"/>
          <w:sz w:val="21"/>
          <w:szCs w:val="21"/>
          <w:highlight w:val="none"/>
          <w:lang w:eastAsia="zh-CN"/>
        </w:rPr>
        <w:t>万元，投标报价超过控制价的作废标处理。</w:t>
      </w:r>
    </w:p>
    <w:p>
      <w:pPr>
        <w:spacing w:line="440" w:lineRule="exact"/>
        <w:rPr>
          <w:rFonts w:ascii="宋体" w:hAnsi="宋体" w:cs="宋体"/>
          <w:b/>
          <w:color w:val="auto"/>
          <w:sz w:val="21"/>
          <w:szCs w:val="21"/>
          <w:highlight w:val="none"/>
          <w:lang w:val="zh-CN"/>
        </w:rPr>
      </w:pPr>
      <w:r>
        <w:rPr>
          <w:rFonts w:hint="eastAsia" w:ascii="宋体" w:hAnsi="宋体" w:cs="宋体"/>
          <w:b/>
          <w:color w:val="auto"/>
          <w:sz w:val="21"/>
          <w:szCs w:val="21"/>
          <w:highlight w:val="none"/>
        </w:rPr>
        <w:t>四、</w:t>
      </w:r>
      <w:r>
        <w:rPr>
          <w:rFonts w:hint="eastAsia" w:ascii="宋体" w:hAnsi="宋体" w:cs="宋体"/>
          <w:b/>
          <w:color w:val="auto"/>
          <w:sz w:val="21"/>
          <w:szCs w:val="21"/>
          <w:highlight w:val="none"/>
          <w:lang w:val="zh-CN"/>
        </w:rPr>
        <w:t>响应人应具备的资格要求：</w:t>
      </w:r>
      <w:r>
        <w:rPr>
          <w:rFonts w:hint="eastAsia" w:ascii="宋体" w:hAnsi="宋体" w:cs="宋体"/>
          <w:bCs/>
          <w:color w:val="auto"/>
          <w:kern w:val="20"/>
          <w:sz w:val="21"/>
          <w:szCs w:val="21"/>
          <w:highlight w:val="none"/>
        </w:rPr>
        <w:t>详见采购公告</w:t>
      </w:r>
    </w:p>
    <w:p>
      <w:pPr>
        <w:spacing w:line="440" w:lineRule="exact"/>
        <w:rPr>
          <w:rFonts w:ascii="宋体" w:hAnsi="宋体" w:cs="宋体"/>
          <w:bCs/>
          <w:color w:val="auto"/>
          <w:sz w:val="21"/>
          <w:szCs w:val="21"/>
          <w:highlight w:val="none"/>
          <w:lang w:val="zh-CN"/>
        </w:rPr>
      </w:pPr>
      <w:r>
        <w:rPr>
          <w:rFonts w:hint="eastAsia" w:ascii="宋体" w:hAnsi="宋体" w:cs="宋体"/>
          <w:b/>
          <w:color w:val="auto"/>
          <w:sz w:val="21"/>
          <w:szCs w:val="21"/>
          <w:highlight w:val="none"/>
          <w:lang w:val="zh-CN"/>
        </w:rPr>
        <w:t>五、磋商文件领取时间、地点：</w:t>
      </w:r>
      <w:r>
        <w:rPr>
          <w:rFonts w:hint="eastAsia" w:ascii="宋体" w:hAnsi="宋体" w:cs="宋体"/>
          <w:bCs/>
          <w:color w:val="auto"/>
          <w:sz w:val="21"/>
          <w:szCs w:val="21"/>
          <w:highlight w:val="none"/>
          <w:lang w:val="zh-CN"/>
        </w:rPr>
        <w:t>详见采购公告</w:t>
      </w:r>
    </w:p>
    <w:p>
      <w:pPr>
        <w:numPr>
          <w:ilvl w:val="0"/>
          <w:numId w:val="1"/>
        </w:numPr>
        <w:spacing w:line="440" w:lineRule="exact"/>
        <w:rPr>
          <w:rFonts w:ascii="宋体" w:hAnsi="宋体" w:cs="宋体"/>
          <w:b/>
          <w:color w:val="auto"/>
          <w:sz w:val="21"/>
          <w:szCs w:val="21"/>
          <w:highlight w:val="none"/>
        </w:rPr>
      </w:pPr>
      <w:r>
        <w:rPr>
          <w:rFonts w:hint="eastAsia" w:ascii="宋体" w:hAnsi="宋体" w:cs="宋体"/>
          <w:b/>
          <w:color w:val="auto"/>
          <w:sz w:val="21"/>
          <w:szCs w:val="21"/>
          <w:highlight w:val="none"/>
          <w:lang w:val="zh-CN"/>
        </w:rPr>
        <w:t>响应文件的提交方式及注意事项</w:t>
      </w:r>
      <w:r>
        <w:rPr>
          <w:rFonts w:hint="eastAsia" w:ascii="宋体" w:hAnsi="宋体" w:cs="宋体"/>
          <w:b/>
          <w:color w:val="auto"/>
          <w:sz w:val="21"/>
          <w:szCs w:val="21"/>
          <w:highlight w:val="none"/>
        </w:rPr>
        <w:t xml:space="preserve">   </w:t>
      </w:r>
    </w:p>
    <w:p>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本项目采用线下纸质</w:t>
      </w:r>
      <w:r>
        <w:rPr>
          <w:rFonts w:hint="eastAsia" w:ascii="宋体" w:hAnsi="宋体" w:cs="宋体"/>
          <w:color w:val="auto"/>
          <w:sz w:val="21"/>
          <w:szCs w:val="21"/>
          <w:highlight w:val="none"/>
          <w:lang w:val="en-US" w:eastAsia="zh-CN"/>
        </w:rPr>
        <w:t>响应</w:t>
      </w:r>
      <w:r>
        <w:rPr>
          <w:rFonts w:hint="eastAsia" w:ascii="宋体" w:hAnsi="宋体" w:cs="宋体"/>
          <w:color w:val="auto"/>
          <w:sz w:val="21"/>
          <w:szCs w:val="21"/>
          <w:highlight w:val="none"/>
        </w:rPr>
        <w:t>材料进行响应。响应人必须按照磋商文件的时间和地点进行响应，否则响应将被拒绝。</w:t>
      </w:r>
    </w:p>
    <w:p>
      <w:pPr>
        <w:pStyle w:val="42"/>
        <w:snapToGrid w:val="0"/>
        <w:spacing w:before="0" w:after="0" w:line="440" w:lineRule="exact"/>
        <w:ind w:left="0" w:leftChars="0" w:firstLine="0" w:firstLineChars="0"/>
        <w:rPr>
          <w:rFonts w:ascii="宋体" w:hAnsi="宋体" w:cs="宋体"/>
          <w:b/>
          <w:color w:val="auto"/>
          <w:szCs w:val="21"/>
          <w:highlight w:val="none"/>
        </w:rPr>
      </w:pPr>
      <w:r>
        <w:rPr>
          <w:rFonts w:hint="eastAsia" w:ascii="宋体" w:hAnsi="宋体" w:cs="宋体"/>
          <w:b/>
          <w:color w:val="auto"/>
          <w:szCs w:val="21"/>
          <w:highlight w:val="none"/>
        </w:rPr>
        <w:t>七、提交响应文件开始时间、提交响应文件截止时间、磋商开始时间</w:t>
      </w:r>
    </w:p>
    <w:p>
      <w:pPr>
        <w:widowControl/>
        <w:snapToGrid w:val="0"/>
        <w:spacing w:line="440" w:lineRule="exact"/>
        <w:ind w:firstLine="420" w:firstLineChars="200"/>
        <w:rPr>
          <w:rFonts w:hint="eastAsia" w:ascii="宋体" w:hAnsi="宋体" w:cs="宋体"/>
          <w:color w:val="auto"/>
          <w:sz w:val="21"/>
          <w:szCs w:val="21"/>
          <w:highlight w:val="none"/>
          <w:lang w:val="zh-CN" w:eastAsia="zh-CN"/>
        </w:rPr>
      </w:pPr>
      <w:r>
        <w:rPr>
          <w:rFonts w:hint="eastAsia" w:ascii="宋体" w:hAnsi="宋体" w:cs="宋体"/>
          <w:color w:val="auto"/>
          <w:kern w:val="20"/>
          <w:sz w:val="21"/>
          <w:szCs w:val="21"/>
          <w:highlight w:val="none"/>
          <w:lang w:val="zh-CN"/>
        </w:rPr>
        <w:t>提交响应文件开始时间：</w:t>
      </w:r>
      <w:r>
        <w:rPr>
          <w:rFonts w:hint="eastAsia" w:ascii="宋体" w:hAnsi="宋体" w:cs="宋体"/>
          <w:color w:val="auto"/>
          <w:sz w:val="21"/>
          <w:szCs w:val="21"/>
          <w:highlight w:val="none"/>
          <w:lang w:eastAsia="zh-CN"/>
        </w:rPr>
        <w:t>2023年</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月</w:t>
      </w:r>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lang w:eastAsia="zh-CN"/>
        </w:rPr>
        <w:t>日</w:t>
      </w:r>
      <w:r>
        <w:rPr>
          <w:rFonts w:hint="eastAsia" w:ascii="宋体" w:hAnsi="宋体" w:cs="宋体"/>
          <w:color w:val="auto"/>
          <w:sz w:val="21"/>
          <w:szCs w:val="21"/>
          <w:highlight w:val="none"/>
          <w:lang w:val="en-US" w:eastAsia="zh-CN"/>
        </w:rPr>
        <w:t>14点30分</w:t>
      </w:r>
      <w:r>
        <w:rPr>
          <w:rFonts w:hint="eastAsia" w:ascii="宋体" w:hAnsi="宋体" w:cs="宋体"/>
          <w:color w:val="auto"/>
          <w:sz w:val="21"/>
          <w:szCs w:val="21"/>
          <w:highlight w:val="none"/>
          <w:lang w:eastAsia="zh-CN"/>
        </w:rPr>
        <w:t>（北京时间）</w:t>
      </w:r>
      <w:r>
        <w:rPr>
          <w:rFonts w:hint="eastAsia" w:ascii="宋体" w:hAnsi="宋体" w:cs="宋体"/>
          <w:color w:val="auto"/>
          <w:sz w:val="21"/>
          <w:szCs w:val="21"/>
          <w:highlight w:val="none"/>
          <w:lang w:val="zh-CN" w:eastAsia="zh-CN"/>
        </w:rPr>
        <w:t>。</w:t>
      </w:r>
    </w:p>
    <w:p>
      <w:pPr>
        <w:widowControl/>
        <w:snapToGrid w:val="0"/>
        <w:spacing w:line="440" w:lineRule="exact"/>
        <w:ind w:firstLine="420" w:firstLineChars="200"/>
        <w:rPr>
          <w:rFonts w:hint="eastAsia" w:ascii="宋体" w:hAnsi="宋体" w:cs="宋体"/>
          <w:color w:val="auto"/>
          <w:sz w:val="21"/>
          <w:szCs w:val="21"/>
          <w:highlight w:val="none"/>
          <w:lang w:val="zh-CN" w:eastAsia="zh-CN"/>
        </w:rPr>
      </w:pPr>
      <w:r>
        <w:rPr>
          <w:rFonts w:hint="eastAsia" w:ascii="宋体" w:hAnsi="宋体" w:cs="宋体"/>
          <w:color w:val="auto"/>
          <w:kern w:val="20"/>
          <w:sz w:val="21"/>
          <w:szCs w:val="21"/>
          <w:highlight w:val="none"/>
          <w:lang w:val="zh-CN"/>
        </w:rPr>
        <w:t>提交响应文件截止时间、磋商开始时间：</w:t>
      </w:r>
      <w:r>
        <w:rPr>
          <w:rFonts w:hint="eastAsia" w:ascii="宋体" w:hAnsi="宋体" w:cs="宋体"/>
          <w:color w:val="auto"/>
          <w:sz w:val="21"/>
          <w:szCs w:val="21"/>
          <w:highlight w:val="none"/>
          <w:lang w:eastAsia="zh-CN"/>
        </w:rPr>
        <w:t>2023年</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月</w:t>
      </w:r>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lang w:eastAsia="zh-CN"/>
        </w:rPr>
        <w:t>日</w:t>
      </w:r>
      <w:r>
        <w:rPr>
          <w:rFonts w:hint="eastAsia" w:ascii="宋体" w:hAnsi="宋体" w:cs="宋体"/>
          <w:color w:val="auto"/>
          <w:sz w:val="21"/>
          <w:szCs w:val="21"/>
          <w:highlight w:val="none"/>
          <w:lang w:val="en-US" w:eastAsia="zh-CN"/>
        </w:rPr>
        <w:t>14点30分</w:t>
      </w:r>
      <w:r>
        <w:rPr>
          <w:rFonts w:hint="eastAsia" w:ascii="宋体" w:hAnsi="宋体" w:cs="宋体"/>
          <w:color w:val="auto"/>
          <w:sz w:val="21"/>
          <w:szCs w:val="21"/>
          <w:highlight w:val="none"/>
          <w:lang w:eastAsia="zh-CN"/>
        </w:rPr>
        <w:t>（北京时间）</w:t>
      </w:r>
      <w:r>
        <w:rPr>
          <w:rFonts w:hint="eastAsia" w:ascii="宋体" w:hAnsi="宋体" w:cs="宋体"/>
          <w:color w:val="auto"/>
          <w:sz w:val="21"/>
          <w:szCs w:val="21"/>
          <w:highlight w:val="none"/>
          <w:lang w:val="zh-CN" w:eastAsia="zh-CN"/>
        </w:rPr>
        <w:t>。</w:t>
      </w:r>
    </w:p>
    <w:p>
      <w:pPr>
        <w:widowControl/>
        <w:snapToGrid w:val="0"/>
        <w:spacing w:line="440" w:lineRule="exact"/>
        <w:ind w:firstLine="420" w:firstLineChars="200"/>
        <w:rPr>
          <w:rFonts w:ascii="宋体" w:hAnsi="宋体" w:cs="宋体"/>
          <w:color w:val="auto"/>
          <w:kern w:val="20"/>
          <w:sz w:val="21"/>
          <w:szCs w:val="21"/>
          <w:highlight w:val="none"/>
          <w:lang w:val="zh-CN"/>
        </w:rPr>
      </w:pPr>
      <w:r>
        <w:rPr>
          <w:rFonts w:hint="eastAsia" w:ascii="宋体" w:hAnsi="宋体" w:cs="宋体"/>
          <w:color w:val="auto"/>
          <w:kern w:val="20"/>
          <w:sz w:val="21"/>
          <w:szCs w:val="21"/>
          <w:highlight w:val="none"/>
          <w:lang w:val="zh-CN"/>
        </w:rPr>
        <w:t>提交响应文件截止时间后再次提交的响应文件将被拒收，在规定时间内所提交的文件不符合相关规定要求的也将被拒收。</w:t>
      </w:r>
    </w:p>
    <w:p>
      <w:pPr>
        <w:pStyle w:val="42"/>
        <w:snapToGrid w:val="0"/>
        <w:spacing w:before="0" w:after="0" w:line="440" w:lineRule="exact"/>
        <w:ind w:left="0" w:leftChars="0" w:firstLine="0" w:firstLineChars="0"/>
        <w:rPr>
          <w:rFonts w:ascii="宋体" w:hAnsi="宋体" w:cs="宋体"/>
          <w:b/>
          <w:color w:val="auto"/>
          <w:szCs w:val="21"/>
          <w:highlight w:val="none"/>
        </w:rPr>
      </w:pPr>
      <w:r>
        <w:rPr>
          <w:rFonts w:hint="eastAsia" w:ascii="宋体" w:hAnsi="宋体" w:cs="宋体"/>
          <w:b/>
          <w:color w:val="auto"/>
          <w:szCs w:val="21"/>
          <w:highlight w:val="none"/>
        </w:rPr>
        <w:t>八、开标地点</w:t>
      </w:r>
    </w:p>
    <w:p>
      <w:pPr>
        <w:pStyle w:val="42"/>
        <w:snapToGrid w:val="0"/>
        <w:spacing w:before="0" w:after="0" w:line="440" w:lineRule="exact"/>
        <w:ind w:left="0" w:leftChars="0" w:firstLine="420"/>
        <w:rPr>
          <w:rFonts w:ascii="宋体" w:hAnsi="宋体" w:cs="宋体"/>
          <w:color w:val="auto"/>
          <w:kern w:val="20"/>
          <w:szCs w:val="21"/>
          <w:highlight w:val="none"/>
          <w:lang w:val="zh-CN"/>
        </w:rPr>
      </w:pPr>
      <w:r>
        <w:rPr>
          <w:rFonts w:hint="eastAsia" w:ascii="宋体" w:hAnsi="宋体" w:cs="宋体"/>
          <w:color w:val="auto"/>
          <w:szCs w:val="21"/>
          <w:highlight w:val="none"/>
        </w:rPr>
        <w:t>常州市金坛区金山路168号--常州市金坛区市民中心</w:t>
      </w:r>
      <w:r>
        <w:rPr>
          <w:rFonts w:hint="eastAsia" w:ascii="宋体" w:hAnsi="宋体" w:cs="宋体"/>
          <w:color w:val="auto"/>
          <w:szCs w:val="21"/>
          <w:highlight w:val="none"/>
          <w:lang w:eastAsia="zh-CN"/>
        </w:rPr>
        <w:t>C栋0503室</w:t>
      </w:r>
      <w:r>
        <w:rPr>
          <w:rFonts w:hint="eastAsia" w:ascii="宋体" w:hAnsi="宋体" w:cs="宋体"/>
          <w:color w:val="auto"/>
          <w:kern w:val="20"/>
          <w:szCs w:val="21"/>
          <w:highlight w:val="none"/>
          <w:lang w:val="zh-CN"/>
        </w:rPr>
        <w:t>。本项目采用线下</w:t>
      </w:r>
      <w:r>
        <w:rPr>
          <w:rFonts w:hint="eastAsia" w:ascii="宋体" w:hAnsi="宋体" w:cs="宋体"/>
          <w:color w:val="auto"/>
          <w:kern w:val="20"/>
          <w:szCs w:val="21"/>
          <w:highlight w:val="none"/>
          <w:lang w:val="en-US" w:eastAsia="zh-CN"/>
        </w:rPr>
        <w:t>磋商</w:t>
      </w:r>
      <w:r>
        <w:rPr>
          <w:rFonts w:hint="eastAsia" w:ascii="宋体" w:hAnsi="宋体" w:cs="宋体"/>
          <w:color w:val="auto"/>
          <w:kern w:val="20"/>
          <w:szCs w:val="21"/>
          <w:highlight w:val="none"/>
          <w:lang w:val="zh-CN"/>
        </w:rPr>
        <w:t>，请符合</w:t>
      </w:r>
      <w:r>
        <w:rPr>
          <w:rFonts w:hint="eastAsia" w:ascii="宋体" w:hAnsi="宋体" w:cs="宋体"/>
          <w:color w:val="auto"/>
          <w:kern w:val="20"/>
          <w:szCs w:val="21"/>
          <w:highlight w:val="none"/>
          <w:lang w:val="en-US" w:eastAsia="zh-CN"/>
        </w:rPr>
        <w:t>磋商</w:t>
      </w:r>
      <w:r>
        <w:rPr>
          <w:rFonts w:hint="eastAsia" w:ascii="宋体" w:hAnsi="宋体" w:cs="宋体"/>
          <w:color w:val="auto"/>
          <w:kern w:val="20"/>
          <w:szCs w:val="21"/>
          <w:highlight w:val="none"/>
          <w:lang w:val="zh-CN"/>
        </w:rPr>
        <w:t>条件的响应人应携带规定的材料于磋商开始前到</w:t>
      </w:r>
      <w:r>
        <w:rPr>
          <w:rFonts w:hint="eastAsia" w:ascii="宋体" w:hAnsi="宋体" w:cs="宋体"/>
          <w:color w:val="auto"/>
          <w:kern w:val="20"/>
          <w:szCs w:val="21"/>
          <w:highlight w:val="none"/>
          <w:lang w:val="en-US" w:eastAsia="zh-CN"/>
        </w:rPr>
        <w:t>磋商</w:t>
      </w:r>
      <w:r>
        <w:rPr>
          <w:rFonts w:hint="eastAsia" w:ascii="宋体" w:hAnsi="宋体" w:cs="宋体"/>
          <w:color w:val="auto"/>
          <w:kern w:val="20"/>
          <w:szCs w:val="21"/>
          <w:highlight w:val="none"/>
          <w:lang w:val="zh-CN"/>
        </w:rPr>
        <w:t>地点，进行</w:t>
      </w:r>
      <w:r>
        <w:rPr>
          <w:rFonts w:hint="eastAsia" w:ascii="宋体" w:hAnsi="宋体" w:cs="宋体"/>
          <w:color w:val="auto"/>
          <w:kern w:val="20"/>
          <w:szCs w:val="21"/>
          <w:highlight w:val="none"/>
          <w:lang w:val="en-US" w:eastAsia="zh-CN"/>
        </w:rPr>
        <w:t>磋商</w:t>
      </w:r>
      <w:r>
        <w:rPr>
          <w:rFonts w:hint="eastAsia" w:ascii="宋体" w:hAnsi="宋体" w:cs="宋体"/>
          <w:color w:val="auto"/>
          <w:kern w:val="20"/>
          <w:szCs w:val="21"/>
          <w:highlight w:val="none"/>
          <w:lang w:val="zh-CN"/>
        </w:rPr>
        <w:t>。</w:t>
      </w:r>
    </w:p>
    <w:p>
      <w:pPr>
        <w:pStyle w:val="42"/>
        <w:snapToGrid w:val="0"/>
        <w:spacing w:before="0" w:after="0" w:line="440" w:lineRule="exact"/>
        <w:ind w:left="0" w:leftChars="0" w:firstLine="0" w:firstLineChars="0"/>
        <w:rPr>
          <w:rFonts w:ascii="宋体" w:hAnsi="宋体" w:cs="宋体"/>
          <w:b/>
          <w:bCs/>
          <w:color w:val="auto"/>
          <w:kern w:val="20"/>
          <w:szCs w:val="21"/>
          <w:highlight w:val="none"/>
          <w:lang w:val="zh-CN"/>
        </w:rPr>
      </w:pPr>
      <w:r>
        <w:rPr>
          <w:rFonts w:hint="eastAsia" w:ascii="宋体" w:hAnsi="宋体" w:cs="宋体"/>
          <w:b/>
          <w:bCs/>
          <w:color w:val="auto"/>
          <w:kern w:val="20"/>
          <w:szCs w:val="21"/>
          <w:highlight w:val="none"/>
        </w:rPr>
        <w:t>九</w:t>
      </w:r>
      <w:r>
        <w:rPr>
          <w:rFonts w:hint="eastAsia" w:ascii="宋体" w:hAnsi="宋体" w:cs="宋体"/>
          <w:b/>
          <w:bCs/>
          <w:color w:val="auto"/>
          <w:kern w:val="20"/>
          <w:szCs w:val="21"/>
          <w:highlight w:val="none"/>
          <w:lang w:val="zh-CN"/>
        </w:rPr>
        <w:t>、本项目相关信息同时在“常州市公共资源交易中心金坛分中心”等媒体上发布。</w:t>
      </w:r>
    </w:p>
    <w:bookmarkEnd w:id="6"/>
    <w:p>
      <w:pPr>
        <w:spacing w:line="440" w:lineRule="exact"/>
        <w:ind w:firstLine="525" w:firstLineChars="25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采购人名称：</w:t>
      </w:r>
      <w:r>
        <w:rPr>
          <w:rFonts w:hint="eastAsia" w:ascii="宋体" w:hAnsi="宋体" w:cs="宋体"/>
          <w:color w:val="auto"/>
          <w:sz w:val="21"/>
          <w:szCs w:val="21"/>
          <w:highlight w:val="none"/>
          <w:lang w:eastAsia="zh-CN"/>
        </w:rPr>
        <w:t>江苏金坛滨湖新城开发建设有限公司</w:t>
      </w:r>
    </w:p>
    <w:p>
      <w:pPr>
        <w:spacing w:line="440" w:lineRule="exact"/>
        <w:ind w:firstLine="525" w:firstLineChars="25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联系人：</w:t>
      </w:r>
      <w:r>
        <w:rPr>
          <w:rFonts w:hint="eastAsia" w:ascii="宋体" w:hAnsi="宋体" w:eastAsia="宋体" w:cs="宋体"/>
          <w:color w:val="auto"/>
          <w:sz w:val="21"/>
          <w:szCs w:val="21"/>
          <w:highlight w:val="none"/>
          <w:lang w:val="en-US" w:eastAsia="zh-CN"/>
        </w:rPr>
        <w:t>袁女士</w:t>
      </w:r>
    </w:p>
    <w:p>
      <w:pPr>
        <w:spacing w:line="440" w:lineRule="exact"/>
        <w:ind w:firstLine="525" w:firstLineChars="25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w:t>
      </w:r>
      <w:r>
        <w:rPr>
          <w:rFonts w:hint="eastAsia" w:ascii="宋体" w:hAnsi="宋体" w:cs="宋体"/>
          <w:color w:val="auto"/>
          <w:sz w:val="21"/>
          <w:szCs w:val="21"/>
          <w:highlight w:val="none"/>
        </w:rPr>
        <w:t xml:space="preserve">0519-82692989  </w:t>
      </w:r>
    </w:p>
    <w:p>
      <w:pPr>
        <w:spacing w:line="440" w:lineRule="exact"/>
        <w:ind w:firstLine="525" w:firstLineChars="25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地址：</w:t>
      </w:r>
      <w:r>
        <w:rPr>
          <w:rFonts w:hint="eastAsia" w:ascii="宋体" w:hAnsi="宋体" w:eastAsia="宋体" w:cs="宋体"/>
          <w:color w:val="auto"/>
          <w:sz w:val="21"/>
          <w:szCs w:val="21"/>
          <w:highlight w:val="none"/>
          <w:u w:val="none"/>
          <w:lang w:val="en-US" w:eastAsia="zh-CN"/>
        </w:rPr>
        <w:t>常州市金坛区金坛大道333号</w:t>
      </w:r>
    </w:p>
    <w:p>
      <w:pPr>
        <w:spacing w:line="440" w:lineRule="exact"/>
        <w:ind w:firstLine="525" w:firstLineChars="25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采购代理机构名称：江苏信达建设工程咨询有限公司　　</w:t>
      </w:r>
    </w:p>
    <w:p>
      <w:pPr>
        <w:spacing w:line="440" w:lineRule="exact"/>
        <w:ind w:firstLine="525" w:firstLineChars="25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项目经办人：林女士</w:t>
      </w:r>
    </w:p>
    <w:p>
      <w:pPr>
        <w:spacing w:line="440" w:lineRule="exact"/>
        <w:ind w:firstLine="525" w:firstLineChars="25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联系电话：0519-82353405</w:t>
      </w:r>
    </w:p>
    <w:p>
      <w:pPr>
        <w:spacing w:line="440" w:lineRule="exact"/>
        <w:ind w:firstLine="525" w:firstLineChars="25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地址：</w:t>
      </w:r>
      <w:r>
        <w:rPr>
          <w:rFonts w:ascii="宋体" w:hAnsi="宋体" w:eastAsia="宋体" w:cs="宋体"/>
          <w:color w:val="auto"/>
          <w:sz w:val="21"/>
          <w:szCs w:val="21"/>
          <w:highlight w:val="none"/>
        </w:rPr>
        <w:t>常州市金坛区南环二路70号</w:t>
      </w:r>
    </w:p>
    <w:p>
      <w:pPr>
        <w:spacing w:line="440" w:lineRule="exact"/>
        <w:rPr>
          <w:rFonts w:ascii="宋体" w:hAnsi="宋体" w:cs="宋体"/>
          <w:b/>
          <w:snapToGrid w:val="0"/>
          <w:color w:val="auto"/>
          <w:spacing w:val="-6"/>
          <w:sz w:val="21"/>
          <w:szCs w:val="21"/>
          <w:highlight w:val="none"/>
        </w:rPr>
      </w:pPr>
      <w:r>
        <w:rPr>
          <w:rFonts w:hint="eastAsia" w:ascii="宋体" w:hAnsi="宋体" w:cs="宋体"/>
          <w:b/>
          <w:snapToGrid w:val="0"/>
          <w:color w:val="auto"/>
          <w:spacing w:val="-6"/>
          <w:sz w:val="21"/>
          <w:szCs w:val="21"/>
          <w:highlight w:val="none"/>
        </w:rPr>
        <w:br w:type="page"/>
      </w:r>
    </w:p>
    <w:p>
      <w:pPr>
        <w:pStyle w:val="3"/>
        <w:tabs>
          <w:tab w:val="left" w:pos="3097"/>
          <w:tab w:val="clear" w:pos="200"/>
        </w:tabs>
        <w:spacing w:line="400" w:lineRule="exact"/>
        <w:rPr>
          <w:rFonts w:hint="default" w:cs="宋体"/>
          <w:snapToGrid w:val="0"/>
          <w:color w:val="auto"/>
          <w:spacing w:val="-6"/>
          <w:sz w:val="32"/>
          <w:highlight w:val="none"/>
        </w:rPr>
      </w:pPr>
      <w:r>
        <w:rPr>
          <w:rFonts w:cs="宋体"/>
          <w:snapToGrid w:val="0"/>
          <w:color w:val="auto"/>
          <w:spacing w:val="-6"/>
          <w:sz w:val="32"/>
          <w:highlight w:val="none"/>
        </w:rPr>
        <w:t>第二部分  响应人须知前附表</w:t>
      </w:r>
    </w:p>
    <w:tbl>
      <w:tblPr>
        <w:tblStyle w:val="24"/>
        <w:tblW w:w="9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315"/>
        <w:gridCol w:w="6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序号</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条款名称</w:t>
            </w:r>
          </w:p>
        </w:tc>
        <w:tc>
          <w:tcPr>
            <w:tcW w:w="607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b/>
                <w:color w:val="auto"/>
                <w:sz w:val="21"/>
                <w:szCs w:val="21"/>
                <w:highlight w:val="none"/>
              </w:rPr>
            </w:pPr>
            <w:r>
              <w:rPr>
                <w:rFonts w:hint="eastAsia" w:cs="宋体" w:asciiTheme="majorEastAsia" w:hAnsiTheme="majorEastAsia" w:eastAsiaTheme="majorEastAsia"/>
                <w:b/>
                <w:color w:val="auto"/>
                <w:sz w:val="21"/>
                <w:szCs w:val="21"/>
                <w:highlight w:val="none"/>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采购人名称</w:t>
            </w:r>
          </w:p>
        </w:tc>
        <w:tc>
          <w:tcPr>
            <w:tcW w:w="607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cs="宋体" w:asciiTheme="majorEastAsia" w:hAnsiTheme="majorEastAsia" w:eastAsiaTheme="majorEastAsia"/>
                <w:color w:val="auto"/>
                <w:sz w:val="21"/>
                <w:szCs w:val="21"/>
                <w:highlight w:val="none"/>
                <w:lang w:eastAsia="zh-CN"/>
              </w:rPr>
            </w:pPr>
            <w:r>
              <w:rPr>
                <w:rFonts w:hint="eastAsia" w:ascii="宋体" w:hAnsi="宋体" w:cs="宋体" w:eastAsiaTheme="majorEastAsia"/>
                <w:color w:val="auto"/>
                <w:sz w:val="21"/>
                <w:szCs w:val="21"/>
                <w:highlight w:val="none"/>
                <w:lang w:eastAsia="zh-CN"/>
              </w:rPr>
              <w:t>江苏金坛滨湖新城开发建设有限公司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asciiTheme="majorEastAsia" w:hAnsiTheme="majorEastAsia" w:eastAsiaTheme="majorEastAsia"/>
                <w:color w:val="auto"/>
                <w:sz w:val="21"/>
                <w:szCs w:val="21"/>
                <w:highlight w:val="none"/>
              </w:rPr>
              <w:t>2</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cs="宋体" w:asciiTheme="majorEastAsia" w:hAnsiTheme="majorEastAsia" w:eastAsiaTheme="majorEastAsia"/>
                <w:color w:val="auto"/>
                <w:sz w:val="21"/>
                <w:szCs w:val="21"/>
                <w:highlight w:val="none"/>
                <w:lang w:val="en-US" w:eastAsia="zh-CN"/>
              </w:rPr>
            </w:pPr>
            <w:r>
              <w:rPr>
                <w:rFonts w:hint="eastAsia" w:cs="宋体" w:asciiTheme="majorEastAsia" w:hAnsiTheme="majorEastAsia" w:eastAsiaTheme="majorEastAsia"/>
                <w:color w:val="auto"/>
                <w:sz w:val="21"/>
                <w:szCs w:val="21"/>
                <w:highlight w:val="none"/>
                <w:lang w:val="en-US" w:eastAsia="zh-CN"/>
              </w:rPr>
              <w:t>采购类型</w:t>
            </w:r>
          </w:p>
        </w:tc>
        <w:tc>
          <w:tcPr>
            <w:tcW w:w="607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货物类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asciiTheme="majorEastAsia" w:hAnsiTheme="majorEastAsia" w:eastAsiaTheme="majorEastAsia"/>
                <w:color w:val="auto"/>
                <w:sz w:val="21"/>
                <w:szCs w:val="21"/>
                <w:highlight w:val="none"/>
              </w:rPr>
              <w:t>3</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kern w:val="0"/>
                <w:sz w:val="21"/>
                <w:szCs w:val="21"/>
                <w:highlight w:val="none"/>
              </w:rPr>
            </w:pPr>
            <w:r>
              <w:rPr>
                <w:rFonts w:hint="eastAsia" w:cs="宋体" w:asciiTheme="majorEastAsia" w:hAnsiTheme="majorEastAsia" w:eastAsiaTheme="majorEastAsia"/>
                <w:color w:val="auto"/>
                <w:kern w:val="0"/>
                <w:sz w:val="21"/>
                <w:szCs w:val="21"/>
                <w:highlight w:val="none"/>
              </w:rPr>
              <w:t>项目预算价</w:t>
            </w:r>
          </w:p>
        </w:tc>
        <w:tc>
          <w:tcPr>
            <w:tcW w:w="607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Theme="majorEastAsia" w:hAnsiTheme="majorEastAsia" w:eastAsiaTheme="majorEastAsia"/>
                <w:color w:val="auto"/>
                <w:sz w:val="21"/>
                <w:szCs w:val="21"/>
                <w:highlight w:val="none"/>
              </w:rPr>
            </w:pPr>
            <w:r>
              <w:rPr>
                <w:rFonts w:hint="eastAsia" w:ascii="宋体" w:hAnsi="宋体" w:cs="宋体"/>
                <w:color w:val="auto"/>
                <w:sz w:val="21"/>
                <w:szCs w:val="21"/>
                <w:highlight w:val="none"/>
              </w:rPr>
              <w:t>*本项目预算为</w:t>
            </w:r>
            <w:r>
              <w:rPr>
                <w:rFonts w:hint="eastAsia" w:ascii="宋体" w:hAnsi="宋体" w:cs="宋体"/>
                <w:color w:val="auto"/>
                <w:sz w:val="21"/>
                <w:szCs w:val="21"/>
                <w:highlight w:val="none"/>
                <w:lang w:val="en-US" w:eastAsia="zh-CN"/>
              </w:rPr>
              <w:t>275万元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asciiTheme="majorEastAsia" w:hAnsiTheme="majorEastAsia" w:eastAsiaTheme="majorEastAsia"/>
                <w:color w:val="auto"/>
                <w:sz w:val="21"/>
                <w:szCs w:val="21"/>
                <w:highlight w:val="none"/>
              </w:rPr>
              <w:t>4</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kern w:val="0"/>
                <w:sz w:val="21"/>
                <w:szCs w:val="21"/>
                <w:highlight w:val="none"/>
              </w:rPr>
            </w:pPr>
            <w:r>
              <w:rPr>
                <w:rFonts w:hint="eastAsia" w:cs="宋体" w:asciiTheme="majorEastAsia" w:hAnsiTheme="majorEastAsia" w:eastAsiaTheme="majorEastAsia"/>
                <w:color w:val="auto"/>
                <w:kern w:val="0"/>
                <w:sz w:val="21"/>
                <w:szCs w:val="21"/>
                <w:highlight w:val="none"/>
              </w:rPr>
              <w:t>是否有最高限价</w:t>
            </w:r>
          </w:p>
        </w:tc>
        <w:tc>
          <w:tcPr>
            <w:tcW w:w="607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*有</w:t>
            </w:r>
          </w:p>
          <w:p>
            <w:pPr>
              <w:adjustRightInd w:val="0"/>
              <w:snapToGrid w:val="0"/>
              <w:spacing w:line="400" w:lineRule="exact"/>
              <w:rPr>
                <w:rFonts w:asciiTheme="majorEastAsia" w:hAnsiTheme="majorEastAsia" w:eastAsiaTheme="majorEastAsia"/>
                <w:color w:val="auto"/>
                <w:sz w:val="21"/>
                <w:szCs w:val="21"/>
                <w:highlight w:val="none"/>
              </w:rPr>
            </w:pPr>
            <w:r>
              <w:rPr>
                <w:rFonts w:hint="eastAsia" w:ascii="宋体" w:hAnsi="宋体" w:cs="宋体"/>
                <w:color w:val="auto"/>
                <w:sz w:val="21"/>
                <w:szCs w:val="21"/>
                <w:highlight w:val="none"/>
                <w:lang w:val="en-US" w:eastAsia="zh-CN"/>
              </w:rPr>
              <w:t>控制价：272.47万元</w:t>
            </w:r>
            <w:r>
              <w:rPr>
                <w:rFonts w:hint="eastAsia" w:ascii="宋体" w:hAnsi="宋体" w:cs="宋体"/>
                <w:color w:val="auto"/>
                <w:sz w:val="21"/>
                <w:szCs w:val="21"/>
                <w:highlight w:val="none"/>
                <w:lang w:eastAsia="zh-CN"/>
              </w:rPr>
              <w:t>，投标报价超过控制价的作废标处理。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5</w:t>
            </w:r>
          </w:p>
        </w:tc>
        <w:tc>
          <w:tcPr>
            <w:tcW w:w="2315"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响应人资质条件和应具备的特殊要求</w:t>
            </w:r>
          </w:p>
        </w:tc>
        <w:tc>
          <w:tcPr>
            <w:tcW w:w="6077" w:type="dxa"/>
            <w:tcBorders>
              <w:top w:val="single" w:color="auto" w:sz="4" w:space="0"/>
              <w:left w:val="single" w:color="auto" w:sz="4" w:space="0"/>
              <w:bottom w:val="single" w:color="auto" w:sz="4" w:space="0"/>
              <w:right w:val="single" w:color="auto" w:sz="4" w:space="0"/>
            </w:tcBorders>
            <w:vAlign w:val="center"/>
          </w:tcPr>
          <w:p>
            <w:pPr>
              <w:spacing w:line="410" w:lineRule="exact"/>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w:t>
            </w:r>
            <w:r>
              <w:rPr>
                <w:rFonts w:hint="eastAsia" w:asciiTheme="majorEastAsia" w:hAnsiTheme="majorEastAsia" w:eastAsiaTheme="majorEastAsia"/>
                <w:color w:val="auto"/>
                <w:sz w:val="21"/>
                <w:szCs w:val="21"/>
                <w:highlight w:val="none"/>
                <w:lang w:val="en-US" w:eastAsia="zh-CN"/>
              </w:rPr>
              <w:t>5</w:t>
            </w:r>
            <w:r>
              <w:rPr>
                <w:rFonts w:hint="eastAsia" w:asciiTheme="majorEastAsia" w:hAnsiTheme="majorEastAsia" w:eastAsiaTheme="majorEastAsia"/>
                <w:color w:val="auto"/>
                <w:sz w:val="21"/>
                <w:szCs w:val="21"/>
                <w:highlight w:val="none"/>
              </w:rPr>
              <w:t>.1响应人基本资格条件（承诺）</w:t>
            </w:r>
          </w:p>
          <w:p>
            <w:pPr>
              <w:spacing w:line="41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（1）我单位具有独立承担民事责任的能力；</w:t>
            </w:r>
          </w:p>
          <w:p>
            <w:pPr>
              <w:spacing w:line="41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（2）我单位具有良好的商业信誉和健全的财务会计制度；</w:t>
            </w:r>
          </w:p>
          <w:p>
            <w:pPr>
              <w:spacing w:line="41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（3）我单位具有履行合同所必需的设备和专业技术能力；</w:t>
            </w:r>
          </w:p>
          <w:p>
            <w:pPr>
              <w:spacing w:line="41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（4）我单位有依法缴纳税收和社会保障资金的良好记录；</w:t>
            </w:r>
          </w:p>
          <w:p>
            <w:pPr>
              <w:spacing w:line="41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（5）我单位参加本次采购活动前三年内，在经营活动中没有重大违法记录。（重大违法记录，是指响应人因违法经营受到刑事处罚或者责令停产停业、吊销许可证或者执照、较大数额罚款等行政处罚。）；</w:t>
            </w:r>
          </w:p>
          <w:p>
            <w:pPr>
              <w:spacing w:line="410" w:lineRule="exact"/>
              <w:ind w:firstLine="420" w:firstLineChars="200"/>
              <w:rPr>
                <w:rFonts w:hint="eastAsia" w:asciiTheme="majorEastAsia" w:hAnsiTheme="majorEastAsia" w:eastAsiaTheme="majorEastAsia"/>
                <w:bCs/>
                <w:color w:val="auto"/>
                <w:sz w:val="21"/>
                <w:szCs w:val="21"/>
                <w:highlight w:val="none"/>
              </w:rPr>
            </w:pPr>
            <w:r>
              <w:rPr>
                <w:rFonts w:hint="eastAsia" w:asciiTheme="majorEastAsia" w:hAnsiTheme="majorEastAsia" w:eastAsiaTheme="majorEastAsia"/>
                <w:bCs/>
                <w:color w:val="auto"/>
                <w:sz w:val="21"/>
                <w:szCs w:val="21"/>
                <w:highlight w:val="none"/>
                <w:lang w:eastAsia="zh-CN"/>
              </w:rPr>
              <w:t>（</w:t>
            </w:r>
            <w:r>
              <w:rPr>
                <w:rFonts w:hint="eastAsia" w:asciiTheme="majorEastAsia" w:hAnsiTheme="majorEastAsia" w:eastAsiaTheme="majorEastAsia"/>
                <w:bCs/>
                <w:color w:val="auto"/>
                <w:sz w:val="21"/>
                <w:szCs w:val="21"/>
                <w:highlight w:val="none"/>
                <w:lang w:val="en-US" w:eastAsia="zh-CN"/>
              </w:rPr>
              <w:t>6</w:t>
            </w:r>
            <w:r>
              <w:rPr>
                <w:rFonts w:hint="eastAsia" w:asciiTheme="majorEastAsia" w:hAnsiTheme="majorEastAsia" w:eastAsiaTheme="majorEastAsia"/>
                <w:bCs/>
                <w:color w:val="auto"/>
                <w:sz w:val="21"/>
                <w:szCs w:val="21"/>
                <w:highlight w:val="none"/>
                <w:lang w:eastAsia="zh-CN"/>
              </w:rPr>
              <w:t>）</w:t>
            </w:r>
            <w:r>
              <w:rPr>
                <w:rFonts w:hint="eastAsia" w:asciiTheme="majorEastAsia" w:hAnsiTheme="majorEastAsia" w:eastAsiaTheme="majorEastAsia"/>
                <w:bCs/>
                <w:color w:val="auto"/>
                <w:sz w:val="21"/>
                <w:szCs w:val="21"/>
                <w:highlight w:val="none"/>
                <w:lang w:val="en-US" w:eastAsia="zh-CN"/>
              </w:rPr>
              <w:t>我单位不存在</w:t>
            </w:r>
            <w:r>
              <w:rPr>
                <w:rFonts w:hint="eastAsia" w:asciiTheme="majorEastAsia" w:hAnsiTheme="majorEastAsia" w:eastAsiaTheme="majorEastAsia"/>
                <w:bCs/>
                <w:color w:val="auto"/>
                <w:sz w:val="21"/>
                <w:szCs w:val="21"/>
                <w:highlight w:val="none"/>
              </w:rPr>
              <w:t>单位负责人为同一人或者存在直接控股、管理关系的不同</w:t>
            </w:r>
            <w:r>
              <w:rPr>
                <w:rFonts w:hint="eastAsia" w:asciiTheme="majorEastAsia" w:hAnsiTheme="majorEastAsia" w:eastAsiaTheme="majorEastAsia"/>
                <w:bCs/>
                <w:color w:val="auto"/>
                <w:sz w:val="21"/>
                <w:szCs w:val="21"/>
                <w:highlight w:val="none"/>
                <w:lang w:eastAsia="zh-CN"/>
              </w:rPr>
              <w:t>响应人</w:t>
            </w:r>
            <w:r>
              <w:rPr>
                <w:rFonts w:hint="eastAsia" w:asciiTheme="majorEastAsia" w:hAnsiTheme="majorEastAsia" w:eastAsiaTheme="majorEastAsia"/>
                <w:bCs/>
                <w:color w:val="auto"/>
                <w:sz w:val="21"/>
                <w:szCs w:val="21"/>
                <w:highlight w:val="none"/>
              </w:rPr>
              <w:t>（包含法定代表人（负责人）为同一个人的两个及两个以上法人，母公司、全资子公司及其控股公司）</w:t>
            </w:r>
            <w:r>
              <w:rPr>
                <w:rFonts w:hint="eastAsia" w:asciiTheme="majorEastAsia" w:hAnsiTheme="majorEastAsia" w:eastAsiaTheme="majorEastAsia"/>
                <w:bCs/>
                <w:color w:val="auto"/>
                <w:sz w:val="21"/>
                <w:szCs w:val="21"/>
                <w:highlight w:val="none"/>
                <w:lang w:val="en-US" w:eastAsia="zh-CN"/>
              </w:rPr>
              <w:t>的情况</w:t>
            </w:r>
            <w:r>
              <w:rPr>
                <w:rFonts w:hint="eastAsia" w:asciiTheme="majorEastAsia" w:hAnsiTheme="majorEastAsia" w:eastAsiaTheme="majorEastAsia"/>
                <w:bCs/>
                <w:color w:val="auto"/>
                <w:sz w:val="21"/>
                <w:szCs w:val="21"/>
                <w:highlight w:val="none"/>
              </w:rPr>
              <w:t>；</w:t>
            </w:r>
          </w:p>
          <w:p>
            <w:pPr>
              <w:spacing w:line="41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w:t>
            </w:r>
            <w:r>
              <w:rPr>
                <w:rFonts w:hint="eastAsia" w:asciiTheme="majorEastAsia" w:hAnsiTheme="majorEastAsia" w:eastAsiaTheme="majorEastAsia"/>
                <w:color w:val="auto"/>
                <w:sz w:val="21"/>
                <w:szCs w:val="21"/>
                <w:highlight w:val="none"/>
                <w:lang w:val="en-US" w:eastAsia="zh-CN"/>
              </w:rPr>
              <w:t>7</w:t>
            </w:r>
            <w:r>
              <w:rPr>
                <w:rFonts w:hint="eastAsia" w:asciiTheme="majorEastAsia" w:hAnsiTheme="majorEastAsia" w:eastAsiaTheme="majorEastAsia"/>
                <w:color w:val="auto"/>
                <w:sz w:val="21"/>
                <w:szCs w:val="21"/>
                <w:highlight w:val="none"/>
              </w:rPr>
              <w:t>）我单位遵守法律、行政法规规定的其他条件。</w:t>
            </w:r>
          </w:p>
          <w:p>
            <w:pPr>
              <w:spacing w:line="40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注：较大数额罚款金额参照《中华人民共和国政府采购法实施条例》第十九条第一款规定的“较大数额罚款”认定为200万元（含）以上的罚款，法律、行政法规以及国务院有关部门明确规定相关领域“较大数额罚款”标准高于200万元的，从其规定，较大数额罚款金额认定参照《财政部关于《中华人民共和国政府采购法实施条例》第十九条第一款“较大数额罚款”具体适用问题的意见》财库【2022】3号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p>
        </w:tc>
        <w:tc>
          <w:tcPr>
            <w:tcW w:w="2315"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rFonts w:asciiTheme="majorEastAsia" w:hAnsiTheme="majorEastAsia" w:eastAsiaTheme="majorEastAsia"/>
                <w:color w:val="auto"/>
                <w:sz w:val="21"/>
                <w:szCs w:val="21"/>
                <w:highlight w:val="none"/>
              </w:rPr>
            </w:pPr>
          </w:p>
        </w:tc>
        <w:tc>
          <w:tcPr>
            <w:tcW w:w="6077" w:type="dxa"/>
            <w:tcBorders>
              <w:top w:val="single" w:color="auto" w:sz="4" w:space="0"/>
              <w:left w:val="single" w:color="auto" w:sz="4" w:space="0"/>
              <w:bottom w:val="single" w:color="auto" w:sz="4" w:space="0"/>
              <w:right w:val="single" w:color="auto" w:sz="4" w:space="0"/>
            </w:tcBorders>
            <w:vAlign w:val="center"/>
          </w:tcPr>
          <w:p>
            <w:pPr>
              <w:spacing w:line="410" w:lineRule="exact"/>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lang w:val="en-US" w:eastAsia="zh-CN"/>
              </w:rPr>
              <w:t>5</w:t>
            </w:r>
            <w:r>
              <w:rPr>
                <w:rFonts w:hint="eastAsia" w:asciiTheme="majorEastAsia" w:hAnsiTheme="majorEastAsia" w:eastAsiaTheme="majorEastAsia"/>
                <w:color w:val="auto"/>
                <w:sz w:val="21"/>
                <w:szCs w:val="21"/>
                <w:highlight w:val="none"/>
              </w:rPr>
              <w:t>.2响应人应具备的特殊要求：详见竞争性磋商公告</w:t>
            </w:r>
          </w:p>
          <w:p>
            <w:pPr>
              <w:spacing w:line="400" w:lineRule="exact"/>
              <w:rPr>
                <w:rFonts w:ascii="宋体" w:hAnsi="宋体" w:cs="宋体"/>
                <w:color w:val="auto"/>
                <w:sz w:val="21"/>
                <w:szCs w:val="21"/>
                <w:highlight w:val="none"/>
              </w:rPr>
            </w:pPr>
            <w:r>
              <w:rPr>
                <w:rFonts w:hint="eastAsia" w:asciiTheme="majorEastAsia" w:hAnsiTheme="majorEastAsia" w:eastAsiaTheme="majorEastAsia"/>
                <w:color w:val="auto"/>
                <w:sz w:val="21"/>
                <w:szCs w:val="21"/>
                <w:highlight w:val="none"/>
                <w:lang w:val="en-US" w:eastAsia="zh-CN"/>
              </w:rPr>
              <w:t>5</w:t>
            </w:r>
            <w:r>
              <w:rPr>
                <w:rFonts w:hint="eastAsia" w:asciiTheme="majorEastAsia" w:hAnsiTheme="majorEastAsia" w:eastAsiaTheme="majorEastAsia"/>
                <w:color w:val="auto"/>
                <w:sz w:val="21"/>
                <w:szCs w:val="21"/>
                <w:highlight w:val="none"/>
              </w:rPr>
              <w:t>.3信用记录查询材料：采购人通过“信用中国”网站查询，无需</w:t>
            </w:r>
            <w:r>
              <w:rPr>
                <w:rFonts w:hint="eastAsia" w:asciiTheme="majorEastAsia" w:hAnsiTheme="majorEastAsia" w:eastAsiaTheme="majorEastAsia"/>
                <w:color w:val="auto"/>
                <w:sz w:val="21"/>
                <w:szCs w:val="21"/>
                <w:highlight w:val="none"/>
                <w:lang w:eastAsia="zh-CN"/>
              </w:rPr>
              <w:t>响应人</w:t>
            </w:r>
            <w:r>
              <w:rPr>
                <w:rFonts w:hint="eastAsia" w:asciiTheme="majorEastAsia" w:hAnsiTheme="majorEastAsia" w:eastAsiaTheme="majorEastAsia"/>
                <w:color w:val="auto"/>
                <w:sz w:val="21"/>
                <w:szCs w:val="21"/>
                <w:highlight w:val="none"/>
              </w:rPr>
              <w:t>另外提供。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6</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是否允许代理商投标</w:t>
            </w:r>
          </w:p>
        </w:tc>
        <w:tc>
          <w:tcPr>
            <w:tcW w:w="607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ajorEastAsia" w:hAnsiTheme="majorEastAsia" w:eastAsiaTheme="majorEastAsia"/>
                <w:color w:val="auto"/>
                <w:sz w:val="21"/>
                <w:szCs w:val="21"/>
                <w:highlight w:val="none"/>
                <w:lang w:eastAsia="zh-CN"/>
              </w:rPr>
            </w:pPr>
            <w:r>
              <w:rPr>
                <w:rFonts w:hint="eastAsia" w:cs="宋体" w:asciiTheme="majorEastAsia" w:hAnsiTheme="majorEastAsia" w:eastAsiaTheme="majorEastAsia"/>
                <w:color w:val="auto"/>
                <w:sz w:val="21"/>
                <w:szCs w:val="21"/>
                <w:highlight w:val="none"/>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7</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是否允许联合体投标</w:t>
            </w:r>
          </w:p>
        </w:tc>
        <w:tc>
          <w:tcPr>
            <w:tcW w:w="607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asciiTheme="majorEastAsia" w:hAnsiTheme="majorEastAsia" w:eastAsiaTheme="majorEastAsia"/>
                <w:color w:val="auto"/>
                <w:sz w:val="21"/>
                <w:szCs w:val="21"/>
                <w:highlight w:val="none"/>
              </w:rPr>
              <w:t>8</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是否组织现场考察</w:t>
            </w:r>
          </w:p>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（标前答疑会）</w:t>
            </w:r>
          </w:p>
        </w:tc>
        <w:tc>
          <w:tcPr>
            <w:tcW w:w="607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9</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构成磋商文件的其他材料</w:t>
            </w:r>
          </w:p>
        </w:tc>
        <w:tc>
          <w:tcPr>
            <w:tcW w:w="6077" w:type="dxa"/>
            <w:tcBorders>
              <w:top w:val="single" w:color="auto" w:sz="4" w:space="0"/>
              <w:left w:val="single" w:color="auto" w:sz="4" w:space="0"/>
              <w:bottom w:val="single" w:color="auto" w:sz="4" w:space="0"/>
              <w:right w:val="single" w:color="auto" w:sz="4" w:space="0"/>
            </w:tcBorders>
            <w:vAlign w:val="center"/>
          </w:tcPr>
          <w:p>
            <w:pPr>
              <w:pStyle w:val="21"/>
              <w:widowControl w:val="0"/>
              <w:adjustRightInd w:val="0"/>
              <w:snapToGrid w:val="0"/>
              <w:spacing w:before="0" w:beforeAutospacing="0" w:after="0" w:afterAutospacing="0" w:line="400" w:lineRule="exact"/>
              <w:jc w:val="center"/>
              <w:rPr>
                <w:rFonts w:asciiTheme="majorEastAsia" w:hAnsiTheme="majorEastAsia" w:eastAsiaTheme="majorEastAsia"/>
                <w:color w:val="auto"/>
                <w:sz w:val="21"/>
                <w:szCs w:val="21"/>
                <w:highlight w:val="none"/>
              </w:rPr>
            </w:pPr>
            <w:r>
              <w:rPr>
                <w:rFonts w:cs="宋体" w:asciiTheme="majorEastAsia" w:hAnsiTheme="majorEastAsia" w:eastAsiaTheme="majorEastAsia"/>
                <w:color w:val="auto"/>
                <w:sz w:val="21"/>
                <w:szCs w:val="21"/>
                <w:highlight w:val="none"/>
              </w:rPr>
              <w:t>磋商文件答疑纪要、澄清、更正、说明等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10</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答疑截止时间</w:t>
            </w:r>
          </w:p>
        </w:tc>
        <w:tc>
          <w:tcPr>
            <w:tcW w:w="607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jc w:val="left"/>
              <w:rPr>
                <w:rFonts w:cs="宋体"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本项目不召开标前答疑会，</w:t>
            </w:r>
            <w:r>
              <w:rPr>
                <w:rFonts w:hint="eastAsia" w:asciiTheme="majorEastAsia" w:hAnsiTheme="majorEastAsia" w:eastAsiaTheme="majorEastAsia"/>
                <w:color w:val="auto"/>
                <w:sz w:val="21"/>
                <w:szCs w:val="21"/>
                <w:highlight w:val="none"/>
                <w:lang w:eastAsia="zh-CN"/>
              </w:rPr>
              <w:t>响应人</w:t>
            </w:r>
            <w:r>
              <w:rPr>
                <w:rFonts w:asciiTheme="majorEastAsia" w:hAnsiTheme="majorEastAsia" w:eastAsiaTheme="majorEastAsia"/>
                <w:color w:val="auto"/>
                <w:sz w:val="21"/>
                <w:szCs w:val="21"/>
                <w:highlight w:val="none"/>
              </w:rPr>
              <w:t>如对</w:t>
            </w:r>
            <w:r>
              <w:rPr>
                <w:rFonts w:hint="eastAsia" w:asciiTheme="majorEastAsia" w:hAnsiTheme="majorEastAsia" w:eastAsiaTheme="majorEastAsia"/>
                <w:color w:val="auto"/>
                <w:sz w:val="21"/>
                <w:szCs w:val="21"/>
                <w:highlight w:val="none"/>
              </w:rPr>
              <w:t>磋商</w:t>
            </w:r>
            <w:r>
              <w:rPr>
                <w:rFonts w:asciiTheme="majorEastAsia" w:hAnsiTheme="majorEastAsia" w:eastAsiaTheme="majorEastAsia"/>
                <w:color w:val="auto"/>
                <w:sz w:val="21"/>
                <w:szCs w:val="21"/>
                <w:highlight w:val="none"/>
              </w:rPr>
              <w:t>文件有疑问，须在</w:t>
            </w:r>
            <w:r>
              <w:rPr>
                <w:rFonts w:hint="eastAsia" w:asciiTheme="majorEastAsia" w:hAnsiTheme="majorEastAsia" w:eastAsiaTheme="majorEastAsia"/>
                <w:color w:val="auto"/>
                <w:kern w:val="20"/>
                <w:sz w:val="21"/>
                <w:szCs w:val="21"/>
                <w:highlight w:val="none"/>
                <w:lang w:eastAsia="zh-CN"/>
              </w:rPr>
              <w:t>2023年</w:t>
            </w:r>
            <w:r>
              <w:rPr>
                <w:rFonts w:hint="eastAsia" w:asciiTheme="majorEastAsia" w:hAnsiTheme="majorEastAsia" w:eastAsiaTheme="majorEastAsia"/>
                <w:color w:val="auto"/>
                <w:kern w:val="20"/>
                <w:sz w:val="21"/>
                <w:szCs w:val="21"/>
                <w:highlight w:val="none"/>
                <w:lang w:val="en-US" w:eastAsia="zh-CN"/>
              </w:rPr>
              <w:t>3</w:t>
            </w:r>
            <w:r>
              <w:rPr>
                <w:rFonts w:hint="eastAsia" w:asciiTheme="majorEastAsia" w:hAnsiTheme="majorEastAsia" w:eastAsiaTheme="majorEastAsia"/>
                <w:color w:val="auto"/>
                <w:kern w:val="20"/>
                <w:sz w:val="21"/>
                <w:szCs w:val="21"/>
                <w:highlight w:val="none"/>
                <w:lang w:eastAsia="zh-CN"/>
              </w:rPr>
              <w:t>月</w:t>
            </w:r>
            <w:r>
              <w:rPr>
                <w:rFonts w:hint="eastAsia" w:asciiTheme="majorEastAsia" w:hAnsiTheme="majorEastAsia" w:eastAsiaTheme="majorEastAsia"/>
                <w:color w:val="auto"/>
                <w:kern w:val="20"/>
                <w:sz w:val="21"/>
                <w:szCs w:val="21"/>
                <w:highlight w:val="none"/>
                <w:lang w:val="en-US" w:eastAsia="zh-CN"/>
              </w:rPr>
              <w:t>2</w:t>
            </w:r>
            <w:r>
              <w:rPr>
                <w:rFonts w:asciiTheme="majorEastAsia" w:hAnsiTheme="majorEastAsia" w:eastAsiaTheme="majorEastAsia"/>
                <w:color w:val="auto"/>
                <w:kern w:val="20"/>
                <w:sz w:val="21"/>
                <w:szCs w:val="21"/>
                <w:highlight w:val="none"/>
                <w:lang w:val="zh-CN"/>
              </w:rPr>
              <w:t>日</w:t>
            </w:r>
            <w:r>
              <w:rPr>
                <w:rFonts w:hint="eastAsia" w:asciiTheme="majorEastAsia" w:hAnsiTheme="majorEastAsia" w:eastAsiaTheme="majorEastAsia"/>
                <w:color w:val="auto"/>
                <w:kern w:val="20"/>
                <w:sz w:val="21"/>
                <w:szCs w:val="21"/>
                <w:highlight w:val="none"/>
              </w:rPr>
              <w:t>上午11</w:t>
            </w:r>
            <w:r>
              <w:rPr>
                <w:rFonts w:asciiTheme="majorEastAsia" w:hAnsiTheme="majorEastAsia" w:eastAsiaTheme="majorEastAsia"/>
                <w:color w:val="auto"/>
                <w:kern w:val="20"/>
                <w:sz w:val="21"/>
                <w:szCs w:val="21"/>
                <w:highlight w:val="none"/>
              </w:rPr>
              <w:t>：</w:t>
            </w:r>
            <w:r>
              <w:rPr>
                <w:color w:val="auto"/>
                <w:highlight w:val="none"/>
              </w:rPr>
              <w:fldChar w:fldCharType="begin"/>
            </w:r>
            <w:r>
              <w:rPr>
                <w:color w:val="auto"/>
                <w:highlight w:val="none"/>
              </w:rPr>
              <w:instrText xml:space="preserve"> HYPERLINK "mailto:00前将相关疑问（格式详见磋商文件中" </w:instrText>
            </w:r>
            <w:r>
              <w:rPr>
                <w:color w:val="auto"/>
                <w:highlight w:val="none"/>
              </w:rPr>
              <w:fldChar w:fldCharType="separate"/>
            </w:r>
            <w:r>
              <w:rPr>
                <w:rStyle w:val="35"/>
                <w:rFonts w:asciiTheme="majorEastAsia" w:hAnsiTheme="majorEastAsia" w:eastAsiaTheme="majorEastAsia"/>
                <w:color w:val="auto"/>
                <w:kern w:val="20"/>
                <w:sz w:val="21"/>
                <w:szCs w:val="21"/>
                <w:highlight w:val="none"/>
              </w:rPr>
              <w:t>00</w:t>
            </w:r>
            <w:r>
              <w:rPr>
                <w:rStyle w:val="35"/>
                <w:rFonts w:asciiTheme="majorEastAsia" w:hAnsiTheme="majorEastAsia" w:eastAsiaTheme="majorEastAsia"/>
                <w:color w:val="auto"/>
                <w:kern w:val="20"/>
                <w:sz w:val="21"/>
                <w:szCs w:val="21"/>
                <w:highlight w:val="none"/>
                <w:lang w:val="zh-CN"/>
              </w:rPr>
              <w:t>前将相关疑问</w:t>
            </w:r>
            <w:r>
              <w:rPr>
                <w:rStyle w:val="35"/>
                <w:rFonts w:asciiTheme="majorEastAsia" w:hAnsiTheme="majorEastAsia" w:eastAsiaTheme="majorEastAsia"/>
                <w:color w:val="auto"/>
                <w:kern w:val="20"/>
                <w:sz w:val="21"/>
                <w:szCs w:val="21"/>
                <w:highlight w:val="none"/>
              </w:rPr>
              <w:t>（</w:t>
            </w:r>
            <w:r>
              <w:rPr>
                <w:rStyle w:val="35"/>
                <w:rFonts w:asciiTheme="majorEastAsia" w:hAnsiTheme="majorEastAsia" w:eastAsiaTheme="majorEastAsia"/>
                <w:color w:val="auto"/>
                <w:kern w:val="20"/>
                <w:sz w:val="21"/>
                <w:szCs w:val="21"/>
                <w:highlight w:val="none"/>
                <w:lang w:val="zh-CN"/>
              </w:rPr>
              <w:t>格式详见磋商文件中</w:t>
            </w:r>
            <w:r>
              <w:rPr>
                <w:rStyle w:val="35"/>
                <w:rFonts w:asciiTheme="majorEastAsia" w:hAnsiTheme="majorEastAsia" w:eastAsiaTheme="majorEastAsia"/>
                <w:color w:val="auto"/>
                <w:kern w:val="20"/>
                <w:sz w:val="21"/>
                <w:szCs w:val="21"/>
                <w:highlight w:val="none"/>
              </w:rPr>
              <w:t>“</w:t>
            </w:r>
            <w:r>
              <w:rPr>
                <w:rStyle w:val="35"/>
                <w:rFonts w:asciiTheme="majorEastAsia" w:hAnsiTheme="majorEastAsia" w:eastAsiaTheme="majorEastAsia"/>
                <w:color w:val="auto"/>
                <w:kern w:val="20"/>
                <w:sz w:val="21"/>
                <w:szCs w:val="21"/>
                <w:highlight w:val="none"/>
                <w:lang w:val="zh-CN"/>
              </w:rPr>
              <w:t>关于磋商文件的询问内容</w:t>
            </w:r>
            <w:r>
              <w:rPr>
                <w:rStyle w:val="35"/>
                <w:rFonts w:asciiTheme="majorEastAsia" w:hAnsiTheme="majorEastAsia" w:eastAsiaTheme="majorEastAsia"/>
                <w:color w:val="auto"/>
                <w:kern w:val="20"/>
                <w:sz w:val="21"/>
                <w:szCs w:val="21"/>
                <w:highlight w:val="none"/>
              </w:rPr>
              <w:t>”）</w:t>
            </w:r>
            <w:r>
              <w:rPr>
                <w:rStyle w:val="35"/>
                <w:rFonts w:asciiTheme="majorEastAsia" w:hAnsiTheme="majorEastAsia" w:eastAsiaTheme="majorEastAsia"/>
                <w:color w:val="auto"/>
                <w:kern w:val="20"/>
                <w:sz w:val="21"/>
                <w:szCs w:val="21"/>
                <w:highlight w:val="none"/>
                <w:lang w:val="zh-CN"/>
              </w:rPr>
              <w:t>发送至邮箱</w:t>
            </w:r>
            <w:r>
              <w:rPr>
                <w:rStyle w:val="35"/>
                <w:rFonts w:asciiTheme="majorEastAsia" w:hAnsiTheme="majorEastAsia" w:eastAsiaTheme="majorEastAsia"/>
                <w:color w:val="auto"/>
                <w:kern w:val="20"/>
                <w:sz w:val="21"/>
                <w:szCs w:val="21"/>
                <w:highlight w:val="none"/>
              </w:rPr>
              <w:t>（</w:t>
            </w:r>
            <w:r>
              <w:rPr>
                <w:rStyle w:val="35"/>
                <w:rFonts w:hint="eastAsia" w:asciiTheme="majorEastAsia" w:hAnsiTheme="majorEastAsia" w:eastAsiaTheme="majorEastAsia"/>
                <w:color w:val="auto"/>
                <w:kern w:val="20"/>
                <w:sz w:val="21"/>
                <w:szCs w:val="21"/>
                <w:highlight w:val="none"/>
              </w:rPr>
              <w:t>774551209</w:t>
            </w:r>
            <w:r>
              <w:rPr>
                <w:rStyle w:val="35"/>
                <w:rFonts w:asciiTheme="majorEastAsia" w:hAnsiTheme="majorEastAsia" w:eastAsiaTheme="majorEastAsia"/>
                <w:color w:val="auto"/>
                <w:kern w:val="20"/>
                <w:sz w:val="21"/>
                <w:szCs w:val="21"/>
                <w:highlight w:val="none"/>
              </w:rPr>
              <w:t>@qq.com）</w:t>
            </w:r>
            <w:r>
              <w:rPr>
                <w:rStyle w:val="35"/>
                <w:rFonts w:asciiTheme="majorEastAsia" w:hAnsiTheme="majorEastAsia" w:eastAsiaTheme="majorEastAsia"/>
                <w:color w:val="auto"/>
                <w:kern w:val="20"/>
                <w:sz w:val="21"/>
                <w:szCs w:val="21"/>
                <w:highlight w:val="none"/>
                <w:lang w:val="zh-CN"/>
              </w:rPr>
              <w:t>进行咨询</w:t>
            </w:r>
            <w:r>
              <w:rPr>
                <w:rStyle w:val="35"/>
                <w:rFonts w:asciiTheme="majorEastAsia" w:hAnsiTheme="majorEastAsia" w:eastAsiaTheme="majorEastAsia"/>
                <w:color w:val="auto"/>
                <w:kern w:val="20"/>
                <w:sz w:val="21"/>
                <w:szCs w:val="21"/>
                <w:highlight w:val="none"/>
              </w:rPr>
              <w:t>，</w:t>
            </w:r>
            <w:r>
              <w:rPr>
                <w:rStyle w:val="35"/>
                <w:rFonts w:asciiTheme="majorEastAsia" w:hAnsiTheme="majorEastAsia" w:eastAsiaTheme="majorEastAsia"/>
                <w:color w:val="auto"/>
                <w:kern w:val="20"/>
                <w:sz w:val="21"/>
                <w:szCs w:val="21"/>
                <w:highlight w:val="none"/>
                <w:lang w:val="zh-CN"/>
              </w:rPr>
              <w:t>如口头可解释的问题亦可电话咨询采购</w:t>
            </w:r>
            <w:r>
              <w:rPr>
                <w:rStyle w:val="35"/>
                <w:rFonts w:hint="eastAsia" w:asciiTheme="majorEastAsia" w:hAnsiTheme="majorEastAsia" w:eastAsiaTheme="majorEastAsia"/>
                <w:color w:val="auto"/>
                <w:kern w:val="20"/>
                <w:sz w:val="21"/>
                <w:szCs w:val="21"/>
                <w:highlight w:val="none"/>
                <w:lang w:val="zh-CN"/>
              </w:rPr>
              <w:t>代理</w:t>
            </w:r>
            <w:r>
              <w:rPr>
                <w:rStyle w:val="35"/>
                <w:rFonts w:asciiTheme="majorEastAsia" w:hAnsiTheme="majorEastAsia" w:eastAsiaTheme="majorEastAsia"/>
                <w:color w:val="auto"/>
                <w:kern w:val="20"/>
                <w:sz w:val="21"/>
                <w:szCs w:val="21"/>
                <w:highlight w:val="none"/>
                <w:lang w:val="zh-CN"/>
              </w:rPr>
              <w:t>机构。未提出疑问将被视为完全认同磋商文件，逾期将不接受其对于磋商文件的相关异议。</w:t>
            </w:r>
            <w:r>
              <w:rPr>
                <w:rStyle w:val="35"/>
                <w:rFonts w:hint="eastAsia" w:asciiTheme="majorEastAsia" w:hAnsiTheme="majorEastAsia" w:eastAsiaTheme="majorEastAsia"/>
                <w:color w:val="auto"/>
                <w:kern w:val="20"/>
                <w:sz w:val="21"/>
                <w:szCs w:val="21"/>
                <w:highlight w:val="none"/>
                <w:lang w:val="zh-CN"/>
              </w:rPr>
              <w:t>采购人收到质疑后于2023年</w:t>
            </w:r>
            <w:r>
              <w:rPr>
                <w:rStyle w:val="35"/>
                <w:rFonts w:hint="eastAsia" w:asciiTheme="majorEastAsia" w:hAnsiTheme="majorEastAsia" w:eastAsiaTheme="majorEastAsia"/>
                <w:color w:val="auto"/>
                <w:kern w:val="20"/>
                <w:sz w:val="21"/>
                <w:szCs w:val="21"/>
                <w:highlight w:val="none"/>
                <w:lang w:val="en-US" w:eastAsia="zh-CN"/>
              </w:rPr>
              <w:t>3</w:t>
            </w:r>
            <w:r>
              <w:rPr>
                <w:rStyle w:val="35"/>
                <w:rFonts w:hint="eastAsia" w:asciiTheme="majorEastAsia" w:hAnsiTheme="majorEastAsia" w:eastAsiaTheme="majorEastAsia"/>
                <w:color w:val="auto"/>
                <w:kern w:val="20"/>
                <w:sz w:val="21"/>
                <w:szCs w:val="21"/>
                <w:highlight w:val="none"/>
                <w:lang w:val="zh-CN"/>
              </w:rPr>
              <w:t>月</w:t>
            </w:r>
            <w:r>
              <w:rPr>
                <w:rStyle w:val="35"/>
                <w:rFonts w:hint="eastAsia" w:asciiTheme="majorEastAsia" w:hAnsiTheme="majorEastAsia" w:eastAsiaTheme="majorEastAsia"/>
                <w:color w:val="auto"/>
                <w:kern w:val="20"/>
                <w:sz w:val="21"/>
                <w:szCs w:val="21"/>
                <w:highlight w:val="none"/>
                <w:lang w:val="zh-CN"/>
              </w:rPr>
              <w:fldChar w:fldCharType="end"/>
            </w:r>
            <w:r>
              <w:rPr>
                <w:rFonts w:hint="eastAsia" w:asciiTheme="majorEastAsia" w:hAnsiTheme="majorEastAsia" w:eastAsiaTheme="majorEastAsia"/>
                <w:color w:val="auto"/>
                <w:kern w:val="20"/>
                <w:sz w:val="21"/>
                <w:szCs w:val="21"/>
                <w:highlight w:val="none"/>
                <w:lang w:val="en-US" w:eastAsia="zh-CN"/>
              </w:rPr>
              <w:t>3</w:t>
            </w:r>
            <w:r>
              <w:rPr>
                <w:rFonts w:hint="eastAsia" w:asciiTheme="majorEastAsia" w:hAnsiTheme="majorEastAsia" w:eastAsiaTheme="majorEastAsia"/>
                <w:color w:val="auto"/>
                <w:kern w:val="20"/>
                <w:sz w:val="21"/>
                <w:szCs w:val="21"/>
                <w:highlight w:val="none"/>
                <w:lang w:val="zh-CN"/>
              </w:rPr>
              <w:t>日</w:t>
            </w:r>
            <w:r>
              <w:rPr>
                <w:rFonts w:hint="eastAsia" w:asciiTheme="majorEastAsia" w:hAnsiTheme="majorEastAsia" w:eastAsiaTheme="majorEastAsia"/>
                <w:color w:val="auto"/>
                <w:kern w:val="20"/>
                <w:sz w:val="21"/>
                <w:szCs w:val="21"/>
                <w:highlight w:val="none"/>
                <w:lang w:val="en-US" w:eastAsia="zh-CN"/>
              </w:rPr>
              <w:t>下午17</w:t>
            </w:r>
            <w:r>
              <w:rPr>
                <w:rFonts w:hint="eastAsia" w:asciiTheme="majorEastAsia" w:hAnsiTheme="majorEastAsia" w:eastAsiaTheme="majorEastAsia"/>
                <w:color w:val="auto"/>
                <w:kern w:val="20"/>
                <w:sz w:val="21"/>
                <w:szCs w:val="21"/>
                <w:highlight w:val="none"/>
                <w:lang w:val="zh-CN"/>
              </w:rPr>
              <w:t>:00前予以答复。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11</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采购人对磋商文件澄清、修改时间</w:t>
            </w:r>
          </w:p>
        </w:tc>
        <w:tc>
          <w:tcPr>
            <w:tcW w:w="6077" w:type="dxa"/>
            <w:tcBorders>
              <w:top w:val="single" w:color="auto" w:sz="4" w:space="0"/>
              <w:left w:val="single" w:color="auto" w:sz="4" w:space="0"/>
              <w:bottom w:val="single" w:color="auto" w:sz="4" w:space="0"/>
              <w:right w:val="single" w:color="auto" w:sz="4" w:space="0"/>
            </w:tcBorders>
            <w:vAlign w:val="center"/>
          </w:tcPr>
          <w:p>
            <w:pPr>
              <w:pStyle w:val="21"/>
              <w:widowControl w:val="0"/>
              <w:adjustRightInd w:val="0"/>
              <w:snapToGrid w:val="0"/>
              <w:spacing w:before="0" w:beforeAutospacing="0" w:after="0" w:afterAutospacing="0" w:line="400" w:lineRule="exact"/>
              <w:jc w:val="center"/>
              <w:rPr>
                <w:rFonts w:asciiTheme="majorEastAsia" w:hAnsiTheme="majorEastAsia" w:eastAsiaTheme="majorEastAsia"/>
                <w:color w:val="auto"/>
                <w:sz w:val="21"/>
                <w:szCs w:val="21"/>
                <w:highlight w:val="none"/>
              </w:rPr>
            </w:pPr>
            <w:r>
              <w:rPr>
                <w:rFonts w:hint="eastAsia" w:ascii="宋体" w:hAnsi="宋体" w:eastAsia="宋体" w:cs="宋体"/>
                <w:color w:val="auto"/>
                <w:sz w:val="21"/>
                <w:szCs w:val="21"/>
                <w:highlight w:val="none"/>
                <w:lang w:eastAsia="zh-CN"/>
              </w:rPr>
              <w:t>2023年</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月</w:t>
            </w:r>
            <w:r>
              <w:rPr>
                <w:rFonts w:hint="eastAsia" w:ascii="宋体" w:hAnsi="宋体" w:eastAsia="宋体" w:cs="宋体"/>
                <w:color w:val="auto"/>
                <w:sz w:val="21"/>
                <w:szCs w:val="21"/>
                <w:highlight w:val="none"/>
                <w:lang w:val="en-US" w:eastAsia="zh-CN"/>
              </w:rPr>
              <w:t>23</w:t>
            </w:r>
            <w:r>
              <w:rPr>
                <w:rFonts w:hint="eastAsia" w:ascii="宋体" w:hAnsi="宋体" w:eastAsia="宋体" w:cs="宋体"/>
                <w:color w:val="auto"/>
                <w:sz w:val="21"/>
                <w:szCs w:val="21"/>
                <w:highlight w:val="none"/>
              </w:rPr>
              <w:t>日</w:t>
            </w:r>
            <w:r>
              <w:rPr>
                <w:rFonts w:ascii="宋体" w:hAnsi="宋体" w:eastAsia="宋体" w:cs="宋体"/>
                <w:color w:val="auto"/>
                <w:sz w:val="21"/>
                <w:szCs w:val="21"/>
                <w:highlight w:val="none"/>
              </w:rPr>
              <w:t>至响应文件接收截止之日5日前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12</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采购人对磋商文件澄清方式</w:t>
            </w:r>
          </w:p>
        </w:tc>
        <w:tc>
          <w:tcPr>
            <w:tcW w:w="6077"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Theme="majorEastAsia" w:hAnsiTheme="majorEastAsia" w:eastAsiaTheme="majorEastAsia"/>
                <w:color w:val="auto"/>
                <w:sz w:val="21"/>
                <w:szCs w:val="21"/>
                <w:highlight w:val="none"/>
              </w:rPr>
            </w:pPr>
            <w:r>
              <w:rPr>
                <w:rFonts w:hint="eastAsia" w:ascii="宋体" w:hAnsi="宋体" w:cs="宋体"/>
                <w:color w:val="auto"/>
                <w:sz w:val="21"/>
                <w:szCs w:val="21"/>
                <w:highlight w:val="none"/>
              </w:rPr>
              <w:t>在常州市公共资源交易中心金坛分中心（http://ggzy.xzsp.changzhou.gov.cn/jtfzx/jyxx/secondPage.html）等媒体上以澄清公告的形式公告。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13</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响应文件递交方式</w:t>
            </w:r>
          </w:p>
        </w:tc>
        <w:tc>
          <w:tcPr>
            <w:tcW w:w="6077" w:type="dxa"/>
            <w:tcBorders>
              <w:top w:val="single" w:color="auto" w:sz="4" w:space="0"/>
              <w:left w:val="single" w:color="auto" w:sz="4" w:space="0"/>
              <w:bottom w:val="single" w:color="auto" w:sz="4" w:space="0"/>
              <w:right w:val="single" w:color="auto" w:sz="4" w:space="0"/>
            </w:tcBorders>
            <w:vAlign w:val="center"/>
          </w:tcPr>
          <w:p>
            <w:pPr>
              <w:pStyle w:val="21"/>
              <w:widowControl w:val="0"/>
              <w:snapToGrid w:val="0"/>
              <w:spacing w:before="0" w:beforeAutospacing="0" w:after="0" w:afterAutospacing="0" w:line="400" w:lineRule="exact"/>
              <w:jc w:val="both"/>
              <w:rPr>
                <w:rFonts w:asciiTheme="majorEastAsia" w:hAnsiTheme="majorEastAsia" w:eastAsiaTheme="majorEastAsia"/>
                <w:color w:val="auto"/>
                <w:sz w:val="21"/>
                <w:szCs w:val="21"/>
                <w:highlight w:val="none"/>
              </w:rPr>
            </w:pPr>
            <w:r>
              <w:rPr>
                <w:rFonts w:cs="宋体" w:asciiTheme="majorEastAsia" w:hAnsiTheme="majorEastAsia" w:eastAsiaTheme="majorEastAsia"/>
                <w:color w:val="auto"/>
                <w:kern w:val="20"/>
                <w:sz w:val="21"/>
                <w:szCs w:val="21"/>
                <w:highlight w:val="none"/>
              </w:rPr>
              <w:t>*</w:t>
            </w:r>
            <w:r>
              <w:rPr>
                <w:rFonts w:hint="eastAsia" w:cs="宋体" w:asciiTheme="majorEastAsia" w:hAnsiTheme="majorEastAsia" w:eastAsiaTheme="majorEastAsia"/>
                <w:color w:val="auto"/>
                <w:kern w:val="20"/>
                <w:sz w:val="21"/>
                <w:szCs w:val="21"/>
                <w:highlight w:val="none"/>
              </w:rPr>
              <w:t>本项目采用线下</w:t>
            </w:r>
            <w:r>
              <w:rPr>
                <w:rFonts w:hint="eastAsia" w:cs="宋体" w:asciiTheme="majorEastAsia" w:hAnsiTheme="majorEastAsia" w:eastAsiaTheme="majorEastAsia"/>
                <w:color w:val="auto"/>
                <w:kern w:val="20"/>
                <w:sz w:val="21"/>
                <w:szCs w:val="21"/>
                <w:highlight w:val="none"/>
                <w:lang w:val="en-US" w:eastAsia="zh-CN"/>
              </w:rPr>
              <w:t>磋商</w:t>
            </w:r>
            <w:r>
              <w:rPr>
                <w:rFonts w:hint="eastAsia" w:cs="宋体" w:asciiTheme="majorEastAsia" w:hAnsiTheme="majorEastAsia" w:eastAsiaTheme="majorEastAsia"/>
                <w:color w:val="auto"/>
                <w:kern w:val="20"/>
                <w:sz w:val="21"/>
                <w:szCs w:val="21"/>
                <w:highlight w:val="none"/>
              </w:rPr>
              <w:t>，请符合</w:t>
            </w:r>
            <w:r>
              <w:rPr>
                <w:rFonts w:hint="eastAsia" w:cs="宋体" w:asciiTheme="majorEastAsia" w:hAnsiTheme="majorEastAsia" w:eastAsiaTheme="majorEastAsia"/>
                <w:color w:val="auto"/>
                <w:kern w:val="20"/>
                <w:sz w:val="21"/>
                <w:szCs w:val="21"/>
                <w:highlight w:val="none"/>
                <w:lang w:val="en-US" w:eastAsia="zh-CN"/>
              </w:rPr>
              <w:t>磋商</w:t>
            </w:r>
            <w:r>
              <w:rPr>
                <w:rFonts w:hint="eastAsia" w:cs="宋体" w:asciiTheme="majorEastAsia" w:hAnsiTheme="majorEastAsia" w:eastAsiaTheme="majorEastAsia"/>
                <w:color w:val="auto"/>
                <w:kern w:val="20"/>
                <w:sz w:val="21"/>
                <w:szCs w:val="21"/>
                <w:highlight w:val="none"/>
              </w:rPr>
              <w:t>条件的响应人携带规定的材料于磋商开始前到磋商地点，进行</w:t>
            </w:r>
            <w:r>
              <w:rPr>
                <w:rFonts w:hint="eastAsia" w:cs="宋体" w:asciiTheme="majorEastAsia" w:hAnsiTheme="majorEastAsia" w:eastAsiaTheme="majorEastAsia"/>
                <w:color w:val="auto"/>
                <w:kern w:val="20"/>
                <w:sz w:val="21"/>
                <w:szCs w:val="21"/>
                <w:highlight w:val="none"/>
                <w:lang w:val="en-US" w:eastAsia="zh-CN"/>
              </w:rPr>
              <w:t>磋商</w:t>
            </w:r>
            <w:r>
              <w:rPr>
                <w:rFonts w:hint="eastAsia" w:cs="宋体" w:asciiTheme="majorEastAsia" w:hAnsiTheme="majorEastAsia" w:eastAsiaTheme="majorEastAsia"/>
                <w:color w:val="auto"/>
                <w:kern w:val="20"/>
                <w:sz w:val="21"/>
                <w:szCs w:val="21"/>
                <w:highlight w:val="none"/>
              </w:rPr>
              <w:t>。</w:t>
            </w:r>
            <w:r>
              <w:rPr>
                <w:rFonts w:cs="宋体" w:asciiTheme="majorEastAsia" w:hAnsiTheme="majorEastAsia" w:eastAsiaTheme="majorEastAsia"/>
                <w:color w:val="auto"/>
                <w:sz w:val="21"/>
                <w:szCs w:val="21"/>
                <w:highlight w:val="none"/>
              </w:rPr>
              <w:t>除上述方式之外，不接受响应人以邮箱、快递及其他任何方式提交的响应文件。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14</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响应文件份数</w:t>
            </w:r>
          </w:p>
          <w:p>
            <w:pPr>
              <w:spacing w:line="400" w:lineRule="exact"/>
              <w:jc w:val="center"/>
              <w:rPr>
                <w:rFonts w:hint="eastAsia" w:cs="宋体" w:asciiTheme="majorEastAsia" w:hAnsiTheme="majorEastAsia" w:eastAsiaTheme="majorEastAsia"/>
                <w:color w:val="auto"/>
                <w:sz w:val="21"/>
                <w:szCs w:val="21"/>
                <w:highlight w:val="none"/>
              </w:rPr>
            </w:pPr>
          </w:p>
        </w:tc>
        <w:tc>
          <w:tcPr>
            <w:tcW w:w="6077" w:type="dxa"/>
            <w:tcBorders>
              <w:top w:val="single" w:color="auto" w:sz="4" w:space="0"/>
              <w:left w:val="single" w:color="auto" w:sz="4" w:space="0"/>
              <w:bottom w:val="single" w:color="auto" w:sz="4" w:space="0"/>
              <w:right w:val="single" w:color="auto" w:sz="4" w:space="0"/>
            </w:tcBorders>
            <w:vAlign w:val="center"/>
          </w:tcPr>
          <w:p>
            <w:pPr>
              <w:spacing w:line="400" w:lineRule="exact"/>
              <w:rPr>
                <w:rFonts w:cs="宋体"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*14.1</w:t>
            </w:r>
            <w:r>
              <w:rPr>
                <w:rFonts w:hint="eastAsia" w:cs="宋体" w:asciiTheme="majorEastAsia" w:hAnsiTheme="majorEastAsia" w:eastAsiaTheme="majorEastAsia"/>
                <w:color w:val="auto"/>
                <w:sz w:val="21"/>
                <w:szCs w:val="21"/>
                <w:highlight w:val="none"/>
              </w:rPr>
              <w:t>响应文件一式三份，一份正本、二份副本；正本和副本必须分开装订，用封套分别加以密封。</w:t>
            </w:r>
          </w:p>
          <w:p>
            <w:pPr>
              <w:spacing w:line="400" w:lineRule="exact"/>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14.2</w:t>
            </w:r>
            <w:r>
              <w:rPr>
                <w:rFonts w:hint="eastAsia" w:cs="宋体" w:asciiTheme="majorEastAsia" w:hAnsiTheme="majorEastAsia" w:eastAsiaTheme="majorEastAsia"/>
                <w:color w:val="auto"/>
                <w:sz w:val="21"/>
                <w:szCs w:val="21"/>
                <w:highlight w:val="none"/>
              </w:rPr>
              <w:t>响应文件的装订必须采用胶装或线装两种方式之一，不得采用活页装订等方式，否则，其响应将被拒绝。</w:t>
            </w:r>
          </w:p>
          <w:p>
            <w:pPr>
              <w:spacing w:line="400" w:lineRule="exact"/>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注：以上材料未按要求提供的，资料不全或不符合要求的作无效报价文件处理。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15</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是否允许响应人将项目非主体、非关键性工作交由他人完成</w:t>
            </w:r>
          </w:p>
        </w:tc>
        <w:tc>
          <w:tcPr>
            <w:tcW w:w="607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asciiTheme="majorEastAsia" w:hAnsiTheme="majorEastAsia" w:eastAsiaTheme="majorEastAsia"/>
                <w:color w:val="auto"/>
                <w:kern w:val="20"/>
                <w:sz w:val="21"/>
                <w:szCs w:val="21"/>
                <w:highlight w:val="none"/>
                <w:u w:val="single"/>
              </w:rPr>
            </w:pPr>
            <w:r>
              <w:rPr>
                <w:rFonts w:hint="eastAsia" w:cs="宋体" w:asciiTheme="majorEastAsia" w:hAnsiTheme="majorEastAsia" w:eastAsiaTheme="majorEastAsia"/>
                <w:color w:val="auto"/>
                <w:sz w:val="21"/>
                <w:szCs w:val="21"/>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16</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磋商报价次数</w:t>
            </w:r>
          </w:p>
        </w:tc>
        <w:tc>
          <w:tcPr>
            <w:tcW w:w="607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Theme="majorEastAsia" w:hAnsiTheme="majorEastAsia" w:eastAsiaTheme="majorEastAsia"/>
                <w:color w:val="auto"/>
                <w:sz w:val="21"/>
                <w:szCs w:val="21"/>
                <w:highlight w:val="none"/>
              </w:rPr>
            </w:pPr>
            <w:r>
              <w:rPr>
                <w:rFonts w:hint="eastAsia" w:cs="微软雅黑" w:asciiTheme="majorEastAsia" w:hAnsiTheme="majorEastAsia" w:eastAsiaTheme="majorEastAsia"/>
                <w:color w:val="auto"/>
                <w:sz w:val="21"/>
                <w:szCs w:val="21"/>
                <w:highlight w:val="none"/>
              </w:rPr>
              <w:t>*</w:t>
            </w:r>
            <w:r>
              <w:rPr>
                <w:rFonts w:hint="eastAsia" w:cs="宋体" w:asciiTheme="majorEastAsia" w:hAnsiTheme="majorEastAsia" w:eastAsiaTheme="majorEastAsia"/>
                <w:color w:val="auto"/>
                <w:sz w:val="21"/>
                <w:szCs w:val="21"/>
                <w:highlight w:val="none"/>
              </w:rPr>
              <w:t>本项目采用二轮报价，响应文件中书面报价为首轮报价（首轮</w:t>
            </w:r>
            <w:r>
              <w:rPr>
                <w:rFonts w:cs="宋体" w:asciiTheme="majorEastAsia" w:hAnsiTheme="majorEastAsia" w:eastAsiaTheme="majorEastAsia"/>
                <w:color w:val="auto"/>
                <w:sz w:val="21"/>
                <w:szCs w:val="21"/>
                <w:highlight w:val="none"/>
              </w:rPr>
              <w:t>报价不唱标</w:t>
            </w:r>
            <w:r>
              <w:rPr>
                <w:rFonts w:hint="eastAsia" w:cs="宋体" w:asciiTheme="majorEastAsia" w:hAnsiTheme="majorEastAsia" w:eastAsiaTheme="majorEastAsia"/>
                <w:color w:val="auto"/>
                <w:sz w:val="21"/>
                <w:szCs w:val="21"/>
                <w:highlight w:val="none"/>
              </w:rPr>
              <w:t>），第二轮报价不得超过首轮报价，第二轮报价即为最终报价；否则作无效报价文件处理。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17</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kern w:val="0"/>
                <w:sz w:val="21"/>
                <w:szCs w:val="21"/>
                <w:highlight w:val="none"/>
              </w:rPr>
            </w:pPr>
            <w:r>
              <w:rPr>
                <w:rFonts w:hint="eastAsia" w:cs="宋体" w:asciiTheme="majorEastAsia" w:hAnsiTheme="majorEastAsia" w:eastAsiaTheme="majorEastAsia"/>
                <w:color w:val="auto"/>
                <w:sz w:val="21"/>
                <w:szCs w:val="21"/>
                <w:highlight w:val="none"/>
              </w:rPr>
              <w:t>响应有效期</w:t>
            </w:r>
          </w:p>
        </w:tc>
        <w:tc>
          <w:tcPr>
            <w:tcW w:w="607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120日历天（有效期从</w:t>
            </w:r>
            <w:bookmarkStart w:id="71" w:name="_GoBack"/>
            <w:bookmarkEnd w:id="71"/>
            <w:r>
              <w:rPr>
                <w:rFonts w:hint="eastAsia" w:cs="宋体" w:asciiTheme="majorEastAsia" w:hAnsiTheme="majorEastAsia" w:eastAsiaTheme="majorEastAsia"/>
                <w:color w:val="auto"/>
                <w:sz w:val="21"/>
                <w:szCs w:val="21"/>
                <w:highlight w:val="none"/>
              </w:rPr>
              <w:t>提交响应文件的截止之日起算</w:t>
            </w:r>
            <w:r>
              <w:rPr>
                <w:rFonts w:hint="eastAsia" w:cs="宋体" w:asciiTheme="majorEastAsia" w:hAnsiTheme="majorEastAsia" w:eastAsiaTheme="majorEastAsia"/>
                <w:color w:val="auto"/>
                <w:sz w:val="21"/>
                <w:szCs w:val="21"/>
                <w:highlight w:val="none"/>
                <w:lang w:eastAsia="zh-CN"/>
              </w:rPr>
              <w:t>，</w:t>
            </w:r>
            <w:r>
              <w:rPr>
                <w:rFonts w:hint="eastAsia" w:cs="宋体" w:asciiTheme="majorEastAsia" w:hAnsiTheme="majorEastAsia" w:eastAsiaTheme="majorEastAsia"/>
                <w:color w:val="auto"/>
                <w:sz w:val="21"/>
                <w:szCs w:val="21"/>
                <w:highlight w:val="none"/>
              </w:rPr>
              <w:t>有效期短于该规定期限的</w:t>
            </w:r>
            <w:r>
              <w:rPr>
                <w:rFonts w:hint="eastAsia" w:cs="宋体" w:asciiTheme="majorEastAsia" w:hAnsiTheme="majorEastAsia" w:eastAsiaTheme="majorEastAsia"/>
                <w:color w:val="auto"/>
                <w:sz w:val="21"/>
                <w:szCs w:val="21"/>
                <w:highlight w:val="none"/>
                <w:lang w:val="en-US" w:eastAsia="zh-CN"/>
              </w:rPr>
              <w:t>磋商</w:t>
            </w:r>
            <w:r>
              <w:rPr>
                <w:rFonts w:hint="eastAsia" w:cs="宋体" w:asciiTheme="majorEastAsia" w:hAnsiTheme="majorEastAsia" w:eastAsiaTheme="majorEastAsia"/>
                <w:color w:val="auto"/>
                <w:sz w:val="21"/>
                <w:szCs w:val="21"/>
                <w:highlight w:val="none"/>
              </w:rPr>
              <w:t>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18</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sz w:val="21"/>
                <w:szCs w:val="21"/>
                <w:highlight w:val="none"/>
              </w:rPr>
            </w:pPr>
            <w:r>
              <w:rPr>
                <w:rFonts w:hint="eastAsia" w:ascii="宋体" w:hAnsi="宋体" w:cs="宋体"/>
                <w:color w:val="auto"/>
                <w:sz w:val="21"/>
                <w:szCs w:val="21"/>
                <w:highlight w:val="none"/>
              </w:rPr>
              <w:t>是否收取履约保证金</w:t>
            </w:r>
          </w:p>
        </w:tc>
        <w:tc>
          <w:tcPr>
            <w:tcW w:w="6077" w:type="dxa"/>
            <w:tcBorders>
              <w:top w:val="single" w:color="auto" w:sz="4" w:space="0"/>
              <w:left w:val="single" w:color="auto" w:sz="4" w:space="0"/>
              <w:bottom w:val="single" w:color="auto" w:sz="4" w:space="0"/>
              <w:right w:val="single" w:color="auto" w:sz="4" w:space="0"/>
            </w:tcBorders>
            <w:vAlign w:val="center"/>
          </w:tcPr>
          <w:p>
            <w:pPr>
              <w:spacing w:line="400" w:lineRule="exact"/>
              <w:rPr>
                <w:rFonts w:cs="宋体" w:asciiTheme="majorEastAsia" w:hAnsiTheme="majorEastAsia" w:eastAsiaTheme="majorEastAsia"/>
                <w:color w:val="auto"/>
                <w:sz w:val="21"/>
                <w:szCs w:val="21"/>
                <w:highlight w:val="none"/>
              </w:rPr>
            </w:pPr>
            <w:r>
              <w:rPr>
                <w:rFonts w:hint="eastAsia" w:ascii="宋体" w:hAnsi="宋体" w:cs="宋体"/>
                <w:bCs/>
                <w:color w:val="auto"/>
                <w:sz w:val="21"/>
                <w:szCs w:val="21"/>
                <w:highlight w:val="none"/>
              </w:rPr>
              <w:t>是，</w:t>
            </w:r>
            <w:r>
              <w:rPr>
                <w:rFonts w:hint="eastAsia" w:ascii="宋体" w:hAnsi="宋体" w:cs="宋体"/>
                <w:bCs/>
                <w:color w:val="auto"/>
                <w:sz w:val="21"/>
                <w:szCs w:val="21"/>
                <w:highlight w:val="none"/>
                <w:lang w:val="en-US" w:eastAsia="zh-CN"/>
              </w:rPr>
              <w:t>中标响应人</w:t>
            </w:r>
            <w:r>
              <w:rPr>
                <w:rFonts w:hint="eastAsia" w:ascii="宋体" w:hAnsi="宋体" w:cs="宋体"/>
                <w:bCs/>
                <w:color w:val="auto"/>
                <w:sz w:val="21"/>
                <w:szCs w:val="21"/>
                <w:highlight w:val="none"/>
              </w:rPr>
              <w:t>在合同签订前，向采购人提供相当于</w:t>
            </w:r>
            <w:r>
              <w:rPr>
                <w:rFonts w:hint="eastAsia" w:ascii="宋体" w:hAnsi="宋体" w:cs="宋体"/>
                <w:b/>
                <w:bCs/>
                <w:color w:val="auto"/>
                <w:sz w:val="21"/>
                <w:szCs w:val="21"/>
                <w:highlight w:val="none"/>
              </w:rPr>
              <w:t>合同总价5%</w:t>
            </w:r>
            <w:r>
              <w:rPr>
                <w:rFonts w:hint="eastAsia" w:ascii="宋体" w:hAnsi="宋体" w:cs="宋体"/>
                <w:bCs/>
                <w:color w:val="auto"/>
                <w:sz w:val="21"/>
                <w:szCs w:val="21"/>
                <w:highlight w:val="none"/>
              </w:rPr>
              <w:t>的履约保证金（现金或银行保函），采购人将在合同履约结束后返还乙方履约保证金（无息）。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19</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采购资金的支付方式、时间、条件</w:t>
            </w:r>
          </w:p>
        </w:tc>
        <w:tc>
          <w:tcPr>
            <w:tcW w:w="607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详见采购合同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20</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其他</w:t>
            </w:r>
          </w:p>
        </w:tc>
        <w:tc>
          <w:tcPr>
            <w:tcW w:w="607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rPr>
                <w:rFonts w:hint="eastAsia" w:cs="宋体" w:asciiTheme="majorEastAsia" w:hAnsiTheme="majorEastAsia" w:eastAsiaTheme="majorEastAsia"/>
                <w:color w:val="auto"/>
                <w:sz w:val="21"/>
                <w:szCs w:val="21"/>
                <w:highlight w:val="none"/>
                <w:lang w:eastAsia="zh-CN"/>
              </w:rPr>
            </w:pPr>
            <w:r>
              <w:rPr>
                <w:rFonts w:hint="eastAsia" w:cs="宋体" w:asciiTheme="majorEastAsia" w:hAnsiTheme="majorEastAsia" w:eastAsiaTheme="majorEastAsia"/>
                <w:color w:val="auto"/>
                <w:sz w:val="21"/>
                <w:szCs w:val="21"/>
                <w:highlight w:val="none"/>
              </w:rPr>
              <w:t>1.</w:t>
            </w:r>
            <w:r>
              <w:rPr>
                <w:rFonts w:hint="eastAsia" w:cs="宋体" w:asciiTheme="majorEastAsia" w:hAnsiTheme="majorEastAsia" w:eastAsiaTheme="majorEastAsia"/>
                <w:color w:val="auto"/>
                <w:sz w:val="21"/>
                <w:szCs w:val="21"/>
                <w:highlight w:val="none"/>
                <w:lang w:eastAsia="zh-CN"/>
              </w:rPr>
              <w:t>响应人</w:t>
            </w:r>
            <w:r>
              <w:rPr>
                <w:rFonts w:hint="eastAsia" w:cs="宋体" w:asciiTheme="majorEastAsia" w:hAnsiTheme="majorEastAsia" w:eastAsiaTheme="majorEastAsia"/>
                <w:color w:val="auto"/>
                <w:sz w:val="21"/>
                <w:szCs w:val="21"/>
                <w:highlight w:val="none"/>
                <w:lang w:val="en-US" w:eastAsia="zh-CN"/>
              </w:rPr>
              <w:t>磋商</w:t>
            </w:r>
            <w:r>
              <w:rPr>
                <w:rFonts w:hint="eastAsia" w:cs="宋体" w:asciiTheme="majorEastAsia" w:hAnsiTheme="majorEastAsia" w:eastAsiaTheme="majorEastAsia"/>
                <w:color w:val="auto"/>
                <w:sz w:val="21"/>
                <w:szCs w:val="21"/>
                <w:highlight w:val="none"/>
              </w:rPr>
              <w:t>前须自行现场踏勘，费用自理，充分考虑各种风险，一旦</w:t>
            </w:r>
            <w:r>
              <w:rPr>
                <w:rFonts w:hint="eastAsia" w:cs="宋体" w:asciiTheme="majorEastAsia" w:hAnsiTheme="majorEastAsia" w:eastAsiaTheme="majorEastAsia"/>
                <w:color w:val="auto"/>
                <w:sz w:val="21"/>
                <w:szCs w:val="21"/>
                <w:highlight w:val="none"/>
                <w:lang w:val="en-US" w:eastAsia="zh-CN"/>
              </w:rPr>
              <w:t>成交</w:t>
            </w:r>
            <w:r>
              <w:rPr>
                <w:rFonts w:hint="eastAsia" w:cs="宋体" w:asciiTheme="majorEastAsia" w:hAnsiTheme="majorEastAsia" w:eastAsiaTheme="majorEastAsia"/>
                <w:color w:val="auto"/>
                <w:sz w:val="21"/>
                <w:szCs w:val="21"/>
                <w:highlight w:val="none"/>
                <w:lang w:eastAsia="zh-CN"/>
              </w:rPr>
              <w:t>不得以不了解现场情况为由，提出增加费用的要求。</w:t>
            </w:r>
          </w:p>
          <w:p>
            <w:pPr>
              <w:snapToGrid w:val="0"/>
              <w:spacing w:line="400" w:lineRule="exact"/>
              <w:ind w:firstLine="420" w:firstLineChars="200"/>
              <w:rPr>
                <w:color w:val="auto"/>
                <w:highlight w:val="none"/>
              </w:rPr>
            </w:pPr>
            <w:r>
              <w:rPr>
                <w:rFonts w:hint="eastAsia" w:cs="宋体" w:asciiTheme="majorEastAsia" w:hAnsiTheme="majorEastAsia" w:eastAsiaTheme="majorEastAsia"/>
                <w:color w:val="auto"/>
                <w:sz w:val="21"/>
                <w:szCs w:val="21"/>
                <w:highlight w:val="none"/>
                <w:lang w:eastAsia="zh-CN"/>
              </w:rPr>
              <w:t>2.响应人自行勘察现场。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cs="宋体"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21</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cs="宋体" w:asciiTheme="majorEastAsia" w:hAnsiTheme="majorEastAsia" w:eastAsiaTheme="majorEastAsia"/>
                <w:bCs/>
                <w:color w:val="auto"/>
                <w:kern w:val="2"/>
                <w:sz w:val="21"/>
                <w:szCs w:val="21"/>
                <w:highlight w:val="none"/>
                <w:lang w:val="en-US" w:eastAsia="zh-CN" w:bidi="ar-SA"/>
              </w:rPr>
            </w:pPr>
            <w:r>
              <w:rPr>
                <w:rFonts w:hint="eastAsia" w:cs="宋体" w:asciiTheme="majorEastAsia" w:hAnsiTheme="majorEastAsia" w:eastAsiaTheme="majorEastAsia"/>
                <w:bCs/>
                <w:color w:val="auto"/>
                <w:sz w:val="21"/>
                <w:szCs w:val="21"/>
                <w:highlight w:val="none"/>
              </w:rPr>
              <w:t>质疑受理的单位信息</w:t>
            </w:r>
          </w:p>
        </w:tc>
        <w:tc>
          <w:tcPr>
            <w:tcW w:w="60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400" w:lineRule="exact"/>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建设方名称：</w:t>
            </w:r>
            <w:r>
              <w:rPr>
                <w:rFonts w:hint="eastAsia" w:ascii="宋体" w:hAnsi="宋体" w:cs="宋体"/>
                <w:color w:val="auto"/>
                <w:sz w:val="21"/>
                <w:szCs w:val="21"/>
                <w:highlight w:val="none"/>
                <w:lang w:eastAsia="zh-CN"/>
              </w:rPr>
              <w:t>江苏金坛滨湖新城开发建设有限公司</w:t>
            </w:r>
          </w:p>
          <w:p>
            <w:pPr>
              <w:keepNext w:val="0"/>
              <w:keepLines w:val="0"/>
              <w:pageBreakBefore w:val="0"/>
              <w:widowControl w:val="0"/>
              <w:kinsoku/>
              <w:wordWrap/>
              <w:overflowPunct/>
              <w:topLinePunct w:val="0"/>
              <w:autoSpaceDE/>
              <w:autoSpaceDN/>
              <w:bidi w:val="0"/>
              <w:spacing w:line="400" w:lineRule="exact"/>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通讯地址：</w:t>
            </w:r>
            <w:r>
              <w:rPr>
                <w:rFonts w:hint="eastAsia" w:ascii="宋体" w:hAnsi="宋体" w:eastAsia="宋体" w:cs="宋体"/>
                <w:bCs/>
                <w:color w:val="auto"/>
                <w:sz w:val="21"/>
                <w:szCs w:val="21"/>
                <w:highlight w:val="none"/>
                <w:lang w:val="en-US" w:eastAsia="zh-CN"/>
              </w:rPr>
              <w:t>常州市金坛区金坛大道333号</w:t>
            </w:r>
          </w:p>
          <w:p>
            <w:pPr>
              <w:keepNext w:val="0"/>
              <w:keepLines w:val="0"/>
              <w:pageBreakBefore w:val="0"/>
              <w:widowControl w:val="0"/>
              <w:kinsoku/>
              <w:wordWrap/>
              <w:overflowPunct/>
              <w:topLinePunct w:val="0"/>
              <w:autoSpaceDE/>
              <w:autoSpaceDN/>
              <w:bidi w:val="0"/>
              <w:spacing w:line="400" w:lineRule="exact"/>
              <w:jc w:val="left"/>
              <w:textAlignment w:val="auto"/>
              <w:rPr>
                <w:rFonts w:cs="宋体" w:asciiTheme="majorEastAsia" w:hAnsiTheme="majorEastAsia" w:eastAsiaTheme="majorEastAsia"/>
                <w:bCs/>
                <w:color w:val="auto"/>
                <w:kern w:val="2"/>
                <w:sz w:val="21"/>
                <w:szCs w:val="21"/>
                <w:highlight w:val="none"/>
                <w:lang w:val="en-US" w:eastAsia="zh-CN" w:bidi="ar-SA"/>
              </w:rPr>
            </w:pPr>
            <w:r>
              <w:rPr>
                <w:rFonts w:hint="eastAsia" w:ascii="宋体" w:hAnsi="宋体" w:eastAsia="宋体" w:cs="宋体"/>
                <w:bCs/>
                <w:color w:val="auto"/>
                <w:sz w:val="21"/>
                <w:szCs w:val="21"/>
                <w:highlight w:val="none"/>
              </w:rPr>
              <w:t xml:space="preserve">电话：0519-82692989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cs="宋体"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kern w:val="2"/>
                <w:sz w:val="21"/>
                <w:szCs w:val="21"/>
                <w:highlight w:val="none"/>
                <w:lang w:val="en-US" w:eastAsia="zh-CN" w:bidi="ar-SA"/>
              </w:rPr>
              <w:t>22</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cs="宋体" w:asciiTheme="majorEastAsia" w:hAnsiTheme="majorEastAsia" w:eastAsiaTheme="majorEastAsia"/>
                <w:bCs/>
                <w:color w:val="auto"/>
                <w:kern w:val="2"/>
                <w:sz w:val="21"/>
                <w:szCs w:val="21"/>
                <w:highlight w:val="none"/>
                <w:lang w:val="en-US" w:eastAsia="zh-CN" w:bidi="ar-SA"/>
              </w:rPr>
            </w:pPr>
            <w:r>
              <w:rPr>
                <w:rFonts w:hint="eastAsia" w:cs="宋体" w:asciiTheme="majorEastAsia" w:hAnsiTheme="majorEastAsia" w:eastAsiaTheme="majorEastAsia"/>
                <w:bCs/>
                <w:color w:val="auto"/>
                <w:sz w:val="21"/>
                <w:szCs w:val="21"/>
                <w:highlight w:val="none"/>
              </w:rPr>
              <w:t>投诉受理的单位信息</w:t>
            </w:r>
          </w:p>
        </w:tc>
        <w:tc>
          <w:tcPr>
            <w:tcW w:w="60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400" w:lineRule="exact"/>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行政监督部门：江苏金坛建设发展有限公司</w:t>
            </w:r>
          </w:p>
          <w:p>
            <w:pPr>
              <w:keepNext w:val="0"/>
              <w:keepLines w:val="0"/>
              <w:pageBreakBefore w:val="0"/>
              <w:widowControl w:val="0"/>
              <w:kinsoku/>
              <w:wordWrap/>
              <w:overflowPunct/>
              <w:topLinePunct w:val="0"/>
              <w:autoSpaceDE/>
              <w:autoSpaceDN/>
              <w:bidi w:val="0"/>
              <w:spacing w:line="400" w:lineRule="exact"/>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通讯地址：常州市金坛区金坛大道333号</w:t>
            </w:r>
          </w:p>
          <w:p>
            <w:pPr>
              <w:keepNext w:val="0"/>
              <w:keepLines w:val="0"/>
              <w:pageBreakBefore w:val="0"/>
              <w:widowControl w:val="0"/>
              <w:kinsoku/>
              <w:wordWrap/>
              <w:overflowPunct/>
              <w:topLinePunct w:val="0"/>
              <w:autoSpaceDE/>
              <w:autoSpaceDN/>
              <w:bidi w:val="0"/>
              <w:spacing w:line="400" w:lineRule="exact"/>
              <w:jc w:val="left"/>
              <w:textAlignment w:val="auto"/>
              <w:rPr>
                <w:rFonts w:cs="宋体" w:asciiTheme="majorEastAsia" w:hAnsiTheme="majorEastAsia" w:eastAsiaTheme="majorEastAsia"/>
                <w:bCs/>
                <w:color w:val="auto"/>
                <w:kern w:val="2"/>
                <w:sz w:val="21"/>
                <w:szCs w:val="21"/>
                <w:highlight w:val="none"/>
                <w:lang w:val="en-US" w:eastAsia="zh-CN" w:bidi="ar-SA"/>
              </w:rPr>
            </w:pPr>
            <w:r>
              <w:rPr>
                <w:rFonts w:hint="eastAsia" w:ascii="宋体" w:hAnsi="宋体" w:eastAsia="宋体" w:cs="宋体"/>
                <w:bCs/>
                <w:color w:val="auto"/>
                <w:sz w:val="21"/>
                <w:szCs w:val="21"/>
                <w:highlight w:val="none"/>
              </w:rPr>
              <w:t>电话：0519-85658078</w:t>
            </w:r>
          </w:p>
        </w:tc>
      </w:tr>
    </w:tbl>
    <w:p>
      <w:pPr>
        <w:spacing w:line="400" w:lineRule="exact"/>
        <w:jc w:val="left"/>
        <w:rPr>
          <w:rFonts w:cs="宋体" w:asciiTheme="majorEastAsia" w:hAnsiTheme="majorEastAsia" w:eastAsiaTheme="majorEastAsia"/>
          <w:bCs/>
          <w:color w:val="auto"/>
          <w:sz w:val="21"/>
          <w:szCs w:val="21"/>
          <w:highlight w:val="none"/>
        </w:rPr>
      </w:pPr>
      <w:r>
        <w:rPr>
          <w:rFonts w:hint="eastAsia" w:cs="宋体" w:asciiTheme="majorEastAsia" w:hAnsiTheme="majorEastAsia" w:eastAsiaTheme="majorEastAsia"/>
          <w:bCs/>
          <w:color w:val="auto"/>
          <w:sz w:val="21"/>
          <w:szCs w:val="21"/>
          <w:highlight w:val="none"/>
        </w:rPr>
        <w:t>注：</w:t>
      </w:r>
    </w:p>
    <w:p>
      <w:pPr>
        <w:spacing w:line="400" w:lineRule="exact"/>
        <w:jc w:val="left"/>
        <w:rPr>
          <w:rFonts w:cs="宋体" w:asciiTheme="majorEastAsia" w:hAnsiTheme="majorEastAsia" w:eastAsiaTheme="majorEastAsia"/>
          <w:bCs/>
          <w:color w:val="auto"/>
          <w:sz w:val="21"/>
          <w:szCs w:val="21"/>
          <w:highlight w:val="none"/>
        </w:rPr>
      </w:pPr>
      <w:r>
        <w:rPr>
          <w:rFonts w:hint="eastAsia" w:cs="宋体" w:asciiTheme="majorEastAsia" w:hAnsiTheme="majorEastAsia" w:eastAsiaTheme="majorEastAsia"/>
          <w:bCs/>
          <w:color w:val="auto"/>
          <w:sz w:val="21"/>
          <w:szCs w:val="21"/>
          <w:highlight w:val="none"/>
        </w:rPr>
        <w:t>1.上表中加 * 项目若有缺失或无效，</w:t>
      </w:r>
      <w:r>
        <w:rPr>
          <w:rFonts w:hint="eastAsia" w:cs="宋体" w:asciiTheme="majorEastAsia" w:hAnsiTheme="majorEastAsia" w:eastAsiaTheme="majorEastAsia"/>
          <w:bCs/>
          <w:color w:val="auto"/>
          <w:sz w:val="21"/>
          <w:szCs w:val="21"/>
          <w:highlight w:val="none"/>
          <w:lang w:val="en-US" w:eastAsia="zh-CN"/>
        </w:rPr>
        <w:t>磋商文件</w:t>
      </w:r>
      <w:r>
        <w:rPr>
          <w:rFonts w:hint="eastAsia" w:cs="宋体" w:asciiTheme="majorEastAsia" w:hAnsiTheme="majorEastAsia" w:eastAsiaTheme="majorEastAsia"/>
          <w:bCs/>
          <w:color w:val="auto"/>
          <w:sz w:val="21"/>
          <w:szCs w:val="21"/>
          <w:highlight w:val="none"/>
        </w:rPr>
        <w:t>将被拒绝或</w:t>
      </w:r>
      <w:r>
        <w:rPr>
          <w:rFonts w:hint="eastAsia" w:cs="宋体" w:asciiTheme="majorEastAsia" w:hAnsiTheme="majorEastAsia" w:eastAsiaTheme="majorEastAsia"/>
          <w:bCs/>
          <w:color w:val="auto"/>
          <w:sz w:val="21"/>
          <w:szCs w:val="21"/>
          <w:highlight w:val="none"/>
          <w:lang w:val="en-US" w:eastAsia="zh-CN"/>
        </w:rPr>
        <w:t>磋商</w:t>
      </w:r>
      <w:r>
        <w:rPr>
          <w:rFonts w:hint="eastAsia" w:cs="宋体" w:asciiTheme="majorEastAsia" w:hAnsiTheme="majorEastAsia" w:eastAsiaTheme="majorEastAsia"/>
          <w:bCs/>
          <w:color w:val="auto"/>
          <w:sz w:val="21"/>
          <w:szCs w:val="21"/>
          <w:highlight w:val="none"/>
        </w:rPr>
        <w:t>无效且不允许在开标后补正；</w:t>
      </w:r>
    </w:p>
    <w:p>
      <w:pPr>
        <w:spacing w:line="400" w:lineRule="exact"/>
        <w:jc w:val="left"/>
        <w:rPr>
          <w:rFonts w:cs="宋体" w:asciiTheme="majorEastAsia" w:hAnsiTheme="majorEastAsia" w:eastAsiaTheme="majorEastAsia"/>
          <w:bCs/>
          <w:color w:val="auto"/>
          <w:sz w:val="21"/>
          <w:szCs w:val="21"/>
          <w:highlight w:val="none"/>
        </w:rPr>
      </w:pPr>
      <w:r>
        <w:rPr>
          <w:rFonts w:hint="eastAsia" w:cs="宋体" w:asciiTheme="majorEastAsia" w:hAnsiTheme="majorEastAsia" w:eastAsiaTheme="majorEastAsia"/>
          <w:bCs/>
          <w:color w:val="auto"/>
          <w:sz w:val="21"/>
          <w:szCs w:val="21"/>
          <w:highlight w:val="none"/>
        </w:rPr>
        <w:t>2.响应人须知前附表内容如与磋商文件其他部分不一致，以响应人须知前附表为准。</w:t>
      </w:r>
    </w:p>
    <w:p>
      <w:pPr>
        <w:spacing w:line="400" w:lineRule="exact"/>
        <w:jc w:val="left"/>
        <w:rPr>
          <w:rFonts w:cs="宋体" w:asciiTheme="majorEastAsia" w:hAnsiTheme="majorEastAsia" w:eastAsiaTheme="majorEastAsia"/>
          <w:bCs/>
          <w:color w:val="auto"/>
          <w:sz w:val="21"/>
          <w:szCs w:val="21"/>
          <w:highlight w:val="none"/>
        </w:rPr>
      </w:pPr>
      <w:r>
        <w:rPr>
          <w:rFonts w:hint="eastAsia" w:cs="宋体" w:asciiTheme="majorEastAsia" w:hAnsiTheme="majorEastAsia" w:eastAsiaTheme="majorEastAsia"/>
          <w:bCs/>
          <w:color w:val="auto"/>
          <w:sz w:val="21"/>
          <w:szCs w:val="21"/>
          <w:highlight w:val="none"/>
        </w:rPr>
        <w:br w:type="page"/>
      </w:r>
    </w:p>
    <w:p>
      <w:pPr>
        <w:keepNext/>
        <w:spacing w:line="400" w:lineRule="exact"/>
        <w:jc w:val="center"/>
        <w:outlineLvl w:val="0"/>
        <w:rPr>
          <w:rFonts w:asciiTheme="majorEastAsia" w:hAnsiTheme="majorEastAsia" w:eastAsiaTheme="majorEastAsia"/>
          <w:color w:val="auto"/>
          <w:szCs w:val="28"/>
          <w:highlight w:val="none"/>
        </w:rPr>
      </w:pPr>
      <w:r>
        <w:rPr>
          <w:rFonts w:cs="宋体" w:asciiTheme="majorEastAsia" w:hAnsiTheme="majorEastAsia" w:eastAsiaTheme="majorEastAsia"/>
          <w:b/>
          <w:bCs/>
          <w:color w:val="auto"/>
          <w:szCs w:val="28"/>
          <w:highlight w:val="none"/>
        </w:rPr>
        <w:t>第三部分</w:t>
      </w:r>
      <w:r>
        <w:rPr>
          <w:rFonts w:hint="eastAsia" w:cs="宋体" w:asciiTheme="majorEastAsia" w:hAnsiTheme="majorEastAsia" w:eastAsiaTheme="majorEastAsia"/>
          <w:b/>
          <w:bCs/>
          <w:color w:val="auto"/>
          <w:szCs w:val="28"/>
          <w:highlight w:val="none"/>
        </w:rPr>
        <w:t xml:space="preserve">  </w:t>
      </w:r>
      <w:r>
        <w:rPr>
          <w:rFonts w:cs="宋体" w:asciiTheme="majorEastAsia" w:hAnsiTheme="majorEastAsia" w:eastAsiaTheme="majorEastAsia"/>
          <w:b/>
          <w:bCs/>
          <w:color w:val="auto"/>
          <w:szCs w:val="28"/>
          <w:highlight w:val="none"/>
        </w:rPr>
        <w:t>响应人须知</w:t>
      </w:r>
    </w:p>
    <w:p>
      <w:pPr>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一、定义</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1.1“采购人”指本项目的具体</w:t>
      </w:r>
      <w:r>
        <w:rPr>
          <w:rFonts w:hint="eastAsia" w:asciiTheme="majorEastAsia" w:hAnsiTheme="majorEastAsia" w:eastAsiaTheme="majorEastAsia"/>
          <w:color w:val="auto"/>
          <w:sz w:val="21"/>
          <w:szCs w:val="21"/>
          <w:highlight w:val="none"/>
          <w:lang w:eastAsia="zh-CN"/>
        </w:rPr>
        <w:t>采购人</w:t>
      </w:r>
      <w:r>
        <w:rPr>
          <w:rFonts w:asciiTheme="majorEastAsia" w:hAnsiTheme="majorEastAsia" w:eastAsiaTheme="majorEastAsia"/>
          <w:color w:val="auto"/>
          <w:sz w:val="21"/>
          <w:szCs w:val="21"/>
          <w:highlight w:val="none"/>
        </w:rPr>
        <w:t>，名称详见</w:t>
      </w:r>
      <w:r>
        <w:rPr>
          <w:rFonts w:asciiTheme="majorEastAsia" w:hAnsiTheme="majorEastAsia" w:eastAsiaTheme="majorEastAsia"/>
          <w:bCs/>
          <w:color w:val="auto"/>
          <w:sz w:val="21"/>
          <w:szCs w:val="21"/>
          <w:highlight w:val="none"/>
        </w:rPr>
        <w:t>响应人须知前附表第1条</w:t>
      </w:r>
      <w:r>
        <w:rPr>
          <w:rFonts w:asciiTheme="majorEastAsia" w:hAnsiTheme="majorEastAsia" w:eastAsiaTheme="majorEastAsia"/>
          <w:color w:val="auto"/>
          <w:sz w:val="21"/>
          <w:szCs w:val="21"/>
          <w:highlight w:val="none"/>
        </w:rPr>
        <w:t>。</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1.2“招标货物”指本磋商文件中第四部分所述所有货物及实现货物功能价值所必须的配套技术和服务。</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1.3“服务”指本磋商文件第四部分所述响应人应该履行的承诺和义务。</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1.4“响应人”指符合本磋商文件规定并参加投标的</w:t>
      </w:r>
      <w:r>
        <w:rPr>
          <w:rFonts w:hint="eastAsia" w:asciiTheme="majorEastAsia" w:hAnsiTheme="majorEastAsia" w:eastAsiaTheme="majorEastAsia"/>
          <w:color w:val="auto"/>
          <w:sz w:val="21"/>
          <w:szCs w:val="21"/>
          <w:highlight w:val="none"/>
          <w:lang w:eastAsia="zh-CN"/>
        </w:rPr>
        <w:t>响应人</w:t>
      </w:r>
      <w:r>
        <w:rPr>
          <w:rFonts w:asciiTheme="majorEastAsia" w:hAnsiTheme="majorEastAsia" w:eastAsiaTheme="majorEastAsia"/>
          <w:color w:val="auto"/>
          <w:sz w:val="21"/>
          <w:szCs w:val="21"/>
          <w:highlight w:val="none"/>
        </w:rPr>
        <w:t>。</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1.5“潜在响应人”指符合本磋商文件各项规定的合格</w:t>
      </w:r>
      <w:r>
        <w:rPr>
          <w:rFonts w:hint="eastAsia" w:asciiTheme="majorEastAsia" w:hAnsiTheme="majorEastAsia" w:eastAsiaTheme="majorEastAsia"/>
          <w:color w:val="auto"/>
          <w:sz w:val="21"/>
          <w:szCs w:val="21"/>
          <w:highlight w:val="none"/>
          <w:lang w:eastAsia="zh-CN"/>
        </w:rPr>
        <w:t>响应人</w:t>
      </w:r>
      <w:r>
        <w:rPr>
          <w:rFonts w:asciiTheme="majorEastAsia" w:hAnsiTheme="majorEastAsia" w:eastAsiaTheme="majorEastAsia"/>
          <w:color w:val="auto"/>
          <w:sz w:val="21"/>
          <w:szCs w:val="21"/>
          <w:highlight w:val="none"/>
        </w:rPr>
        <w:t>。</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1.6 本磋商文件规定按日计算期间的，开始当天不计入，从次日开始计算。期限的最后一日是国家法定节假日的，顺延到节假日后的次日为期限的最后一日。</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二、合格响应人的条件</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2.1具有本项目实施能力，符合、承认并承诺履行本磋商文件各项规定的国内</w:t>
      </w:r>
      <w:r>
        <w:rPr>
          <w:rFonts w:hint="eastAsia" w:asciiTheme="majorEastAsia" w:hAnsiTheme="majorEastAsia" w:eastAsiaTheme="majorEastAsia"/>
          <w:color w:val="auto"/>
          <w:sz w:val="21"/>
          <w:szCs w:val="21"/>
          <w:highlight w:val="none"/>
          <w:lang w:eastAsia="zh-CN"/>
        </w:rPr>
        <w:t>响应人</w:t>
      </w:r>
      <w:r>
        <w:rPr>
          <w:rFonts w:asciiTheme="majorEastAsia" w:hAnsiTheme="majorEastAsia" w:eastAsiaTheme="majorEastAsia"/>
          <w:color w:val="auto"/>
          <w:sz w:val="21"/>
          <w:szCs w:val="21"/>
          <w:highlight w:val="none"/>
        </w:rPr>
        <w:t>均可参加</w:t>
      </w:r>
      <w:r>
        <w:rPr>
          <w:rFonts w:hint="eastAsia" w:asciiTheme="majorEastAsia" w:hAnsiTheme="majorEastAsia" w:eastAsiaTheme="majorEastAsia"/>
          <w:color w:val="auto"/>
          <w:sz w:val="21"/>
          <w:szCs w:val="21"/>
          <w:highlight w:val="none"/>
          <w:lang w:val="en-US" w:eastAsia="zh-CN"/>
        </w:rPr>
        <w:t>磋商</w:t>
      </w:r>
      <w:r>
        <w:rPr>
          <w:rFonts w:asciiTheme="majorEastAsia" w:hAnsiTheme="majorEastAsia" w:eastAsiaTheme="majorEastAsia"/>
          <w:color w:val="auto"/>
          <w:sz w:val="21"/>
          <w:szCs w:val="21"/>
          <w:highlight w:val="none"/>
        </w:rPr>
        <w:t>。</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w:t>
      </w:r>
      <w:r>
        <w:rPr>
          <w:rFonts w:hint="eastAsia" w:asciiTheme="majorEastAsia" w:hAnsiTheme="majorEastAsia" w:eastAsiaTheme="majorEastAsia"/>
          <w:color w:val="auto"/>
          <w:sz w:val="21"/>
          <w:szCs w:val="21"/>
          <w:highlight w:val="none"/>
        </w:rPr>
        <w:t>2</w:t>
      </w:r>
      <w:r>
        <w:rPr>
          <w:rFonts w:hint="eastAsia" w:asciiTheme="majorEastAsia" w:hAnsiTheme="majorEastAsia" w:eastAsiaTheme="majorEastAsia"/>
          <w:color w:val="auto"/>
          <w:sz w:val="21"/>
          <w:szCs w:val="21"/>
          <w:highlight w:val="none"/>
          <w:lang w:eastAsia="zh-CN"/>
        </w:rPr>
        <w:t>响应人</w:t>
      </w:r>
      <w:r>
        <w:rPr>
          <w:rFonts w:asciiTheme="majorEastAsia" w:hAnsiTheme="majorEastAsia" w:eastAsiaTheme="majorEastAsia"/>
          <w:color w:val="auto"/>
          <w:sz w:val="21"/>
          <w:szCs w:val="21"/>
          <w:highlight w:val="none"/>
        </w:rPr>
        <w:t>资格条件：</w:t>
      </w:r>
      <w:r>
        <w:rPr>
          <w:rFonts w:hint="eastAsia" w:asciiTheme="majorEastAsia" w:hAnsiTheme="majorEastAsia" w:eastAsiaTheme="majorEastAsia"/>
          <w:color w:val="auto"/>
          <w:sz w:val="21"/>
          <w:szCs w:val="21"/>
          <w:highlight w:val="none"/>
        </w:rPr>
        <w:t>详见</w:t>
      </w:r>
      <w:r>
        <w:rPr>
          <w:rFonts w:asciiTheme="majorEastAsia" w:hAnsiTheme="majorEastAsia" w:eastAsiaTheme="majorEastAsia"/>
          <w:color w:val="auto"/>
          <w:sz w:val="21"/>
          <w:szCs w:val="21"/>
          <w:highlight w:val="none"/>
        </w:rPr>
        <w:t>磋商公告</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w:t>
      </w:r>
      <w:r>
        <w:rPr>
          <w:rFonts w:hint="eastAsia" w:asciiTheme="majorEastAsia" w:hAnsiTheme="majorEastAsia" w:eastAsiaTheme="majorEastAsia"/>
          <w:color w:val="auto"/>
          <w:sz w:val="21"/>
          <w:szCs w:val="21"/>
          <w:highlight w:val="none"/>
        </w:rPr>
        <w:t>3</w:t>
      </w:r>
      <w:r>
        <w:rPr>
          <w:rFonts w:hint="eastAsia" w:asciiTheme="majorEastAsia" w:hAnsiTheme="majorEastAsia" w:eastAsiaTheme="majorEastAsia"/>
          <w:color w:val="auto"/>
          <w:sz w:val="21"/>
          <w:szCs w:val="21"/>
          <w:highlight w:val="none"/>
          <w:lang w:eastAsia="zh-CN"/>
        </w:rPr>
        <w:t>响应人</w:t>
      </w:r>
      <w:r>
        <w:rPr>
          <w:rFonts w:asciiTheme="majorEastAsia" w:hAnsiTheme="majorEastAsia" w:eastAsiaTheme="majorEastAsia"/>
          <w:color w:val="auto"/>
          <w:sz w:val="21"/>
          <w:szCs w:val="21"/>
          <w:highlight w:val="none"/>
        </w:rPr>
        <w:t>单位负责人为同一人或者存在直接控股、管理关系的不同</w:t>
      </w:r>
      <w:r>
        <w:rPr>
          <w:rFonts w:hint="eastAsia" w:asciiTheme="majorEastAsia" w:hAnsiTheme="majorEastAsia" w:eastAsiaTheme="majorEastAsia"/>
          <w:color w:val="auto"/>
          <w:sz w:val="21"/>
          <w:szCs w:val="21"/>
          <w:highlight w:val="none"/>
          <w:lang w:eastAsia="zh-CN"/>
        </w:rPr>
        <w:t>响应人</w:t>
      </w:r>
      <w:r>
        <w:rPr>
          <w:rFonts w:asciiTheme="majorEastAsia" w:hAnsiTheme="majorEastAsia" w:eastAsiaTheme="majorEastAsia"/>
          <w:color w:val="auto"/>
          <w:sz w:val="21"/>
          <w:szCs w:val="21"/>
          <w:highlight w:val="none"/>
        </w:rPr>
        <w:t>，不得参加同一合同项下的采购活动；</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w:t>
      </w:r>
      <w:r>
        <w:rPr>
          <w:rFonts w:hint="eastAsia" w:asciiTheme="majorEastAsia" w:hAnsiTheme="majorEastAsia" w:eastAsiaTheme="majorEastAsia"/>
          <w:color w:val="auto"/>
          <w:sz w:val="21"/>
          <w:szCs w:val="21"/>
          <w:highlight w:val="none"/>
        </w:rPr>
        <w:t>4</w:t>
      </w:r>
      <w:r>
        <w:rPr>
          <w:rFonts w:asciiTheme="majorEastAsia" w:hAnsiTheme="majorEastAsia" w:eastAsiaTheme="majorEastAsia"/>
          <w:color w:val="auto"/>
          <w:sz w:val="21"/>
          <w:szCs w:val="21"/>
          <w:highlight w:val="none"/>
        </w:rPr>
        <w:t>凡为采购项目提供整体设计、规范编制或者项目管理、监理、检测等服务的</w:t>
      </w:r>
      <w:r>
        <w:rPr>
          <w:rFonts w:hint="eastAsia" w:asciiTheme="majorEastAsia" w:hAnsiTheme="majorEastAsia" w:eastAsiaTheme="majorEastAsia"/>
          <w:color w:val="auto"/>
          <w:sz w:val="21"/>
          <w:szCs w:val="21"/>
          <w:highlight w:val="none"/>
          <w:lang w:eastAsia="zh-CN"/>
        </w:rPr>
        <w:t>响应人</w:t>
      </w:r>
      <w:r>
        <w:rPr>
          <w:rFonts w:asciiTheme="majorEastAsia" w:hAnsiTheme="majorEastAsia" w:eastAsiaTheme="majorEastAsia"/>
          <w:color w:val="auto"/>
          <w:sz w:val="21"/>
          <w:szCs w:val="21"/>
          <w:highlight w:val="none"/>
        </w:rPr>
        <w:t>，不得再参加本项目的采购活动</w:t>
      </w:r>
      <w:r>
        <w:rPr>
          <w:rFonts w:hint="eastAsia" w:asciiTheme="majorEastAsia" w:hAnsiTheme="majorEastAsia" w:eastAsiaTheme="majorEastAsia"/>
          <w:color w:val="auto"/>
          <w:sz w:val="21"/>
          <w:szCs w:val="21"/>
          <w:highlight w:val="none"/>
        </w:rPr>
        <w:t>（如有）</w:t>
      </w:r>
      <w:r>
        <w:rPr>
          <w:rFonts w:asciiTheme="majorEastAsia" w:hAnsiTheme="majorEastAsia" w:eastAsiaTheme="majorEastAsia"/>
          <w:color w:val="auto"/>
          <w:sz w:val="21"/>
          <w:szCs w:val="21"/>
          <w:highlight w:val="none"/>
        </w:rPr>
        <w:t>；</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w:t>
      </w:r>
      <w:r>
        <w:rPr>
          <w:rFonts w:hint="eastAsia" w:asciiTheme="majorEastAsia" w:hAnsiTheme="majorEastAsia" w:eastAsiaTheme="majorEastAsia"/>
          <w:color w:val="auto"/>
          <w:sz w:val="21"/>
          <w:szCs w:val="21"/>
          <w:highlight w:val="none"/>
        </w:rPr>
        <w:t>5</w:t>
      </w:r>
      <w:r>
        <w:rPr>
          <w:rFonts w:asciiTheme="majorEastAsia" w:hAnsiTheme="majorEastAsia" w:eastAsiaTheme="majorEastAsia"/>
          <w:color w:val="auto"/>
          <w:sz w:val="21"/>
          <w:szCs w:val="21"/>
          <w:highlight w:val="none"/>
        </w:rPr>
        <w:t>本次采购是否允许两个（含）以上响应人组成一个联合体以一个响应人身份共同投标，详见</w:t>
      </w:r>
      <w:r>
        <w:rPr>
          <w:rFonts w:asciiTheme="majorEastAsia" w:hAnsiTheme="majorEastAsia" w:eastAsiaTheme="majorEastAsia"/>
          <w:bCs/>
          <w:color w:val="auto"/>
          <w:sz w:val="21"/>
          <w:szCs w:val="21"/>
          <w:highlight w:val="none"/>
        </w:rPr>
        <w:t>响应人须知前附表第</w:t>
      </w:r>
      <w:r>
        <w:rPr>
          <w:rFonts w:hint="eastAsia" w:cs="宋体" w:asciiTheme="majorEastAsia" w:hAnsiTheme="majorEastAsia" w:eastAsiaTheme="majorEastAsia"/>
          <w:bCs/>
          <w:color w:val="auto"/>
          <w:sz w:val="21"/>
          <w:szCs w:val="21"/>
          <w:highlight w:val="none"/>
        </w:rPr>
        <w:t>7</w:t>
      </w:r>
      <w:r>
        <w:rPr>
          <w:rFonts w:asciiTheme="majorEastAsia" w:hAnsiTheme="majorEastAsia" w:eastAsiaTheme="majorEastAsia"/>
          <w:bCs/>
          <w:color w:val="auto"/>
          <w:sz w:val="21"/>
          <w:szCs w:val="21"/>
          <w:highlight w:val="none"/>
        </w:rPr>
        <w:t>条</w:t>
      </w:r>
      <w:r>
        <w:rPr>
          <w:rFonts w:asciiTheme="majorEastAsia" w:hAnsiTheme="majorEastAsia" w:eastAsiaTheme="majorEastAsia"/>
          <w:color w:val="auto"/>
          <w:sz w:val="21"/>
          <w:szCs w:val="21"/>
          <w:highlight w:val="none"/>
        </w:rPr>
        <w:t>。</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w:t>
      </w:r>
      <w:r>
        <w:rPr>
          <w:rFonts w:hint="eastAsia" w:asciiTheme="majorEastAsia" w:hAnsiTheme="majorEastAsia" w:eastAsiaTheme="majorEastAsia"/>
          <w:color w:val="auto"/>
          <w:sz w:val="21"/>
          <w:szCs w:val="21"/>
          <w:highlight w:val="none"/>
        </w:rPr>
        <w:t>6</w:t>
      </w:r>
      <w:r>
        <w:rPr>
          <w:rFonts w:asciiTheme="majorEastAsia" w:hAnsiTheme="majorEastAsia" w:eastAsiaTheme="majorEastAsia"/>
          <w:color w:val="auto"/>
          <w:sz w:val="21"/>
          <w:szCs w:val="21"/>
          <w:highlight w:val="none"/>
        </w:rPr>
        <w:t>响应人应按照磋商公告规定的方式获取磋商文件。</w:t>
      </w:r>
    </w:p>
    <w:p>
      <w:pPr>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三、磋商费用</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3.1响应人应自行承担其编制、提交响应文件以及参加竞争性磋商活动所产生之一切费用。无论竞争性磋商活动中的做法和结果如何(包括</w:t>
      </w:r>
      <w:r>
        <w:rPr>
          <w:rFonts w:hint="eastAsia" w:asciiTheme="majorEastAsia" w:hAnsiTheme="majorEastAsia" w:eastAsiaTheme="majorEastAsia"/>
          <w:color w:val="auto"/>
          <w:sz w:val="21"/>
          <w:szCs w:val="21"/>
          <w:highlight w:val="none"/>
          <w:lang w:eastAsia="zh-CN"/>
        </w:rPr>
        <w:t>采购人</w:t>
      </w:r>
      <w:r>
        <w:rPr>
          <w:rFonts w:asciiTheme="majorEastAsia" w:hAnsiTheme="majorEastAsia" w:eastAsiaTheme="majorEastAsia"/>
          <w:color w:val="auto"/>
          <w:sz w:val="21"/>
          <w:szCs w:val="21"/>
          <w:highlight w:val="none"/>
        </w:rPr>
        <w:t>决定取消采购的)，采购人和采购代理机构对上述费用不负任何责任。</w:t>
      </w:r>
    </w:p>
    <w:p>
      <w:pPr>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四、磋商文件</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4.1磋商文件由下列七部分内容组成：</w:t>
      </w:r>
    </w:p>
    <w:p>
      <w:pPr>
        <w:spacing w:line="400" w:lineRule="exact"/>
        <w:ind w:firstLine="1050" w:firstLineChars="500"/>
        <w:rPr>
          <w:rFonts w:asciiTheme="majorEastAsia" w:hAnsiTheme="majorEastAsia" w:eastAsiaTheme="majorEastAsia"/>
          <w:color w:val="auto"/>
          <w:sz w:val="21"/>
          <w:szCs w:val="21"/>
          <w:highlight w:val="none"/>
          <w:u w:val="single"/>
        </w:rPr>
      </w:pPr>
      <w:r>
        <w:rPr>
          <w:rFonts w:asciiTheme="majorEastAsia" w:hAnsiTheme="majorEastAsia" w:eastAsiaTheme="majorEastAsia"/>
          <w:color w:val="auto"/>
          <w:sz w:val="21"/>
          <w:szCs w:val="21"/>
          <w:highlight w:val="none"/>
          <w:u w:val="single"/>
        </w:rPr>
        <w:fldChar w:fldCharType="begin"/>
      </w:r>
      <w:r>
        <w:rPr>
          <w:rFonts w:asciiTheme="majorEastAsia" w:hAnsiTheme="majorEastAsia" w:eastAsiaTheme="majorEastAsia"/>
          <w:color w:val="auto"/>
          <w:sz w:val="21"/>
          <w:szCs w:val="21"/>
          <w:highlight w:val="none"/>
          <w:u w:val="single"/>
        </w:rPr>
        <w:instrText xml:space="preserve"> HYPERLINK \l "_Toc214163612" </w:instrText>
      </w:r>
      <w:r>
        <w:rPr>
          <w:rFonts w:asciiTheme="majorEastAsia" w:hAnsiTheme="majorEastAsia" w:eastAsiaTheme="majorEastAsia"/>
          <w:color w:val="auto"/>
          <w:sz w:val="21"/>
          <w:szCs w:val="21"/>
          <w:highlight w:val="none"/>
          <w:u w:val="single"/>
        </w:rPr>
        <w:fldChar w:fldCharType="separate"/>
      </w:r>
      <w:r>
        <w:rPr>
          <w:rFonts w:asciiTheme="majorEastAsia" w:hAnsiTheme="majorEastAsia" w:eastAsiaTheme="majorEastAsia"/>
          <w:color w:val="auto"/>
          <w:sz w:val="21"/>
          <w:szCs w:val="21"/>
          <w:highlight w:val="none"/>
          <w:u w:val="single"/>
        </w:rPr>
        <w:t>第一部分</w:t>
      </w:r>
      <w:r>
        <w:rPr>
          <w:rFonts w:hint="eastAsia" w:asciiTheme="majorEastAsia" w:hAnsiTheme="majorEastAsia" w:eastAsiaTheme="majorEastAsia"/>
          <w:color w:val="auto"/>
          <w:sz w:val="21"/>
          <w:szCs w:val="21"/>
          <w:highlight w:val="none"/>
          <w:u w:val="single"/>
        </w:rPr>
        <w:t xml:space="preserve"> </w:t>
      </w:r>
      <w:r>
        <w:rPr>
          <w:rFonts w:asciiTheme="majorEastAsia" w:hAnsiTheme="majorEastAsia" w:eastAsiaTheme="majorEastAsia"/>
          <w:color w:val="auto"/>
          <w:sz w:val="21"/>
          <w:szCs w:val="21"/>
          <w:highlight w:val="none"/>
          <w:u w:val="single"/>
        </w:rPr>
        <w:t>采购邀请</w:t>
      </w:r>
      <w:r>
        <w:rPr>
          <w:rFonts w:asciiTheme="majorEastAsia" w:hAnsiTheme="majorEastAsia" w:eastAsiaTheme="majorEastAsia"/>
          <w:color w:val="auto"/>
          <w:sz w:val="21"/>
          <w:szCs w:val="21"/>
          <w:highlight w:val="none"/>
          <w:u w:val="single"/>
        </w:rPr>
        <w:fldChar w:fldCharType="end"/>
      </w:r>
    </w:p>
    <w:p>
      <w:pPr>
        <w:spacing w:line="400" w:lineRule="exact"/>
        <w:ind w:firstLine="1050" w:firstLineChars="500"/>
        <w:rPr>
          <w:rFonts w:asciiTheme="majorEastAsia" w:hAnsiTheme="majorEastAsia" w:eastAsiaTheme="majorEastAsia"/>
          <w:color w:val="auto"/>
          <w:sz w:val="21"/>
          <w:szCs w:val="21"/>
          <w:highlight w:val="none"/>
          <w:u w:val="single"/>
        </w:rPr>
      </w:pPr>
      <w:r>
        <w:rPr>
          <w:rFonts w:asciiTheme="majorEastAsia" w:hAnsiTheme="majorEastAsia" w:eastAsiaTheme="majorEastAsia"/>
          <w:color w:val="auto"/>
          <w:sz w:val="21"/>
          <w:szCs w:val="21"/>
          <w:highlight w:val="none"/>
          <w:u w:val="single"/>
        </w:rPr>
        <w:fldChar w:fldCharType="begin"/>
      </w:r>
      <w:r>
        <w:rPr>
          <w:rFonts w:asciiTheme="majorEastAsia" w:hAnsiTheme="majorEastAsia" w:eastAsiaTheme="majorEastAsia"/>
          <w:color w:val="auto"/>
          <w:sz w:val="21"/>
          <w:szCs w:val="21"/>
          <w:highlight w:val="none"/>
          <w:u w:val="single"/>
        </w:rPr>
        <w:instrText xml:space="preserve"> HYPERLINK \l "_Toc214163613" </w:instrText>
      </w:r>
      <w:r>
        <w:rPr>
          <w:rFonts w:asciiTheme="majorEastAsia" w:hAnsiTheme="majorEastAsia" w:eastAsiaTheme="majorEastAsia"/>
          <w:color w:val="auto"/>
          <w:sz w:val="21"/>
          <w:szCs w:val="21"/>
          <w:highlight w:val="none"/>
          <w:u w:val="single"/>
        </w:rPr>
        <w:fldChar w:fldCharType="separate"/>
      </w:r>
      <w:r>
        <w:rPr>
          <w:rFonts w:asciiTheme="majorEastAsia" w:hAnsiTheme="majorEastAsia" w:eastAsiaTheme="majorEastAsia"/>
          <w:color w:val="auto"/>
          <w:sz w:val="21"/>
          <w:szCs w:val="21"/>
          <w:highlight w:val="none"/>
          <w:u w:val="single"/>
        </w:rPr>
        <w:t>第二部分</w:t>
      </w:r>
      <w:r>
        <w:rPr>
          <w:rFonts w:hint="eastAsia" w:asciiTheme="majorEastAsia" w:hAnsiTheme="majorEastAsia" w:eastAsiaTheme="majorEastAsia"/>
          <w:color w:val="auto"/>
          <w:sz w:val="21"/>
          <w:szCs w:val="21"/>
          <w:highlight w:val="none"/>
          <w:u w:val="single"/>
        </w:rPr>
        <w:t xml:space="preserve"> </w:t>
      </w:r>
      <w:r>
        <w:rPr>
          <w:rFonts w:asciiTheme="majorEastAsia" w:hAnsiTheme="majorEastAsia" w:eastAsiaTheme="majorEastAsia"/>
          <w:color w:val="auto"/>
          <w:sz w:val="21"/>
          <w:szCs w:val="21"/>
          <w:highlight w:val="none"/>
          <w:u w:val="single"/>
        </w:rPr>
        <w:t>响应人须知前附表</w:t>
      </w:r>
      <w:r>
        <w:rPr>
          <w:rFonts w:asciiTheme="majorEastAsia" w:hAnsiTheme="majorEastAsia" w:eastAsiaTheme="majorEastAsia"/>
          <w:color w:val="auto"/>
          <w:sz w:val="21"/>
          <w:szCs w:val="21"/>
          <w:highlight w:val="none"/>
          <w:u w:val="single"/>
        </w:rPr>
        <w:fldChar w:fldCharType="end"/>
      </w:r>
    </w:p>
    <w:p>
      <w:pPr>
        <w:spacing w:line="400" w:lineRule="exact"/>
        <w:ind w:firstLine="1050" w:firstLineChars="500"/>
        <w:rPr>
          <w:rFonts w:asciiTheme="majorEastAsia" w:hAnsiTheme="majorEastAsia" w:eastAsiaTheme="majorEastAsia"/>
          <w:color w:val="auto"/>
          <w:sz w:val="21"/>
          <w:szCs w:val="21"/>
          <w:highlight w:val="none"/>
          <w:u w:val="single"/>
        </w:rPr>
      </w:pPr>
      <w:r>
        <w:rPr>
          <w:rFonts w:asciiTheme="majorEastAsia" w:hAnsiTheme="majorEastAsia" w:eastAsiaTheme="majorEastAsia"/>
          <w:color w:val="auto"/>
          <w:sz w:val="21"/>
          <w:szCs w:val="21"/>
          <w:highlight w:val="none"/>
          <w:u w:val="single"/>
        </w:rPr>
        <w:fldChar w:fldCharType="begin"/>
      </w:r>
      <w:r>
        <w:rPr>
          <w:rFonts w:asciiTheme="majorEastAsia" w:hAnsiTheme="majorEastAsia" w:eastAsiaTheme="majorEastAsia"/>
          <w:color w:val="auto"/>
          <w:sz w:val="21"/>
          <w:szCs w:val="21"/>
          <w:highlight w:val="none"/>
          <w:u w:val="single"/>
        </w:rPr>
        <w:instrText xml:space="preserve"> HYPERLINK \l "_Toc214163628" </w:instrText>
      </w:r>
      <w:r>
        <w:rPr>
          <w:rFonts w:asciiTheme="majorEastAsia" w:hAnsiTheme="majorEastAsia" w:eastAsiaTheme="majorEastAsia"/>
          <w:color w:val="auto"/>
          <w:sz w:val="21"/>
          <w:szCs w:val="21"/>
          <w:highlight w:val="none"/>
          <w:u w:val="single"/>
        </w:rPr>
        <w:fldChar w:fldCharType="separate"/>
      </w:r>
      <w:r>
        <w:rPr>
          <w:rFonts w:asciiTheme="majorEastAsia" w:hAnsiTheme="majorEastAsia" w:eastAsiaTheme="majorEastAsia"/>
          <w:color w:val="auto"/>
          <w:sz w:val="21"/>
          <w:szCs w:val="21"/>
          <w:highlight w:val="none"/>
          <w:u w:val="single"/>
        </w:rPr>
        <w:t>第三部分</w:t>
      </w:r>
      <w:r>
        <w:rPr>
          <w:rFonts w:hint="eastAsia" w:asciiTheme="majorEastAsia" w:hAnsiTheme="majorEastAsia" w:eastAsiaTheme="majorEastAsia"/>
          <w:color w:val="auto"/>
          <w:sz w:val="21"/>
          <w:szCs w:val="21"/>
          <w:highlight w:val="none"/>
          <w:u w:val="single"/>
        </w:rPr>
        <w:t xml:space="preserve"> </w:t>
      </w:r>
      <w:r>
        <w:rPr>
          <w:rFonts w:asciiTheme="majorEastAsia" w:hAnsiTheme="majorEastAsia" w:eastAsiaTheme="majorEastAsia"/>
          <w:color w:val="auto"/>
          <w:sz w:val="21"/>
          <w:szCs w:val="21"/>
          <w:highlight w:val="none"/>
          <w:u w:val="single"/>
        </w:rPr>
        <w:t>响应人须知</w:t>
      </w:r>
      <w:r>
        <w:rPr>
          <w:rFonts w:asciiTheme="majorEastAsia" w:hAnsiTheme="majorEastAsia" w:eastAsiaTheme="majorEastAsia"/>
          <w:color w:val="auto"/>
          <w:sz w:val="21"/>
          <w:szCs w:val="21"/>
          <w:highlight w:val="none"/>
          <w:u w:val="single"/>
        </w:rPr>
        <w:fldChar w:fldCharType="end"/>
      </w:r>
    </w:p>
    <w:p>
      <w:pPr>
        <w:spacing w:line="400" w:lineRule="exact"/>
        <w:ind w:firstLine="1050" w:firstLineChars="500"/>
        <w:rPr>
          <w:rFonts w:asciiTheme="majorEastAsia" w:hAnsiTheme="majorEastAsia" w:eastAsiaTheme="majorEastAsia"/>
          <w:color w:val="auto"/>
          <w:sz w:val="21"/>
          <w:szCs w:val="21"/>
          <w:highlight w:val="none"/>
          <w:u w:val="single"/>
        </w:rPr>
      </w:pPr>
      <w:r>
        <w:rPr>
          <w:rFonts w:asciiTheme="majorEastAsia" w:hAnsiTheme="majorEastAsia" w:eastAsiaTheme="majorEastAsia"/>
          <w:color w:val="auto"/>
          <w:sz w:val="21"/>
          <w:szCs w:val="21"/>
          <w:highlight w:val="none"/>
          <w:u w:val="single"/>
        </w:rPr>
        <w:fldChar w:fldCharType="begin"/>
      </w:r>
      <w:r>
        <w:rPr>
          <w:rFonts w:asciiTheme="majorEastAsia" w:hAnsiTheme="majorEastAsia" w:eastAsiaTheme="majorEastAsia"/>
          <w:color w:val="auto"/>
          <w:sz w:val="21"/>
          <w:szCs w:val="21"/>
          <w:highlight w:val="none"/>
          <w:u w:val="single"/>
        </w:rPr>
        <w:instrText xml:space="preserve"> HYPERLINK \l "_Toc214163640" </w:instrText>
      </w:r>
      <w:r>
        <w:rPr>
          <w:rFonts w:asciiTheme="majorEastAsia" w:hAnsiTheme="majorEastAsia" w:eastAsiaTheme="majorEastAsia"/>
          <w:color w:val="auto"/>
          <w:sz w:val="21"/>
          <w:szCs w:val="21"/>
          <w:highlight w:val="none"/>
          <w:u w:val="single"/>
        </w:rPr>
        <w:fldChar w:fldCharType="separate"/>
      </w:r>
      <w:r>
        <w:rPr>
          <w:rFonts w:asciiTheme="majorEastAsia" w:hAnsiTheme="majorEastAsia" w:eastAsiaTheme="majorEastAsia"/>
          <w:color w:val="auto"/>
          <w:sz w:val="21"/>
          <w:szCs w:val="21"/>
          <w:highlight w:val="none"/>
          <w:u w:val="single"/>
        </w:rPr>
        <w:t>第四部分</w:t>
      </w:r>
      <w:r>
        <w:rPr>
          <w:rFonts w:hint="eastAsia" w:asciiTheme="majorEastAsia" w:hAnsiTheme="majorEastAsia" w:eastAsiaTheme="majorEastAsia"/>
          <w:color w:val="auto"/>
          <w:sz w:val="21"/>
          <w:szCs w:val="21"/>
          <w:highlight w:val="none"/>
          <w:u w:val="single"/>
        </w:rPr>
        <w:t xml:space="preserve"> </w:t>
      </w:r>
      <w:r>
        <w:rPr>
          <w:rFonts w:hint="eastAsia" w:asciiTheme="majorEastAsia" w:hAnsiTheme="majorEastAsia" w:eastAsiaTheme="majorEastAsia"/>
          <w:color w:val="auto"/>
          <w:sz w:val="21"/>
          <w:szCs w:val="21"/>
          <w:highlight w:val="none"/>
          <w:u w:val="single"/>
          <w:lang w:val="en-US" w:eastAsia="zh-CN"/>
        </w:rPr>
        <w:t>采购需求</w:t>
      </w:r>
      <w:r>
        <w:rPr>
          <w:rFonts w:hint="eastAsia" w:asciiTheme="majorEastAsia" w:hAnsiTheme="majorEastAsia" w:eastAsiaTheme="majorEastAsia"/>
          <w:color w:val="auto"/>
          <w:sz w:val="21"/>
          <w:szCs w:val="21"/>
          <w:highlight w:val="none"/>
          <w:u w:val="single"/>
        </w:rPr>
        <w:fldChar w:fldCharType="end"/>
      </w:r>
    </w:p>
    <w:p>
      <w:pPr>
        <w:spacing w:line="400" w:lineRule="exact"/>
        <w:ind w:firstLine="1050" w:firstLineChars="500"/>
        <w:rPr>
          <w:rFonts w:asciiTheme="majorEastAsia" w:hAnsiTheme="majorEastAsia" w:eastAsiaTheme="majorEastAsia"/>
          <w:color w:val="auto"/>
          <w:sz w:val="21"/>
          <w:szCs w:val="21"/>
          <w:highlight w:val="none"/>
          <w:u w:val="single"/>
        </w:rPr>
      </w:pPr>
      <w:r>
        <w:rPr>
          <w:rFonts w:asciiTheme="majorEastAsia" w:hAnsiTheme="majorEastAsia" w:eastAsiaTheme="majorEastAsia"/>
          <w:color w:val="auto"/>
          <w:sz w:val="21"/>
          <w:szCs w:val="21"/>
          <w:highlight w:val="none"/>
          <w:u w:val="single"/>
        </w:rPr>
        <w:t>第五部分</w:t>
      </w:r>
      <w:r>
        <w:rPr>
          <w:rFonts w:hint="eastAsia" w:asciiTheme="majorEastAsia" w:hAnsiTheme="majorEastAsia" w:eastAsiaTheme="majorEastAsia"/>
          <w:color w:val="auto"/>
          <w:sz w:val="21"/>
          <w:szCs w:val="21"/>
          <w:highlight w:val="none"/>
          <w:u w:val="single"/>
        </w:rPr>
        <w:t xml:space="preserve"> </w:t>
      </w:r>
      <w:r>
        <w:rPr>
          <w:rFonts w:asciiTheme="majorEastAsia" w:hAnsiTheme="majorEastAsia" w:eastAsiaTheme="majorEastAsia"/>
          <w:color w:val="auto"/>
          <w:sz w:val="21"/>
          <w:szCs w:val="21"/>
          <w:highlight w:val="none"/>
          <w:u w:val="single"/>
        </w:rPr>
        <w:t>评审办法和评审标准</w:t>
      </w:r>
    </w:p>
    <w:p>
      <w:pPr>
        <w:spacing w:line="400" w:lineRule="exact"/>
        <w:ind w:firstLine="1050" w:firstLineChars="500"/>
        <w:rPr>
          <w:rFonts w:hint="eastAsia" w:asciiTheme="majorEastAsia" w:hAnsiTheme="majorEastAsia" w:eastAsiaTheme="majorEastAsia"/>
          <w:color w:val="auto"/>
          <w:sz w:val="21"/>
          <w:szCs w:val="21"/>
          <w:highlight w:val="none"/>
          <w:u w:val="single"/>
          <w:lang w:val="en-US" w:eastAsia="zh-CN"/>
        </w:rPr>
      </w:pPr>
      <w:r>
        <w:rPr>
          <w:rFonts w:asciiTheme="majorEastAsia" w:hAnsiTheme="majorEastAsia" w:eastAsiaTheme="majorEastAsia"/>
          <w:color w:val="auto"/>
          <w:sz w:val="21"/>
          <w:szCs w:val="21"/>
          <w:highlight w:val="none"/>
          <w:u w:val="single"/>
        </w:rPr>
        <w:fldChar w:fldCharType="begin"/>
      </w:r>
      <w:r>
        <w:rPr>
          <w:rFonts w:asciiTheme="majorEastAsia" w:hAnsiTheme="majorEastAsia" w:eastAsiaTheme="majorEastAsia"/>
          <w:color w:val="auto"/>
          <w:sz w:val="21"/>
          <w:szCs w:val="21"/>
          <w:highlight w:val="none"/>
          <w:u w:val="single"/>
        </w:rPr>
        <w:instrText xml:space="preserve"> HYPERLINK \l "_Toc214163666" </w:instrText>
      </w:r>
      <w:r>
        <w:rPr>
          <w:rFonts w:asciiTheme="majorEastAsia" w:hAnsiTheme="majorEastAsia" w:eastAsiaTheme="majorEastAsia"/>
          <w:color w:val="auto"/>
          <w:sz w:val="21"/>
          <w:szCs w:val="21"/>
          <w:highlight w:val="none"/>
          <w:u w:val="single"/>
        </w:rPr>
        <w:fldChar w:fldCharType="separate"/>
      </w:r>
      <w:r>
        <w:rPr>
          <w:rFonts w:asciiTheme="majorEastAsia" w:hAnsiTheme="majorEastAsia" w:eastAsiaTheme="majorEastAsia"/>
          <w:color w:val="auto"/>
          <w:sz w:val="21"/>
          <w:szCs w:val="21"/>
          <w:highlight w:val="none"/>
          <w:u w:val="single"/>
        </w:rPr>
        <w:t>第六部分</w:t>
      </w:r>
      <w:r>
        <w:rPr>
          <w:rFonts w:hint="eastAsia" w:asciiTheme="majorEastAsia" w:hAnsiTheme="majorEastAsia" w:eastAsiaTheme="majorEastAsia"/>
          <w:color w:val="auto"/>
          <w:sz w:val="21"/>
          <w:szCs w:val="21"/>
          <w:highlight w:val="none"/>
          <w:u w:val="single"/>
        </w:rPr>
        <w:t xml:space="preserve"> </w:t>
      </w:r>
      <w:r>
        <w:rPr>
          <w:rFonts w:asciiTheme="majorEastAsia" w:hAnsiTheme="majorEastAsia" w:eastAsiaTheme="majorEastAsia"/>
          <w:color w:val="auto"/>
          <w:sz w:val="21"/>
          <w:szCs w:val="21"/>
          <w:highlight w:val="none"/>
          <w:u w:val="single"/>
        </w:rPr>
        <w:t>合同</w:t>
      </w:r>
      <w:r>
        <w:rPr>
          <w:rFonts w:asciiTheme="majorEastAsia" w:hAnsiTheme="majorEastAsia" w:eastAsiaTheme="majorEastAsia"/>
          <w:color w:val="auto"/>
          <w:sz w:val="21"/>
          <w:szCs w:val="21"/>
          <w:highlight w:val="none"/>
          <w:u w:val="single"/>
        </w:rPr>
        <w:fldChar w:fldCharType="end"/>
      </w:r>
      <w:r>
        <w:rPr>
          <w:rFonts w:hint="eastAsia" w:asciiTheme="majorEastAsia" w:hAnsiTheme="majorEastAsia" w:eastAsiaTheme="majorEastAsia"/>
          <w:color w:val="auto"/>
          <w:sz w:val="21"/>
          <w:szCs w:val="21"/>
          <w:highlight w:val="none"/>
          <w:u w:val="single"/>
          <w:lang w:val="en-US" w:eastAsia="zh-CN"/>
        </w:rPr>
        <w:t>条款</w:t>
      </w:r>
    </w:p>
    <w:p>
      <w:pPr>
        <w:spacing w:line="400" w:lineRule="exact"/>
        <w:ind w:firstLine="1050" w:firstLineChars="500"/>
        <w:rPr>
          <w:rFonts w:asciiTheme="majorEastAsia" w:hAnsiTheme="majorEastAsia" w:eastAsiaTheme="majorEastAsia"/>
          <w:color w:val="auto"/>
          <w:sz w:val="21"/>
          <w:szCs w:val="21"/>
          <w:highlight w:val="none"/>
          <w:u w:val="single"/>
        </w:rPr>
      </w:pPr>
      <w:r>
        <w:rPr>
          <w:rFonts w:asciiTheme="majorEastAsia" w:hAnsiTheme="majorEastAsia" w:eastAsiaTheme="majorEastAsia"/>
          <w:color w:val="auto"/>
          <w:sz w:val="21"/>
          <w:szCs w:val="21"/>
          <w:highlight w:val="none"/>
          <w:u w:val="single"/>
        </w:rPr>
        <w:fldChar w:fldCharType="begin"/>
      </w:r>
      <w:r>
        <w:rPr>
          <w:rFonts w:asciiTheme="majorEastAsia" w:hAnsiTheme="majorEastAsia" w:eastAsiaTheme="majorEastAsia"/>
          <w:color w:val="auto"/>
          <w:sz w:val="21"/>
          <w:szCs w:val="21"/>
          <w:highlight w:val="none"/>
          <w:u w:val="single"/>
        </w:rPr>
        <w:instrText xml:space="preserve"> HYPERLINK \l "_Toc214163670" </w:instrText>
      </w:r>
      <w:r>
        <w:rPr>
          <w:rFonts w:asciiTheme="majorEastAsia" w:hAnsiTheme="majorEastAsia" w:eastAsiaTheme="majorEastAsia"/>
          <w:color w:val="auto"/>
          <w:sz w:val="21"/>
          <w:szCs w:val="21"/>
          <w:highlight w:val="none"/>
          <w:u w:val="single"/>
        </w:rPr>
        <w:fldChar w:fldCharType="separate"/>
      </w:r>
      <w:r>
        <w:rPr>
          <w:rFonts w:asciiTheme="majorEastAsia" w:hAnsiTheme="majorEastAsia" w:eastAsiaTheme="majorEastAsia"/>
          <w:color w:val="auto"/>
          <w:sz w:val="21"/>
          <w:szCs w:val="21"/>
          <w:highlight w:val="none"/>
          <w:u w:val="single"/>
        </w:rPr>
        <w:t>第七部分</w:t>
      </w:r>
      <w:r>
        <w:rPr>
          <w:rFonts w:hint="eastAsia" w:asciiTheme="majorEastAsia" w:hAnsiTheme="majorEastAsia" w:eastAsiaTheme="majorEastAsia"/>
          <w:color w:val="auto"/>
          <w:sz w:val="21"/>
          <w:szCs w:val="21"/>
          <w:highlight w:val="none"/>
          <w:u w:val="single"/>
        </w:rPr>
        <w:t xml:space="preserve"> </w:t>
      </w:r>
      <w:r>
        <w:rPr>
          <w:rFonts w:asciiTheme="majorEastAsia" w:hAnsiTheme="majorEastAsia" w:eastAsiaTheme="majorEastAsia"/>
          <w:color w:val="auto"/>
          <w:sz w:val="21"/>
          <w:szCs w:val="21"/>
          <w:highlight w:val="none"/>
          <w:u w:val="single"/>
        </w:rPr>
        <w:t>响应文件格式</w:t>
      </w:r>
      <w:r>
        <w:rPr>
          <w:rFonts w:asciiTheme="majorEastAsia" w:hAnsiTheme="majorEastAsia" w:eastAsiaTheme="majorEastAsia"/>
          <w:color w:val="auto"/>
          <w:sz w:val="21"/>
          <w:szCs w:val="21"/>
          <w:highlight w:val="none"/>
          <w:u w:val="single"/>
        </w:rPr>
        <w:fldChar w:fldCharType="end"/>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4.2</w:t>
      </w:r>
      <w:r>
        <w:rPr>
          <w:rFonts w:hint="eastAsia" w:asciiTheme="majorEastAsia" w:hAnsiTheme="majorEastAsia" w:eastAsiaTheme="majorEastAsia"/>
          <w:color w:val="auto"/>
          <w:sz w:val="21"/>
          <w:szCs w:val="21"/>
          <w:highlight w:val="none"/>
        </w:rPr>
        <w:t>澄清</w:t>
      </w:r>
      <w:r>
        <w:rPr>
          <w:rFonts w:asciiTheme="majorEastAsia" w:hAnsiTheme="majorEastAsia" w:eastAsiaTheme="majorEastAsia"/>
          <w:color w:val="auto"/>
          <w:sz w:val="21"/>
          <w:szCs w:val="21"/>
          <w:highlight w:val="none"/>
        </w:rPr>
        <w:t>和修正</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w:t>
      </w:r>
      <w:r>
        <w:rPr>
          <w:rFonts w:hint="eastAsia" w:asciiTheme="majorEastAsia" w:hAnsiTheme="majorEastAsia" w:eastAsiaTheme="majorEastAsia"/>
          <w:color w:val="auto"/>
          <w:sz w:val="21"/>
          <w:szCs w:val="21"/>
          <w:highlight w:val="none"/>
        </w:rPr>
        <w:t>1</w:t>
      </w:r>
      <w:r>
        <w:rPr>
          <w:rFonts w:asciiTheme="majorEastAsia" w:hAnsiTheme="majorEastAsia" w:eastAsiaTheme="majorEastAsia"/>
          <w:color w:val="auto"/>
          <w:sz w:val="21"/>
          <w:szCs w:val="21"/>
          <w:highlight w:val="none"/>
        </w:rPr>
        <w:t>）</w:t>
      </w:r>
      <w:r>
        <w:rPr>
          <w:rFonts w:hint="eastAsia" w:asciiTheme="majorEastAsia" w:hAnsiTheme="majorEastAsia" w:eastAsiaTheme="majorEastAsia"/>
          <w:color w:val="auto"/>
          <w:sz w:val="21"/>
          <w:szCs w:val="21"/>
          <w:highlight w:val="none"/>
          <w:lang w:eastAsia="zh-CN"/>
        </w:rPr>
        <w:t>响应人</w:t>
      </w:r>
      <w:r>
        <w:rPr>
          <w:rFonts w:asciiTheme="majorEastAsia" w:hAnsiTheme="majorEastAsia" w:eastAsiaTheme="majorEastAsia"/>
          <w:color w:val="auto"/>
          <w:sz w:val="21"/>
          <w:szCs w:val="21"/>
          <w:highlight w:val="none"/>
        </w:rPr>
        <w:t>应当在法定质疑期内一次性提出针对同一采购程序环节的质疑。</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w:t>
      </w:r>
      <w:r>
        <w:rPr>
          <w:rFonts w:hint="eastAsia" w:asciiTheme="majorEastAsia" w:hAnsiTheme="majorEastAsia" w:eastAsiaTheme="majorEastAsia"/>
          <w:color w:val="auto"/>
          <w:sz w:val="21"/>
          <w:szCs w:val="21"/>
          <w:highlight w:val="none"/>
        </w:rPr>
        <w:t>2</w:t>
      </w:r>
      <w:r>
        <w:rPr>
          <w:rFonts w:asciiTheme="majorEastAsia" w:hAnsiTheme="majorEastAsia" w:eastAsiaTheme="majorEastAsia"/>
          <w:color w:val="auto"/>
          <w:sz w:val="21"/>
          <w:szCs w:val="21"/>
          <w:highlight w:val="none"/>
        </w:rPr>
        <w:t>）响应人在收到磋商文件后，如有疑问需要澄清，应在答疑规定的时间前以书面形式向采购人提出，如无疑问,视作响应人完全响应</w:t>
      </w:r>
      <w:r>
        <w:rPr>
          <w:rFonts w:hint="eastAsia" w:asciiTheme="majorEastAsia" w:hAnsiTheme="majorEastAsia" w:eastAsiaTheme="majorEastAsia"/>
          <w:color w:val="auto"/>
          <w:sz w:val="21"/>
          <w:szCs w:val="21"/>
          <w:highlight w:val="none"/>
        </w:rPr>
        <w:t>磋商文件</w:t>
      </w:r>
      <w:r>
        <w:rPr>
          <w:rFonts w:asciiTheme="majorEastAsia" w:hAnsiTheme="majorEastAsia" w:eastAsiaTheme="majorEastAsia"/>
          <w:color w:val="auto"/>
          <w:sz w:val="21"/>
          <w:szCs w:val="21"/>
          <w:highlight w:val="none"/>
        </w:rPr>
        <w:t>的条款和要求。采购人作出的澄清或修改将公告通知所有</w:t>
      </w:r>
      <w:r>
        <w:rPr>
          <w:rFonts w:hint="eastAsia" w:asciiTheme="majorEastAsia" w:hAnsiTheme="majorEastAsia" w:eastAsiaTheme="majorEastAsia"/>
          <w:color w:val="auto"/>
          <w:sz w:val="21"/>
          <w:szCs w:val="21"/>
          <w:highlight w:val="none"/>
        </w:rPr>
        <w:t>磋商文件</w:t>
      </w:r>
      <w:r>
        <w:rPr>
          <w:rFonts w:asciiTheme="majorEastAsia" w:hAnsiTheme="majorEastAsia" w:eastAsiaTheme="majorEastAsia"/>
          <w:color w:val="auto"/>
          <w:sz w:val="21"/>
          <w:szCs w:val="21"/>
          <w:highlight w:val="none"/>
        </w:rPr>
        <w:t>收受人。</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w:t>
      </w:r>
      <w:r>
        <w:rPr>
          <w:rFonts w:hint="eastAsia" w:asciiTheme="majorEastAsia" w:hAnsiTheme="majorEastAsia" w:eastAsiaTheme="majorEastAsia"/>
          <w:color w:val="auto"/>
          <w:sz w:val="21"/>
          <w:szCs w:val="21"/>
          <w:highlight w:val="none"/>
        </w:rPr>
        <w:t>3</w:t>
      </w:r>
      <w:r>
        <w:rPr>
          <w:rFonts w:asciiTheme="majorEastAsia" w:hAnsiTheme="majorEastAsia" w:eastAsiaTheme="majorEastAsia"/>
          <w:color w:val="auto"/>
          <w:sz w:val="21"/>
          <w:szCs w:val="21"/>
          <w:highlight w:val="none"/>
        </w:rPr>
        <w:t>）采购人或采购代理机构无论出于自己的考虑，还是出于对响应人提问的澄清，均可对磋商文件用更正公告的方式进行修改。</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w:t>
      </w:r>
      <w:r>
        <w:rPr>
          <w:rFonts w:hint="eastAsia" w:asciiTheme="majorEastAsia" w:hAnsiTheme="majorEastAsia" w:eastAsiaTheme="majorEastAsia"/>
          <w:color w:val="auto"/>
          <w:sz w:val="21"/>
          <w:szCs w:val="21"/>
          <w:highlight w:val="none"/>
        </w:rPr>
        <w:t>4</w:t>
      </w:r>
      <w:r>
        <w:rPr>
          <w:rFonts w:asciiTheme="majorEastAsia" w:hAnsiTheme="majorEastAsia" w:eastAsiaTheme="majorEastAsia"/>
          <w:color w:val="auto"/>
          <w:sz w:val="21"/>
          <w:szCs w:val="21"/>
          <w:highlight w:val="none"/>
        </w:rPr>
        <w:t>）磋商文件及磋商文件的澄清、修改、补充等内容均</w:t>
      </w:r>
      <w:r>
        <w:rPr>
          <w:rFonts w:hint="eastAsia" w:asciiTheme="majorEastAsia" w:hAnsiTheme="majorEastAsia" w:eastAsiaTheme="majorEastAsia"/>
          <w:color w:val="auto"/>
          <w:sz w:val="21"/>
          <w:szCs w:val="21"/>
          <w:highlight w:val="none"/>
          <w:lang w:val="en-US" w:eastAsia="zh-CN"/>
        </w:rPr>
        <w:t>以发送至报名时委托人预留的邮箱</w:t>
      </w:r>
      <w:r>
        <w:rPr>
          <w:rFonts w:asciiTheme="majorEastAsia" w:hAnsiTheme="majorEastAsia" w:eastAsiaTheme="majorEastAsia"/>
          <w:color w:val="auto"/>
          <w:sz w:val="21"/>
          <w:szCs w:val="21"/>
          <w:highlight w:val="none"/>
        </w:rPr>
        <w:t>内容为准。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w:t>
      </w:r>
      <w:r>
        <w:rPr>
          <w:rFonts w:hint="eastAsia" w:asciiTheme="majorEastAsia" w:hAnsiTheme="majorEastAsia" w:eastAsiaTheme="majorEastAsia"/>
          <w:color w:val="auto"/>
          <w:sz w:val="21"/>
          <w:szCs w:val="21"/>
          <w:highlight w:val="none"/>
        </w:rPr>
        <w:t>5</w:t>
      </w:r>
      <w:r>
        <w:rPr>
          <w:rFonts w:asciiTheme="majorEastAsia" w:hAnsiTheme="majorEastAsia" w:eastAsiaTheme="majorEastAsia"/>
          <w:color w:val="auto"/>
          <w:sz w:val="21"/>
          <w:szCs w:val="21"/>
          <w:highlight w:val="none"/>
        </w:rPr>
        <w:t>）磋商文件的更正（含澄清、修改等）内容与原磋商文件在同一内容上表述不一致时，以发出日期最接近开标时间的公告为准。磋商文件的更正（含澄清、修改等）内容作为磋商文件的组成部分，对响应人起约束作用。</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五、响应人的义务</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5.1响应人应当认真阅读磋商文件，完全明了采购项目之名称、用途、数量、质量和交货日期，完全明了响应人所应具备的资格条件。</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5.2响应人应当按照磋商文件的要求编制响应文件。响应文件应对磋商文件提出的实质性要求和条件作出完全响应。</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5.3响应人应在响应文件提交截止时间前，将密封的响应文件送达指定地点。</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5.4响应人不得相互串通磋商报价，不得排挤其他响应人的公平竞争，损害采购人或者其他响应人合法权益。响应人不得与采购人串通，损害国家利益，公众利益或者他人的合法权益。</w:t>
      </w:r>
    </w:p>
    <w:p>
      <w:pPr>
        <w:snapToGrid w:val="0"/>
        <w:spacing w:line="400" w:lineRule="exact"/>
        <w:ind w:firstLine="420" w:firstLineChars="200"/>
        <w:rPr>
          <w:rFonts w:asciiTheme="majorEastAsia" w:hAnsiTheme="majorEastAsia" w:eastAsiaTheme="majorEastAsia"/>
          <w:color w:val="auto"/>
          <w:spacing w:val="-6"/>
          <w:sz w:val="21"/>
          <w:szCs w:val="21"/>
          <w:highlight w:val="none"/>
        </w:rPr>
      </w:pPr>
      <w:r>
        <w:rPr>
          <w:rFonts w:asciiTheme="majorEastAsia" w:hAnsiTheme="majorEastAsia" w:eastAsiaTheme="majorEastAsia"/>
          <w:color w:val="auto"/>
          <w:sz w:val="21"/>
          <w:szCs w:val="21"/>
          <w:highlight w:val="none"/>
        </w:rPr>
        <w:t>5.5响应人在响应文件提交截止时间前，对所提交的响应文件可以补充、修改或者撤回，并书面通知采购代理机构。补充、修改的内容为响应文件的组成部分。</w:t>
      </w:r>
    </w:p>
    <w:p>
      <w:pPr>
        <w:snapToGrid w:val="0"/>
        <w:spacing w:line="400" w:lineRule="exact"/>
        <w:rPr>
          <w:rFonts w:asciiTheme="majorEastAsia" w:hAnsiTheme="majorEastAsia" w:eastAsiaTheme="majorEastAsia"/>
          <w:bCs/>
          <w:color w:val="auto"/>
          <w:sz w:val="21"/>
          <w:szCs w:val="21"/>
          <w:highlight w:val="none"/>
        </w:rPr>
      </w:pPr>
      <w:bookmarkStart w:id="7" w:name="_Toc288738799"/>
      <w:bookmarkEnd w:id="7"/>
      <w:bookmarkStart w:id="8" w:name="_Toc288738405"/>
      <w:bookmarkEnd w:id="8"/>
      <w:bookmarkStart w:id="9" w:name="_Toc288738331"/>
      <w:r>
        <w:rPr>
          <w:rFonts w:asciiTheme="majorEastAsia" w:hAnsiTheme="majorEastAsia" w:eastAsiaTheme="majorEastAsia"/>
          <w:bCs/>
          <w:color w:val="auto"/>
          <w:sz w:val="21"/>
          <w:szCs w:val="21"/>
          <w:highlight w:val="none"/>
        </w:rPr>
        <w:t>六、响应文件组成</w:t>
      </w:r>
      <w:bookmarkEnd w:id="9"/>
      <w:r>
        <w:rPr>
          <w:rFonts w:asciiTheme="majorEastAsia" w:hAnsiTheme="majorEastAsia" w:eastAsiaTheme="majorEastAsia"/>
          <w:bCs/>
          <w:color w:val="auto"/>
          <w:sz w:val="21"/>
          <w:szCs w:val="21"/>
          <w:highlight w:val="none"/>
        </w:rPr>
        <w:t>及相关要求</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6.1一式三份，一份正本，两份副本，响应文件应当符合磋商文件的要求，并应包括但不限于下列内容。</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6.1.1响应文件编写</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（1）按照磋商文件中</w:t>
      </w:r>
      <w:r>
        <w:rPr>
          <w:rFonts w:asciiTheme="majorEastAsia" w:hAnsiTheme="majorEastAsia" w:eastAsiaTheme="majorEastAsia"/>
          <w:bCs/>
          <w:color w:val="auto"/>
          <w:sz w:val="21"/>
          <w:szCs w:val="21"/>
          <w:highlight w:val="none"/>
        </w:rPr>
        <w:t>本条6.2响应文件格式部分规定的顺序</w:t>
      </w:r>
      <w:r>
        <w:rPr>
          <w:rFonts w:asciiTheme="majorEastAsia" w:hAnsiTheme="majorEastAsia" w:eastAsiaTheme="majorEastAsia"/>
          <w:color w:val="auto"/>
          <w:sz w:val="21"/>
          <w:szCs w:val="21"/>
          <w:highlight w:val="none"/>
        </w:rPr>
        <w:t>，统一编目编码并编制目录。由于编排混乱导致响应文件被误读或查找不到，责任应当由响应人承担。</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响应人应详细阅读磋商文件的全部内容。响应文件须对磋商文件中的内容做出实质性和完整的响应，如果响应文件填报的内容资料不详，或没有提供磋商文件中所要求的全部资料及数据，将被视为响应文件完整性有缺陷。</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（3）除可填报内容外，对响应函内容的任何实质性修改将被视为非实质性响应投标，该响应将被拒绝。</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（4）响应文件应按照磋商文件的格式逐项填写，无相应内容可填的项应填写“无”、“未测试”、“没有相应指标”等明确的回答文字。</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（5）响应人必须保证</w:t>
      </w:r>
      <w:r>
        <w:rPr>
          <w:rFonts w:hint="eastAsia" w:asciiTheme="majorEastAsia" w:hAnsiTheme="majorEastAsia" w:eastAsiaTheme="majorEastAsia"/>
          <w:color w:val="auto"/>
          <w:sz w:val="21"/>
          <w:szCs w:val="21"/>
          <w:highlight w:val="none"/>
          <w:lang w:val="en-US" w:eastAsia="zh-CN"/>
        </w:rPr>
        <w:t>响应</w:t>
      </w:r>
      <w:r>
        <w:rPr>
          <w:rFonts w:asciiTheme="majorEastAsia" w:hAnsiTheme="majorEastAsia" w:eastAsiaTheme="majorEastAsia"/>
          <w:color w:val="auto"/>
          <w:sz w:val="21"/>
          <w:szCs w:val="21"/>
          <w:highlight w:val="none"/>
        </w:rPr>
        <w:t>文件所提供的全部资料真实可靠。</w:t>
      </w:r>
    </w:p>
    <w:p>
      <w:pPr>
        <w:snapToGrid w:val="0"/>
        <w:spacing w:line="400" w:lineRule="exact"/>
        <w:ind w:firstLine="420" w:firstLineChars="200"/>
        <w:rPr>
          <w:rFonts w:cs="宋体" w:asciiTheme="majorEastAsia" w:hAnsiTheme="majorEastAsia" w:eastAsiaTheme="majorEastAsia"/>
          <w:bCs/>
          <w:color w:val="auto"/>
          <w:sz w:val="21"/>
          <w:szCs w:val="21"/>
          <w:highlight w:val="none"/>
        </w:rPr>
      </w:pPr>
      <w:bookmarkStart w:id="10" w:name="_Toc288738800"/>
      <w:bookmarkEnd w:id="10"/>
      <w:bookmarkStart w:id="11" w:name="_Toc288738406"/>
      <w:bookmarkEnd w:id="11"/>
      <w:bookmarkStart w:id="12" w:name="_Toc288738332"/>
      <w:r>
        <w:rPr>
          <w:rFonts w:asciiTheme="majorEastAsia" w:hAnsiTheme="majorEastAsia" w:eastAsiaTheme="majorEastAsia"/>
          <w:color w:val="auto"/>
          <w:sz w:val="21"/>
          <w:szCs w:val="21"/>
          <w:highlight w:val="none"/>
        </w:rPr>
        <w:t>6.2</w:t>
      </w:r>
      <w:bookmarkEnd w:id="12"/>
      <w:r>
        <w:rPr>
          <w:rFonts w:asciiTheme="majorEastAsia" w:hAnsiTheme="majorEastAsia" w:eastAsiaTheme="majorEastAsia"/>
          <w:bCs/>
          <w:color w:val="auto"/>
          <w:sz w:val="21"/>
          <w:szCs w:val="21"/>
          <w:highlight w:val="none"/>
        </w:rPr>
        <w:t>响应文件构成</w:t>
      </w:r>
    </w:p>
    <w:p>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（1）响应函；</w:t>
      </w:r>
    </w:p>
    <w:p>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（2）法定代表人资格证明书；</w:t>
      </w:r>
    </w:p>
    <w:p>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kern w:val="0"/>
          <w:sz w:val="21"/>
          <w:szCs w:val="21"/>
          <w:highlight w:val="none"/>
        </w:rPr>
        <w:t>（3）授权委托书</w:t>
      </w:r>
      <w:r>
        <w:rPr>
          <w:rFonts w:hint="eastAsia" w:ascii="宋体" w:hAnsi="宋体" w:cs="宋体"/>
          <w:color w:val="auto"/>
          <w:sz w:val="21"/>
          <w:szCs w:val="21"/>
          <w:highlight w:val="none"/>
        </w:rPr>
        <w:t>；</w:t>
      </w:r>
    </w:p>
    <w:p>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（4）具备履行合同所必需的设备和专业技术能力的书面声明；</w:t>
      </w:r>
    </w:p>
    <w:p>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（5）报价一览表；</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（6）分项报价明细表；</w:t>
      </w:r>
    </w:p>
    <w:p>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（7）响应偏离表；</w:t>
      </w:r>
    </w:p>
    <w:p>
      <w:pPr>
        <w:snapToGrid w:val="0"/>
        <w:spacing w:line="40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（8）承诺函；</w:t>
      </w:r>
    </w:p>
    <w:p>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（9）</w:t>
      </w:r>
      <w:r>
        <w:rPr>
          <w:rFonts w:hint="eastAsia" w:ascii="宋体" w:hAnsi="宋体" w:cs="宋体"/>
          <w:color w:val="auto"/>
          <w:sz w:val="21"/>
          <w:szCs w:val="21"/>
          <w:highlight w:val="none"/>
          <w:lang w:eastAsia="zh-CN"/>
        </w:rPr>
        <w:t>响应人</w:t>
      </w:r>
      <w:r>
        <w:rPr>
          <w:rFonts w:hint="eastAsia" w:ascii="宋体" w:hAnsi="宋体" w:cs="宋体"/>
          <w:color w:val="auto"/>
          <w:sz w:val="21"/>
          <w:szCs w:val="21"/>
          <w:highlight w:val="none"/>
        </w:rPr>
        <w:t>信用承诺书；</w:t>
      </w:r>
    </w:p>
    <w:p>
      <w:pPr>
        <w:snapToGrid w:val="0"/>
        <w:spacing w:line="40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（10）响应人基本资格条件承诺书；</w:t>
      </w:r>
    </w:p>
    <w:p>
      <w:pPr>
        <w:snapToGrid w:val="0"/>
        <w:spacing w:line="40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11</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投标货物数量配置表、原辅材料明细表</w:t>
      </w:r>
    </w:p>
    <w:p>
      <w:pPr>
        <w:snapToGrid w:val="0"/>
        <w:spacing w:line="400" w:lineRule="exact"/>
        <w:ind w:firstLine="420" w:firstLineChars="200"/>
        <w:rPr>
          <w:rFonts w:hint="default" w:ascii="宋体" w:hAnsi="宋体" w:cs="宋体"/>
          <w:color w:val="auto"/>
          <w:sz w:val="21"/>
          <w:szCs w:val="21"/>
          <w:highlight w:val="none"/>
        </w:rPr>
      </w:pP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12</w:t>
      </w:r>
      <w:r>
        <w:rPr>
          <w:rFonts w:hint="eastAsia" w:ascii="宋体" w:hAnsi="宋体" w:cs="宋体"/>
          <w:color w:val="auto"/>
          <w:sz w:val="21"/>
          <w:szCs w:val="21"/>
          <w:highlight w:val="none"/>
          <w:lang w:eastAsia="zh-CN"/>
        </w:rPr>
        <w:t>）</w:t>
      </w:r>
      <w:r>
        <w:rPr>
          <w:rFonts w:hint="default" w:ascii="宋体" w:hAnsi="宋体" w:cs="宋体"/>
          <w:color w:val="auto"/>
          <w:sz w:val="21"/>
          <w:szCs w:val="21"/>
          <w:highlight w:val="none"/>
        </w:rPr>
        <w:t>相关业绩案例一览表</w:t>
      </w:r>
    </w:p>
    <w:p>
      <w:pPr>
        <w:snapToGrid w:val="0"/>
        <w:spacing w:line="40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rPr>
        <w:t>）其他证明材料。</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6.3投标报价：</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（1）所有投标报价均以人民币元为计算单位。只要投报了一个确定数额的总价，无论分项价格是否全部填报了相应的金额或免费字样，报价应被视为已经包含了但并不限于包括在</w:t>
      </w:r>
      <w:r>
        <w:rPr>
          <w:rFonts w:hint="eastAsia" w:asciiTheme="majorEastAsia" w:hAnsiTheme="majorEastAsia" w:eastAsiaTheme="majorEastAsia"/>
          <w:color w:val="auto"/>
          <w:sz w:val="21"/>
          <w:szCs w:val="21"/>
          <w:highlight w:val="none"/>
        </w:rPr>
        <w:t>提供完成该项目的全部内容</w:t>
      </w:r>
      <w:r>
        <w:rPr>
          <w:rFonts w:asciiTheme="majorEastAsia" w:hAnsiTheme="majorEastAsia" w:eastAsiaTheme="majorEastAsia"/>
          <w:color w:val="auto"/>
          <w:sz w:val="21"/>
          <w:szCs w:val="21"/>
          <w:highlight w:val="none"/>
        </w:rPr>
        <w:t>。在其他情况下，由于分项报价填报不完整、不清楚或存在其他任何失误，所导致的任何不利后果均应当由</w:t>
      </w:r>
      <w:r>
        <w:rPr>
          <w:rFonts w:hint="eastAsia" w:asciiTheme="majorEastAsia" w:hAnsiTheme="majorEastAsia" w:eastAsiaTheme="majorEastAsia"/>
          <w:color w:val="auto"/>
          <w:sz w:val="21"/>
          <w:szCs w:val="21"/>
          <w:highlight w:val="none"/>
          <w:lang w:eastAsia="zh-CN"/>
        </w:rPr>
        <w:t>响应人</w:t>
      </w:r>
      <w:r>
        <w:rPr>
          <w:rFonts w:asciiTheme="majorEastAsia" w:hAnsiTheme="majorEastAsia" w:eastAsiaTheme="majorEastAsia"/>
          <w:color w:val="auto"/>
          <w:sz w:val="21"/>
          <w:szCs w:val="21"/>
          <w:highlight w:val="none"/>
        </w:rPr>
        <w:t>自行承担。</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（2）报价一览表中价格填报处不应有空白，如无费用可填报“/”。</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（3）</w:t>
      </w:r>
      <w:r>
        <w:rPr>
          <w:rFonts w:hint="eastAsia" w:asciiTheme="majorEastAsia" w:hAnsiTheme="majorEastAsia" w:eastAsiaTheme="majorEastAsia"/>
          <w:color w:val="auto"/>
          <w:sz w:val="21"/>
          <w:szCs w:val="21"/>
          <w:highlight w:val="none"/>
          <w:lang w:eastAsia="zh-CN"/>
        </w:rPr>
        <w:t>响应人</w:t>
      </w:r>
      <w:r>
        <w:rPr>
          <w:rFonts w:asciiTheme="majorEastAsia" w:hAnsiTheme="majorEastAsia" w:eastAsiaTheme="majorEastAsia"/>
          <w:color w:val="auto"/>
          <w:sz w:val="21"/>
          <w:szCs w:val="21"/>
          <w:highlight w:val="none"/>
        </w:rPr>
        <w:t>对投标报价若有说明应在报价一览表显著处注明。</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（4）投标的报价优惠应对应报价一览表、分项报价明细表等提供相应的明细清单。除报价优惠外，任何超出磋商文件要求而额外赠送的货物、免费培训等其他形式的优惠，在评标时将不具有竞争优势。</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（5）对于有配件、耗材、选件和特殊工具的货物</w:t>
      </w: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如有）</w:t>
      </w:r>
      <w:r>
        <w:rPr>
          <w:rFonts w:asciiTheme="majorEastAsia" w:hAnsiTheme="majorEastAsia" w:eastAsiaTheme="majorEastAsia"/>
          <w:color w:val="auto"/>
          <w:sz w:val="21"/>
          <w:szCs w:val="21"/>
          <w:highlight w:val="none"/>
        </w:rPr>
        <w:t>，还应填报投标货物配件、耗材、选件表和备件及特殊工具清单，注明品牌、型号、产地、功能、单价、批量折扣等内容，该表格式由</w:t>
      </w:r>
      <w:r>
        <w:rPr>
          <w:rFonts w:hint="eastAsia" w:asciiTheme="majorEastAsia" w:hAnsiTheme="majorEastAsia" w:eastAsiaTheme="majorEastAsia"/>
          <w:color w:val="auto"/>
          <w:sz w:val="21"/>
          <w:szCs w:val="21"/>
          <w:highlight w:val="none"/>
          <w:lang w:eastAsia="zh-CN"/>
        </w:rPr>
        <w:t>响应人</w:t>
      </w:r>
      <w:r>
        <w:rPr>
          <w:rFonts w:asciiTheme="majorEastAsia" w:hAnsiTheme="majorEastAsia" w:eastAsiaTheme="majorEastAsia"/>
          <w:color w:val="auto"/>
          <w:sz w:val="21"/>
          <w:szCs w:val="21"/>
          <w:highlight w:val="none"/>
        </w:rPr>
        <w:t>自行设计。</w:t>
      </w:r>
      <w:r>
        <w:rPr>
          <w:rFonts w:hint="eastAsia" w:asciiTheme="majorEastAsia" w:hAnsiTheme="majorEastAsia" w:eastAsiaTheme="majorEastAsia"/>
          <w:color w:val="auto"/>
          <w:sz w:val="21"/>
          <w:szCs w:val="21"/>
          <w:highlight w:val="none"/>
          <w:lang w:eastAsia="zh-CN"/>
        </w:rPr>
        <w:t>响应人</w:t>
      </w:r>
      <w:r>
        <w:rPr>
          <w:rFonts w:asciiTheme="majorEastAsia" w:hAnsiTheme="majorEastAsia" w:eastAsiaTheme="majorEastAsia"/>
          <w:color w:val="auto"/>
          <w:sz w:val="21"/>
          <w:szCs w:val="21"/>
          <w:highlight w:val="none"/>
        </w:rPr>
        <w:t>按照上述要求分类报价，其目的是便于评标，但在任何情况下并不限制采购人或采购代理机构以其他条款签订合同的权利。</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（6）最低报价不能作为中标的保证。</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6.4项目技术和实施方案：</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6.</w:t>
      </w:r>
      <w:r>
        <w:rPr>
          <w:rFonts w:hint="eastAsia" w:asciiTheme="majorEastAsia" w:hAnsiTheme="majorEastAsia" w:eastAsiaTheme="majorEastAsia"/>
          <w:color w:val="auto"/>
          <w:sz w:val="21"/>
          <w:szCs w:val="21"/>
          <w:highlight w:val="none"/>
        </w:rPr>
        <w:t>5</w:t>
      </w:r>
      <w:r>
        <w:rPr>
          <w:rFonts w:asciiTheme="majorEastAsia" w:hAnsiTheme="majorEastAsia" w:eastAsiaTheme="majorEastAsia"/>
          <w:color w:val="auto"/>
          <w:sz w:val="21"/>
          <w:szCs w:val="21"/>
          <w:highlight w:val="none"/>
        </w:rPr>
        <w:t>其他评审相关材料：</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w:t>
      </w:r>
      <w:r>
        <w:rPr>
          <w:rFonts w:hint="eastAsia" w:asciiTheme="majorEastAsia" w:hAnsiTheme="majorEastAsia" w:eastAsiaTheme="majorEastAsia"/>
          <w:color w:val="auto"/>
          <w:sz w:val="21"/>
          <w:szCs w:val="21"/>
          <w:highlight w:val="none"/>
          <w:lang w:eastAsia="zh-CN"/>
        </w:rPr>
        <w:t>响应人</w:t>
      </w:r>
      <w:r>
        <w:rPr>
          <w:rFonts w:asciiTheme="majorEastAsia" w:hAnsiTheme="majorEastAsia" w:eastAsiaTheme="majorEastAsia"/>
          <w:color w:val="auto"/>
          <w:sz w:val="21"/>
          <w:szCs w:val="21"/>
          <w:highlight w:val="none"/>
        </w:rPr>
        <w:t>依据评分办法应提交的各类证明资料(要求“原件核查”的材料应当将原件（或公证件）在投标截止时间前随同</w:t>
      </w:r>
      <w:r>
        <w:rPr>
          <w:rFonts w:hint="eastAsia" w:asciiTheme="majorEastAsia" w:hAnsiTheme="majorEastAsia" w:eastAsiaTheme="majorEastAsia"/>
          <w:color w:val="auto"/>
          <w:sz w:val="21"/>
          <w:szCs w:val="21"/>
          <w:highlight w:val="none"/>
          <w:lang w:eastAsia="zh-CN"/>
        </w:rPr>
        <w:t>响应文件</w:t>
      </w:r>
      <w:r>
        <w:rPr>
          <w:rFonts w:asciiTheme="majorEastAsia" w:hAnsiTheme="majorEastAsia" w:eastAsiaTheme="majorEastAsia"/>
          <w:color w:val="auto"/>
          <w:sz w:val="21"/>
          <w:szCs w:val="21"/>
          <w:highlight w:val="none"/>
        </w:rPr>
        <w:t>一并提交以供核查，过时不予接收，未提供的评审中将不予计分。)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（2）其他需</w:t>
      </w:r>
      <w:r>
        <w:rPr>
          <w:rFonts w:hint="eastAsia" w:asciiTheme="majorEastAsia" w:hAnsiTheme="majorEastAsia" w:eastAsiaTheme="majorEastAsia"/>
          <w:color w:val="auto"/>
          <w:sz w:val="21"/>
          <w:szCs w:val="21"/>
          <w:highlight w:val="none"/>
          <w:lang w:eastAsia="zh-CN"/>
        </w:rPr>
        <w:t>响应人</w:t>
      </w:r>
      <w:r>
        <w:rPr>
          <w:rFonts w:asciiTheme="majorEastAsia" w:hAnsiTheme="majorEastAsia" w:eastAsiaTheme="majorEastAsia"/>
          <w:color w:val="auto"/>
          <w:sz w:val="21"/>
          <w:szCs w:val="21"/>
          <w:highlight w:val="none"/>
        </w:rPr>
        <w:t>对本次投标的详细说明（</w:t>
      </w:r>
      <w:r>
        <w:rPr>
          <w:rFonts w:hint="eastAsia" w:asciiTheme="majorEastAsia" w:hAnsiTheme="majorEastAsia" w:eastAsiaTheme="majorEastAsia"/>
          <w:color w:val="auto"/>
          <w:sz w:val="21"/>
          <w:szCs w:val="21"/>
          <w:highlight w:val="none"/>
          <w:lang w:eastAsia="zh-CN"/>
        </w:rPr>
        <w:t>响应人</w:t>
      </w:r>
      <w:r>
        <w:rPr>
          <w:rFonts w:asciiTheme="majorEastAsia" w:hAnsiTheme="majorEastAsia" w:eastAsiaTheme="majorEastAsia"/>
          <w:color w:val="auto"/>
          <w:sz w:val="21"/>
          <w:szCs w:val="21"/>
          <w:highlight w:val="none"/>
        </w:rPr>
        <w:t>视具体项目情况自行编制）；</w:t>
      </w:r>
    </w:p>
    <w:p>
      <w:pPr>
        <w:snapToGrid w:val="0"/>
        <w:spacing w:line="400" w:lineRule="exact"/>
        <w:rPr>
          <w:rFonts w:asciiTheme="majorEastAsia" w:hAnsiTheme="majorEastAsia" w:eastAsiaTheme="majorEastAsia"/>
          <w:color w:val="auto"/>
          <w:sz w:val="21"/>
          <w:szCs w:val="21"/>
          <w:highlight w:val="none"/>
        </w:rPr>
      </w:pPr>
      <w:r>
        <w:rPr>
          <w:rFonts w:asciiTheme="majorEastAsia" w:hAnsiTheme="majorEastAsia" w:eastAsiaTheme="majorEastAsia"/>
          <w:bCs/>
          <w:color w:val="auto"/>
          <w:sz w:val="21"/>
          <w:szCs w:val="21"/>
          <w:highlight w:val="none"/>
        </w:rPr>
        <w:t>七、响应人应认真检查磋商文件的内容是否齐全，如有遗漏，应及时向采购代理机构索取，否则责任自负。</w:t>
      </w:r>
      <w:bookmarkStart w:id="13" w:name="_Toc288738407"/>
      <w:bookmarkEnd w:id="13"/>
      <w:bookmarkStart w:id="14" w:name="_Toc288738801"/>
      <w:bookmarkEnd w:id="14"/>
      <w:bookmarkStart w:id="15" w:name="_Toc288738333"/>
      <w:bookmarkEnd w:id="15"/>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八、响应文件的制作应当符合以下要求</w:t>
      </w:r>
    </w:p>
    <w:p>
      <w:pPr>
        <w:snapToGrid w:val="0"/>
        <w:spacing w:line="400" w:lineRule="exact"/>
        <w:ind w:firstLine="420" w:firstLineChars="200"/>
        <w:rPr>
          <w:rFonts w:asciiTheme="majorEastAsia" w:hAnsiTheme="majorEastAsia" w:eastAsiaTheme="majorEastAsia"/>
          <w:color w:val="auto"/>
          <w:sz w:val="21"/>
          <w:szCs w:val="21"/>
          <w:highlight w:val="none"/>
        </w:rPr>
      </w:pPr>
      <w:bookmarkStart w:id="16" w:name="_Toc288738334"/>
      <w:bookmarkEnd w:id="16"/>
      <w:bookmarkStart w:id="17" w:name="_Toc288738408"/>
      <w:bookmarkEnd w:id="17"/>
      <w:bookmarkStart w:id="18" w:name="_Toc288738802"/>
      <w:r>
        <w:rPr>
          <w:rFonts w:asciiTheme="majorEastAsia" w:hAnsiTheme="majorEastAsia" w:eastAsiaTheme="majorEastAsia"/>
          <w:color w:val="auto"/>
          <w:sz w:val="21"/>
          <w:szCs w:val="21"/>
          <w:highlight w:val="none"/>
        </w:rPr>
        <w:t>8.1响应人应准备</w:t>
      </w:r>
      <w:bookmarkEnd w:id="18"/>
      <w:r>
        <w:rPr>
          <w:rFonts w:asciiTheme="majorEastAsia" w:hAnsiTheme="majorEastAsia" w:eastAsiaTheme="majorEastAsia"/>
          <w:bCs/>
          <w:color w:val="auto"/>
          <w:sz w:val="21"/>
          <w:szCs w:val="21"/>
          <w:highlight w:val="none"/>
        </w:rPr>
        <w:t>响应文件的正本</w:t>
      </w:r>
      <w:r>
        <w:rPr>
          <w:rFonts w:asciiTheme="majorEastAsia" w:hAnsiTheme="majorEastAsia" w:eastAsiaTheme="majorEastAsia"/>
          <w:color w:val="auto"/>
          <w:kern w:val="20"/>
          <w:sz w:val="21"/>
          <w:szCs w:val="21"/>
          <w:highlight w:val="none"/>
          <w:u w:val="single"/>
        </w:rPr>
        <w:t>1</w:t>
      </w:r>
      <w:r>
        <w:rPr>
          <w:rFonts w:asciiTheme="majorEastAsia" w:hAnsiTheme="majorEastAsia" w:eastAsiaTheme="majorEastAsia"/>
          <w:bCs/>
          <w:color w:val="auto"/>
          <w:sz w:val="21"/>
          <w:szCs w:val="21"/>
          <w:highlight w:val="none"/>
        </w:rPr>
        <w:t>套，副本</w:t>
      </w:r>
      <w:r>
        <w:rPr>
          <w:rFonts w:asciiTheme="majorEastAsia" w:hAnsiTheme="majorEastAsia" w:eastAsiaTheme="majorEastAsia"/>
          <w:color w:val="auto"/>
          <w:kern w:val="20"/>
          <w:sz w:val="21"/>
          <w:szCs w:val="21"/>
          <w:highlight w:val="none"/>
          <w:u w:val="single"/>
        </w:rPr>
        <w:t>2</w:t>
      </w:r>
      <w:r>
        <w:rPr>
          <w:rFonts w:asciiTheme="majorEastAsia" w:hAnsiTheme="majorEastAsia" w:eastAsiaTheme="majorEastAsia"/>
          <w:bCs/>
          <w:color w:val="auto"/>
          <w:sz w:val="21"/>
          <w:szCs w:val="21"/>
          <w:highlight w:val="none"/>
        </w:rPr>
        <w:t>套</w:t>
      </w:r>
      <w:r>
        <w:rPr>
          <w:rFonts w:asciiTheme="majorEastAsia" w:hAnsiTheme="majorEastAsia" w:eastAsiaTheme="majorEastAsia"/>
          <w:color w:val="auto"/>
          <w:sz w:val="21"/>
          <w:szCs w:val="21"/>
          <w:highlight w:val="none"/>
        </w:rPr>
        <w:t>，响应文件的正本和副本均需打印或使用不褪色的蓝、黑墨水笔书写，字迹应清晰易于辨认，并应在响应文件封面的右上角清楚地注明“正本”或“副本”。正本和副本如有不一致之处，以正本为准。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8.2响应文件由响应人按给定格式如实填写（编写），须有法人、法定代表人或法定代表人授权代表签字（盖章），方为有效，否则作无效响应文件处理。副本可通过正本复印并在规定地方加盖公章。</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8.3响应人违反上述规定的，其响应文件将被作为无效响应文件处理，不予拆封和参加评审。</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8.4全套响应文件应无修改和行间插字。</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8.5投标报价清晰准确，不存在影响其他响应人评分的严重错误。</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8.6所有文件、往来函件均应使用简体中文（规格、型号辅助符号例外）。</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8.7响应人投标一律以人民币为投标结算货币,结算单位为“元”。</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8.8响应文件格式部分，应由响应人按给定格式提供，不得更改，否则视为无效响应文件处理。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8.9响应文件不应有涂改、增删和潦草之处，如有必须修改时，修改处必须有法人、法定代表人或法定代表人授权代表的签字和盖章。</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8.10响应人在响应文件中应加盖与响应人全称相一致的标准公章，不得使用其他形式如带有“专用章”等字样的印章，否则视为无效响应文件处理；响应人法定代表人或授权代表的签字或盖章须为全名，否则视为无效响应文件处理。</w:t>
      </w:r>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九、在响应文件提交截止时间之前的密封完好的响应文件可以接受。</w:t>
      </w:r>
    </w:p>
    <w:p>
      <w:pPr>
        <w:snapToGrid w:val="0"/>
        <w:spacing w:line="400" w:lineRule="exact"/>
        <w:rPr>
          <w:rFonts w:asciiTheme="majorEastAsia" w:hAnsiTheme="majorEastAsia" w:eastAsiaTheme="majorEastAsia"/>
          <w:bCs/>
          <w:color w:val="auto"/>
          <w:sz w:val="21"/>
          <w:szCs w:val="21"/>
          <w:highlight w:val="none"/>
        </w:rPr>
      </w:pPr>
      <w:bookmarkStart w:id="19" w:name="_Toc288738803"/>
      <w:bookmarkEnd w:id="19"/>
      <w:bookmarkStart w:id="20" w:name="_Toc288738409"/>
      <w:bookmarkEnd w:id="20"/>
      <w:bookmarkStart w:id="21" w:name="_Toc288738335"/>
      <w:r>
        <w:rPr>
          <w:rFonts w:asciiTheme="majorEastAsia" w:hAnsiTheme="majorEastAsia" w:eastAsiaTheme="majorEastAsia"/>
          <w:bCs/>
          <w:color w:val="auto"/>
          <w:sz w:val="21"/>
          <w:szCs w:val="21"/>
          <w:highlight w:val="none"/>
        </w:rPr>
        <w:t>十、磋商保证金</w:t>
      </w:r>
      <w:bookmarkEnd w:id="21"/>
      <w:r>
        <w:rPr>
          <w:rFonts w:hint="eastAsia" w:asciiTheme="majorEastAsia" w:hAnsiTheme="majorEastAsia" w:eastAsiaTheme="majorEastAsia"/>
          <w:bCs/>
          <w:color w:val="auto"/>
          <w:sz w:val="21"/>
          <w:szCs w:val="21"/>
          <w:highlight w:val="none"/>
        </w:rPr>
        <w:t>：</w:t>
      </w:r>
      <w:r>
        <w:rPr>
          <w:rFonts w:hint="eastAsia" w:cs="宋体" w:asciiTheme="majorEastAsia" w:hAnsiTheme="majorEastAsia" w:eastAsiaTheme="majorEastAsia"/>
          <w:color w:val="auto"/>
          <w:sz w:val="21"/>
          <w:szCs w:val="21"/>
          <w:highlight w:val="none"/>
        </w:rPr>
        <w:t>本项目不收取磋商保证金</w:t>
      </w:r>
      <w:r>
        <w:rPr>
          <w:rFonts w:asciiTheme="majorEastAsia" w:hAnsiTheme="majorEastAsia" w:eastAsiaTheme="majorEastAsia"/>
          <w:bCs/>
          <w:color w:val="auto"/>
          <w:sz w:val="21"/>
          <w:szCs w:val="21"/>
          <w:highlight w:val="none"/>
        </w:rPr>
        <w:t>。</w:t>
      </w:r>
    </w:p>
    <w:p>
      <w:pPr>
        <w:snapToGrid w:val="0"/>
        <w:spacing w:line="400" w:lineRule="exact"/>
        <w:rPr>
          <w:rFonts w:asciiTheme="majorEastAsia" w:hAnsiTheme="majorEastAsia" w:eastAsiaTheme="majorEastAsia"/>
          <w:bCs/>
          <w:color w:val="auto"/>
          <w:sz w:val="21"/>
          <w:szCs w:val="21"/>
          <w:highlight w:val="none"/>
        </w:rPr>
      </w:pPr>
      <w:bookmarkStart w:id="22" w:name="_Toc288738337"/>
      <w:bookmarkEnd w:id="22"/>
      <w:bookmarkStart w:id="23" w:name="_Toc288738805"/>
      <w:bookmarkEnd w:id="23"/>
      <w:bookmarkStart w:id="24" w:name="_Toc288738411"/>
      <w:r>
        <w:rPr>
          <w:rFonts w:asciiTheme="majorEastAsia" w:hAnsiTheme="majorEastAsia" w:eastAsiaTheme="majorEastAsia"/>
          <w:bCs/>
          <w:color w:val="auto"/>
          <w:sz w:val="21"/>
          <w:szCs w:val="21"/>
          <w:highlight w:val="none"/>
        </w:rPr>
        <w:t>十一、响应文件的密封与标志</w:t>
      </w:r>
      <w:bookmarkEnd w:id="24"/>
    </w:p>
    <w:p>
      <w:pPr>
        <w:snapToGrid w:val="0"/>
        <w:spacing w:line="400" w:lineRule="exact"/>
        <w:ind w:firstLine="420" w:firstLineChars="200"/>
        <w:rPr>
          <w:rFonts w:asciiTheme="majorEastAsia" w:hAnsiTheme="majorEastAsia" w:eastAsiaTheme="majorEastAsia"/>
          <w:color w:val="auto"/>
          <w:sz w:val="21"/>
          <w:szCs w:val="21"/>
          <w:highlight w:val="none"/>
        </w:rPr>
      </w:pPr>
      <w:bookmarkStart w:id="25" w:name="_Toc288738412"/>
      <w:bookmarkEnd w:id="25"/>
      <w:bookmarkStart w:id="26" w:name="_Toc288738806"/>
      <w:bookmarkEnd w:id="26"/>
      <w:bookmarkStart w:id="27" w:name="_Toc288738338"/>
      <w:r>
        <w:rPr>
          <w:rFonts w:asciiTheme="majorEastAsia" w:hAnsiTheme="majorEastAsia" w:eastAsiaTheme="majorEastAsia"/>
          <w:color w:val="auto"/>
          <w:sz w:val="21"/>
          <w:szCs w:val="21"/>
          <w:highlight w:val="none"/>
        </w:rPr>
        <w:t>11.1响应人应将响应文件密封。</w:t>
      </w:r>
      <w:bookmarkEnd w:id="27"/>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11.2所有封袋上都应写明响应人名称、采购项目名称，采购项目编号，年月日，加盖响应人公章。</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11.3响应人违反上述规定的，其响应文件将被作为无效响应文件，不予拆封和参加评审。</w:t>
      </w:r>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十二、响应文件提交，截止时间和地点</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12.1响应人须在竞争性磋商采购公告规定的响应文件提交截止时间之前在指定地点将响应文件提交给采购代理机构。</w:t>
      </w:r>
    </w:p>
    <w:p>
      <w:pPr>
        <w:spacing w:line="400" w:lineRule="exact"/>
        <w:ind w:firstLine="428" w:firstLineChars="200"/>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pacing w:val="2"/>
          <w:sz w:val="21"/>
          <w:szCs w:val="21"/>
          <w:highlight w:val="none"/>
        </w:rPr>
        <w:t>12.2响应人在提交响应文件时须提供法定代表人或代理人身份证原件（</w:t>
      </w:r>
      <w:r>
        <w:rPr>
          <w:rFonts w:asciiTheme="majorEastAsia" w:hAnsiTheme="majorEastAsia" w:eastAsiaTheme="majorEastAsia"/>
          <w:bCs/>
          <w:color w:val="auto"/>
          <w:sz w:val="21"/>
          <w:szCs w:val="21"/>
          <w:highlight w:val="none"/>
        </w:rPr>
        <w:t>若身份证遗失的，可提供临时身份证或居民户口簿</w:t>
      </w:r>
      <w:r>
        <w:rPr>
          <w:rFonts w:asciiTheme="majorEastAsia" w:hAnsiTheme="majorEastAsia" w:eastAsiaTheme="majorEastAsia"/>
          <w:bCs/>
          <w:color w:val="auto"/>
          <w:spacing w:val="2"/>
          <w:sz w:val="21"/>
          <w:szCs w:val="21"/>
          <w:highlight w:val="none"/>
        </w:rPr>
        <w:t>），未提供的，采购代理机构不接受其响应文件，不予参加磋商和评审。</w:t>
      </w:r>
      <w:bookmarkStart w:id="28" w:name="_Toc288738339"/>
      <w:bookmarkEnd w:id="28"/>
      <w:bookmarkStart w:id="29" w:name="_Toc288738413"/>
      <w:bookmarkEnd w:id="29"/>
      <w:bookmarkStart w:id="30" w:name="_Toc288738807"/>
      <w:bookmarkEnd w:id="30"/>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十三、响应文件的修改和撤回</w:t>
      </w:r>
    </w:p>
    <w:p>
      <w:pPr>
        <w:snapToGrid w:val="0"/>
        <w:spacing w:line="400" w:lineRule="exact"/>
        <w:ind w:firstLine="420" w:firstLineChars="200"/>
        <w:rPr>
          <w:rFonts w:asciiTheme="majorEastAsia" w:hAnsiTheme="majorEastAsia" w:eastAsiaTheme="majorEastAsia"/>
          <w:bCs/>
          <w:color w:val="auto"/>
          <w:sz w:val="21"/>
          <w:szCs w:val="21"/>
          <w:highlight w:val="none"/>
        </w:rPr>
      </w:pPr>
      <w:r>
        <w:rPr>
          <w:rFonts w:asciiTheme="majorEastAsia" w:hAnsiTheme="majorEastAsia" w:eastAsiaTheme="majorEastAsia"/>
          <w:color w:val="auto"/>
          <w:sz w:val="21"/>
          <w:szCs w:val="21"/>
          <w:highlight w:val="none"/>
        </w:rPr>
        <w:t>13.1在响应文件提交截止时间之前，响应人可以对所提交的响应文件进行修改和撤回，但所提交的修改或撤回通知必须按磋商文件的规定进行编制、密封、标志（在包封上标明“修改”或“撤回”字样，并注</w:t>
      </w:r>
      <w:r>
        <w:rPr>
          <w:rFonts w:asciiTheme="majorEastAsia" w:hAnsiTheme="majorEastAsia" w:eastAsiaTheme="majorEastAsia"/>
          <w:bCs/>
          <w:color w:val="auto"/>
          <w:sz w:val="21"/>
          <w:szCs w:val="21"/>
          <w:highlight w:val="none"/>
        </w:rPr>
        <w:t>明修改或撤回的时间）和提交。响应文件提交截止时间之后，响应人不得修改或撤回响应文件。</w:t>
      </w:r>
      <w:bookmarkStart w:id="31" w:name="_Toc471819247"/>
      <w:bookmarkEnd w:id="31"/>
      <w:bookmarkStart w:id="32" w:name="_Toc288738340"/>
      <w:bookmarkEnd w:id="32"/>
      <w:bookmarkStart w:id="33" w:name="_Toc288738808"/>
      <w:bookmarkEnd w:id="33"/>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十四、磋商报价方式</w:t>
      </w:r>
    </w:p>
    <w:p>
      <w:pPr>
        <w:snapToGrid w:val="0"/>
        <w:spacing w:line="400" w:lineRule="exact"/>
        <w:ind w:firstLine="420" w:firstLineChars="200"/>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14.1投标总价应该包含但不限于</w:t>
      </w:r>
      <w:r>
        <w:rPr>
          <w:rFonts w:hint="eastAsia" w:asciiTheme="majorEastAsia" w:hAnsiTheme="majorEastAsia" w:eastAsiaTheme="majorEastAsia"/>
          <w:bCs/>
          <w:color w:val="auto"/>
          <w:sz w:val="21"/>
          <w:szCs w:val="21"/>
          <w:highlight w:val="none"/>
        </w:rPr>
        <w:t>提供完成该项目的全部内容。</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14.2响应人应按照磋商文件中提供的格式完整、正确填写投标书、报价一览表。报价一览表中的报价应与分项报价明细表的总价完全一致，如有不一致的，以报价一览表的报价为准。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14.3响应文件报价中的单价和总价全部采用人民币表示，除非合同的特殊条款另有规定。</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14.4响应人应按《分项报价明细表》（如有）中的全部货物计算单价和总价《分项报价明细表》（如有）中的每一单项均应计算并填写单价和总价，该表并由法定代表人或代理人签署。响应人未填单价或合价的项目，在实施后，采购人将不予支付，并视为该项费用已包括在其它有价款的单价或合价内。</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14.5响应人应对磋商文件内所要采购的全部内容进行报价，只投其中部分内容者，其标书将被拒绝。但如果磋商文件要求分包段投标的，则响应人可以按磋商文件要求有选择地只投其中一个或几个包段，也可以投全部包段，但各包段应分别计算填写单价和总价。</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14.6磋商报价次数：本项目采用二轮报价，响应文件中书面报价为首轮报价，第二轮报价不得超过首轮报价，第二轮报价即为最终报价；否则作无效响应处理。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14.7最低报价不能作为中标的保证。</w:t>
      </w:r>
    </w:p>
    <w:p>
      <w:pPr>
        <w:snapToGrid w:val="0"/>
        <w:spacing w:line="400" w:lineRule="exact"/>
        <w:rPr>
          <w:rFonts w:asciiTheme="majorEastAsia" w:hAnsiTheme="majorEastAsia" w:eastAsiaTheme="majorEastAsia"/>
          <w:bCs/>
          <w:color w:val="auto"/>
          <w:sz w:val="21"/>
          <w:szCs w:val="21"/>
          <w:highlight w:val="none"/>
        </w:rPr>
      </w:pPr>
      <w:bookmarkStart w:id="34" w:name="_Toc288738418"/>
      <w:bookmarkEnd w:id="34"/>
      <w:bookmarkStart w:id="35" w:name="_Toc288738344"/>
      <w:bookmarkEnd w:id="35"/>
      <w:bookmarkStart w:id="36" w:name="_Toc288738812"/>
      <w:r>
        <w:rPr>
          <w:rFonts w:asciiTheme="majorEastAsia" w:hAnsiTheme="majorEastAsia" w:eastAsiaTheme="majorEastAsia"/>
          <w:bCs/>
          <w:color w:val="auto"/>
          <w:sz w:val="21"/>
          <w:szCs w:val="21"/>
          <w:highlight w:val="none"/>
        </w:rPr>
        <w:t>十五、响应文件的有效期</w:t>
      </w:r>
      <w:bookmarkEnd w:id="36"/>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15.1本项目响应文件的有效期</w:t>
      </w:r>
      <w:r>
        <w:rPr>
          <w:rFonts w:asciiTheme="majorEastAsia" w:hAnsiTheme="majorEastAsia" w:eastAsiaTheme="majorEastAsia"/>
          <w:bCs/>
          <w:color w:val="auto"/>
          <w:sz w:val="21"/>
          <w:szCs w:val="21"/>
          <w:highlight w:val="none"/>
        </w:rPr>
        <w:t>详见响应人须知前附表第</w:t>
      </w:r>
      <w:r>
        <w:rPr>
          <w:rFonts w:hint="eastAsia" w:cs="宋体" w:asciiTheme="majorEastAsia" w:hAnsiTheme="majorEastAsia" w:eastAsiaTheme="majorEastAsia"/>
          <w:bCs/>
          <w:color w:val="auto"/>
          <w:sz w:val="21"/>
          <w:szCs w:val="21"/>
          <w:highlight w:val="none"/>
        </w:rPr>
        <w:t>17</w:t>
      </w:r>
      <w:r>
        <w:rPr>
          <w:rFonts w:asciiTheme="majorEastAsia" w:hAnsiTheme="majorEastAsia" w:eastAsiaTheme="majorEastAsia"/>
          <w:bCs/>
          <w:color w:val="auto"/>
          <w:sz w:val="21"/>
          <w:szCs w:val="21"/>
          <w:highlight w:val="none"/>
        </w:rPr>
        <w:t>条</w:t>
      </w:r>
      <w:r>
        <w:rPr>
          <w:rFonts w:asciiTheme="majorEastAsia" w:hAnsiTheme="majorEastAsia" w:eastAsiaTheme="majorEastAsia"/>
          <w:color w:val="auto"/>
          <w:sz w:val="21"/>
          <w:szCs w:val="21"/>
          <w:highlight w:val="none"/>
        </w:rPr>
        <w:t>。响应截止时间后，响应人在响应有效期内不得撤销响应文件。</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15.2在特殊情况下，采购人或采购代理机构可与响应人协商延长响应文件的有效期。这种要求和答复都应以书面形式进行。同意延长有效期的响应人除按照采购人或采购代理机构要求修改响应文件有效期外，不得修改响应文件的其他内容。</w:t>
      </w:r>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十六、</w:t>
      </w:r>
      <w:r>
        <w:rPr>
          <w:rFonts w:hint="eastAsia" w:cs="宋体" w:asciiTheme="majorEastAsia" w:hAnsiTheme="majorEastAsia" w:eastAsiaTheme="majorEastAsia"/>
          <w:bCs/>
          <w:color w:val="auto"/>
          <w:sz w:val="21"/>
          <w:szCs w:val="21"/>
          <w:highlight w:val="none"/>
        </w:rPr>
        <w:t>标前答疑</w:t>
      </w:r>
      <w:r>
        <w:rPr>
          <w:rFonts w:asciiTheme="majorEastAsia" w:hAnsiTheme="majorEastAsia" w:eastAsiaTheme="majorEastAsia"/>
          <w:bCs/>
          <w:color w:val="auto"/>
          <w:sz w:val="21"/>
          <w:szCs w:val="21"/>
          <w:highlight w:val="none"/>
        </w:rPr>
        <w:t>会时间和地点</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16.1本项目</w:t>
      </w:r>
      <w:r>
        <w:rPr>
          <w:rFonts w:hint="eastAsia" w:cs="宋体" w:asciiTheme="majorEastAsia" w:hAnsiTheme="majorEastAsia" w:eastAsiaTheme="majorEastAsia"/>
          <w:color w:val="auto"/>
          <w:sz w:val="21"/>
          <w:szCs w:val="21"/>
          <w:highlight w:val="none"/>
        </w:rPr>
        <w:t>磋商</w:t>
      </w:r>
      <w:r>
        <w:rPr>
          <w:rFonts w:asciiTheme="majorEastAsia" w:hAnsiTheme="majorEastAsia" w:eastAsiaTheme="majorEastAsia"/>
          <w:color w:val="auto"/>
          <w:sz w:val="21"/>
          <w:szCs w:val="21"/>
          <w:highlight w:val="none"/>
        </w:rPr>
        <w:t>文件的</w:t>
      </w:r>
      <w:r>
        <w:rPr>
          <w:rFonts w:hint="eastAsia" w:cs="宋体" w:asciiTheme="majorEastAsia" w:hAnsiTheme="majorEastAsia" w:eastAsiaTheme="majorEastAsia"/>
          <w:color w:val="auto"/>
          <w:sz w:val="21"/>
          <w:szCs w:val="21"/>
          <w:highlight w:val="none"/>
        </w:rPr>
        <w:t>标前</w:t>
      </w:r>
      <w:r>
        <w:rPr>
          <w:rFonts w:asciiTheme="majorEastAsia" w:hAnsiTheme="majorEastAsia" w:eastAsiaTheme="majorEastAsia"/>
          <w:color w:val="auto"/>
          <w:sz w:val="21"/>
          <w:szCs w:val="21"/>
          <w:highlight w:val="none"/>
        </w:rPr>
        <w:t>答疑会时间和地点详见</w:t>
      </w:r>
      <w:r>
        <w:rPr>
          <w:rFonts w:asciiTheme="majorEastAsia" w:hAnsiTheme="majorEastAsia" w:eastAsiaTheme="majorEastAsia"/>
          <w:bCs/>
          <w:color w:val="auto"/>
          <w:sz w:val="21"/>
          <w:szCs w:val="21"/>
          <w:highlight w:val="none"/>
        </w:rPr>
        <w:t>响应人须知前附表第10、11、12条</w:t>
      </w:r>
      <w:r>
        <w:rPr>
          <w:rFonts w:asciiTheme="majorEastAsia" w:hAnsiTheme="majorEastAsia" w:eastAsiaTheme="majorEastAsia"/>
          <w:color w:val="auto"/>
          <w:sz w:val="21"/>
          <w:szCs w:val="21"/>
          <w:highlight w:val="none"/>
        </w:rPr>
        <w:t>。</w:t>
      </w:r>
    </w:p>
    <w:p>
      <w:pPr>
        <w:snapToGrid w:val="0"/>
        <w:spacing w:line="400" w:lineRule="exact"/>
        <w:rPr>
          <w:rFonts w:asciiTheme="majorEastAsia" w:hAnsiTheme="majorEastAsia" w:eastAsiaTheme="majorEastAsia"/>
          <w:bCs/>
          <w:color w:val="auto"/>
          <w:sz w:val="21"/>
          <w:szCs w:val="21"/>
          <w:highlight w:val="none"/>
        </w:rPr>
      </w:pPr>
      <w:bookmarkStart w:id="37" w:name="_Toc288738345"/>
      <w:bookmarkEnd w:id="37"/>
      <w:bookmarkStart w:id="38" w:name="_Toc288738813"/>
      <w:bookmarkEnd w:id="38"/>
      <w:bookmarkStart w:id="39" w:name="_Toc288738419"/>
      <w:r>
        <w:rPr>
          <w:rFonts w:asciiTheme="majorEastAsia" w:hAnsiTheme="majorEastAsia" w:eastAsiaTheme="majorEastAsia"/>
          <w:bCs/>
          <w:color w:val="auto"/>
          <w:sz w:val="21"/>
          <w:szCs w:val="21"/>
          <w:highlight w:val="none"/>
        </w:rPr>
        <w:t>十七、评审、评定成交方法</w:t>
      </w:r>
      <w:bookmarkEnd w:id="39"/>
    </w:p>
    <w:p>
      <w:pPr>
        <w:spacing w:line="400" w:lineRule="exact"/>
        <w:ind w:firstLine="411" w:firstLineChars="196"/>
        <w:rPr>
          <w:rFonts w:asciiTheme="majorEastAsia" w:hAnsiTheme="majorEastAsia" w:eastAsiaTheme="majorEastAsia"/>
          <w:color w:val="auto"/>
          <w:sz w:val="21"/>
          <w:szCs w:val="21"/>
          <w:highlight w:val="none"/>
        </w:rPr>
      </w:pPr>
      <w:bookmarkStart w:id="40" w:name="_Toc288738814"/>
      <w:bookmarkEnd w:id="40"/>
      <w:bookmarkStart w:id="41" w:name="_Toc288738346"/>
      <w:bookmarkEnd w:id="41"/>
      <w:bookmarkStart w:id="42" w:name="_Toc288738420"/>
      <w:r>
        <w:rPr>
          <w:rFonts w:asciiTheme="majorEastAsia" w:hAnsiTheme="majorEastAsia" w:eastAsiaTheme="majorEastAsia"/>
          <w:color w:val="auto"/>
          <w:sz w:val="21"/>
          <w:szCs w:val="21"/>
          <w:highlight w:val="none"/>
        </w:rPr>
        <w:t>17.1本项目采用综合评</w:t>
      </w:r>
      <w:bookmarkEnd w:id="42"/>
      <w:r>
        <w:rPr>
          <w:rFonts w:hint="eastAsia" w:cs="宋体" w:asciiTheme="majorEastAsia" w:hAnsiTheme="majorEastAsia" w:eastAsiaTheme="majorEastAsia"/>
          <w:color w:val="auto"/>
          <w:sz w:val="21"/>
          <w:szCs w:val="21"/>
          <w:highlight w:val="none"/>
        </w:rPr>
        <w:t>分</w:t>
      </w:r>
      <w:r>
        <w:rPr>
          <w:rFonts w:asciiTheme="majorEastAsia" w:hAnsiTheme="majorEastAsia" w:eastAsiaTheme="majorEastAsia"/>
          <w:color w:val="auto"/>
          <w:sz w:val="21"/>
          <w:szCs w:val="21"/>
          <w:highlight w:val="none"/>
        </w:rPr>
        <w:t>法，响应文件满足磋商文件全部实质性要求且最终评分最高的响应人为</w:t>
      </w:r>
      <w:r>
        <w:rPr>
          <w:rFonts w:hint="eastAsia" w:asciiTheme="majorEastAsia" w:hAnsiTheme="majorEastAsia" w:eastAsiaTheme="majorEastAsia"/>
          <w:color w:val="auto"/>
          <w:sz w:val="21"/>
          <w:szCs w:val="21"/>
          <w:highlight w:val="none"/>
          <w:lang w:eastAsia="zh-CN"/>
        </w:rPr>
        <w:t>中标响应人</w:t>
      </w:r>
      <w:r>
        <w:rPr>
          <w:rFonts w:asciiTheme="majorEastAsia" w:hAnsiTheme="majorEastAsia" w:eastAsiaTheme="majorEastAsia"/>
          <w:color w:val="auto"/>
          <w:sz w:val="21"/>
          <w:szCs w:val="21"/>
          <w:highlight w:val="none"/>
        </w:rPr>
        <w:t>。</w:t>
      </w:r>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十八、磋商及评审程序</w:t>
      </w:r>
    </w:p>
    <w:p>
      <w:pPr>
        <w:spacing w:line="400" w:lineRule="exact"/>
        <w:ind w:firstLine="420"/>
        <w:rPr>
          <w:rFonts w:asciiTheme="majorEastAsia" w:hAnsiTheme="majorEastAsia" w:eastAsiaTheme="majorEastAsia"/>
          <w:bCs/>
          <w:color w:val="auto"/>
          <w:sz w:val="21"/>
          <w:szCs w:val="21"/>
          <w:highlight w:val="none"/>
          <w:u w:val="single"/>
        </w:rPr>
      </w:pPr>
      <w:bookmarkStart w:id="43" w:name="_Toc288738423"/>
      <w:bookmarkEnd w:id="43"/>
      <w:bookmarkStart w:id="44" w:name="_Toc288738817"/>
      <w:bookmarkEnd w:id="44"/>
      <w:bookmarkStart w:id="45" w:name="_Toc288738349"/>
      <w:bookmarkEnd w:id="45"/>
      <w:r>
        <w:rPr>
          <w:rFonts w:asciiTheme="majorEastAsia" w:hAnsiTheme="majorEastAsia" w:eastAsiaTheme="majorEastAsia"/>
          <w:color w:val="auto"/>
          <w:sz w:val="21"/>
          <w:szCs w:val="21"/>
          <w:highlight w:val="none"/>
        </w:rPr>
        <w:t>18.1成立磋商小组。磋商小组由三人以上单数组成，其中经济、技术等方面的专家不少于磋商小组成员总数的三分之二。</w:t>
      </w:r>
    </w:p>
    <w:p>
      <w:pPr>
        <w:spacing w:line="400" w:lineRule="exact"/>
        <w:ind w:firstLine="420"/>
        <w:rPr>
          <w:rFonts w:asciiTheme="majorEastAsia" w:hAnsiTheme="majorEastAsia" w:eastAsiaTheme="majorEastAsia"/>
          <w:color w:val="auto"/>
          <w:kern w:val="0"/>
          <w:sz w:val="21"/>
          <w:szCs w:val="21"/>
          <w:highlight w:val="none"/>
        </w:rPr>
      </w:pPr>
      <w:r>
        <w:rPr>
          <w:rFonts w:asciiTheme="majorEastAsia" w:hAnsiTheme="majorEastAsia" w:eastAsiaTheme="majorEastAsia"/>
          <w:color w:val="auto"/>
          <w:kern w:val="0"/>
          <w:sz w:val="21"/>
          <w:szCs w:val="21"/>
          <w:highlight w:val="none"/>
        </w:rPr>
        <w:t>18.2采购代理机构将按</w:t>
      </w:r>
      <w:r>
        <w:rPr>
          <w:rFonts w:asciiTheme="majorEastAsia" w:hAnsiTheme="majorEastAsia" w:eastAsiaTheme="majorEastAsia"/>
          <w:bCs/>
          <w:color w:val="auto"/>
          <w:kern w:val="0"/>
          <w:sz w:val="21"/>
          <w:szCs w:val="21"/>
          <w:highlight w:val="none"/>
        </w:rPr>
        <w:t>第一部分采购邀请</w:t>
      </w:r>
      <w:r>
        <w:rPr>
          <w:rFonts w:asciiTheme="majorEastAsia" w:hAnsiTheme="majorEastAsia" w:eastAsiaTheme="majorEastAsia"/>
          <w:color w:val="auto"/>
          <w:kern w:val="0"/>
          <w:sz w:val="21"/>
          <w:szCs w:val="21"/>
          <w:highlight w:val="none"/>
        </w:rPr>
        <w:t>中规定的时间和地点举行磋商会议，响应人的法定代表人或其代理人须参加磋商会议。</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18.3磋商会议由采购代理机构组织并主持，由</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或者其推选的代表检查响应文件的密封情况；对响应文件进行检查，确认是否完整，文件签署是否正确，是否按本须知编制。</w:t>
      </w:r>
    </w:p>
    <w:p>
      <w:pPr>
        <w:spacing w:line="400" w:lineRule="exact"/>
        <w:ind w:firstLine="428"/>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18.4经确认无误后，由采购人或者采购代理机构工作人员当众宣布响应文件密封性核查结果；</w:t>
      </w:r>
    </w:p>
    <w:p>
      <w:pPr>
        <w:spacing w:line="400" w:lineRule="exact"/>
        <w:ind w:firstLine="428"/>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18.5</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法定代表人或代理人在评审结果宣布前，未经同意不得擅自离开采购代理机构；</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18.6拆封响应文件；</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18.7磋商小组检验已开封的</w:t>
      </w:r>
      <w:r>
        <w:rPr>
          <w:rFonts w:hint="eastAsia" w:asciiTheme="majorEastAsia" w:hAnsiTheme="majorEastAsia" w:eastAsiaTheme="majorEastAsia"/>
          <w:color w:val="auto"/>
          <w:spacing w:val="2"/>
          <w:sz w:val="21"/>
          <w:szCs w:val="21"/>
          <w:highlight w:val="none"/>
        </w:rPr>
        <w:t>响应</w:t>
      </w:r>
      <w:r>
        <w:rPr>
          <w:rFonts w:asciiTheme="majorEastAsia" w:hAnsiTheme="majorEastAsia" w:eastAsiaTheme="majorEastAsia"/>
          <w:color w:val="auto"/>
          <w:spacing w:val="2"/>
          <w:sz w:val="21"/>
          <w:szCs w:val="21"/>
          <w:highlight w:val="none"/>
        </w:rPr>
        <w:t>文件是否符合磋商文件有关规定，是否完整，文件签署是否正确；</w:t>
      </w:r>
      <w:r>
        <w:rPr>
          <w:rFonts w:asciiTheme="majorEastAsia" w:hAnsiTheme="majorEastAsia" w:eastAsiaTheme="majorEastAsia"/>
          <w:color w:val="auto"/>
          <w:sz w:val="21"/>
          <w:szCs w:val="21"/>
          <w:highlight w:val="none"/>
        </w:rPr>
        <w:t>磋商小组</w:t>
      </w:r>
      <w:r>
        <w:rPr>
          <w:rFonts w:asciiTheme="majorEastAsia" w:hAnsiTheme="majorEastAsia" w:eastAsiaTheme="majorEastAsia"/>
          <w:color w:val="auto"/>
          <w:spacing w:val="2"/>
          <w:sz w:val="21"/>
          <w:szCs w:val="21"/>
          <w:highlight w:val="none"/>
        </w:rPr>
        <w:t>依据磋商文件规定进行资格审查、有效性审查，审查每份响应文件是否实质上响应了磋商文件的要求；</w:t>
      </w:r>
    </w:p>
    <w:p>
      <w:pPr>
        <w:spacing w:line="400" w:lineRule="exact"/>
        <w:ind w:firstLine="428"/>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（1）实质上响应的响应是指与磋商文件的主要条款、条件和规格相符，没有重大偏离或保留。</w:t>
      </w:r>
    </w:p>
    <w:p>
      <w:pPr>
        <w:spacing w:line="400" w:lineRule="exact"/>
        <w:ind w:firstLine="428"/>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2）重大偏离或保留系指响应产品的质量、数量和交货期限等明显不能满足磋商文件的要求，或者实质上与磋商文件不一致，而且限制了采购人的权利或响应人的义务，纠正这些偏离或保留将对其他实质上响应要求的响应人的竞争地位产生不公正的影响。包括但不限于：</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a.应当交纳响应保证金的响应人未提交响应保证金或金额不足的；</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b.本文件“响应人须知”第6条“响应文件组成及相关要求”部分中，带*的资格证明文件不全或无效的；</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c.响应文件未按磋商文件的规定密封、签署、盖章的；</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d.响应有效期不足的；</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e.响应产品性能、规格、数量、交货时间、货物包装方式、检验标准和方法、售后服务承诺等不满足磋商文件中的相关要求和超出采购人可接受的偏差范围的；</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f.未按照磋商文件规定报价的；</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g.不符合磋商文件有关分包、转包规定的；</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h.联合体响应文件未附联合体响应协议书的（如有）；</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i.响应文件附有采购人不能接受的条件；</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j.不符合磋商文件中规定的其他实质性要求。</w:t>
      </w:r>
    </w:p>
    <w:p>
      <w:pPr>
        <w:spacing w:line="400" w:lineRule="exact"/>
        <w:ind w:firstLine="428"/>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（3）重大偏离不允许在响应截止时间后修正，但磋商小组将允许修正响应中不构成重大偏离的地方，这些修正不会对其他实质上响应磋商文件要求的响应人的竞争地位产生不公正的影响。</w:t>
      </w:r>
    </w:p>
    <w:p>
      <w:pPr>
        <w:spacing w:line="400" w:lineRule="exact"/>
        <w:ind w:firstLine="428"/>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（4）如果响应文件实质上没有响应磋商文件的要求，磋商小组将予以拒绝，响应人不得再对响应文件进行任何修正从而使其响应成为实质上响应的响应。</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18.8只有通过资格审查并合格的</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才能进入下面的磋商程序，同时通过资格审查合格的</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须不少于三家，否则磋商失败。磋商小组核对响应文件一次报价,一次报价不得超过采购预算或采购</w:t>
      </w:r>
      <w:r>
        <w:rPr>
          <w:rFonts w:asciiTheme="majorEastAsia" w:hAnsiTheme="majorEastAsia" w:eastAsiaTheme="majorEastAsia"/>
          <w:color w:val="auto"/>
          <w:sz w:val="21"/>
          <w:szCs w:val="21"/>
          <w:highlight w:val="none"/>
        </w:rPr>
        <w:t>最高限价</w:t>
      </w:r>
      <w:r>
        <w:rPr>
          <w:rFonts w:asciiTheme="majorEastAsia" w:hAnsiTheme="majorEastAsia" w:eastAsiaTheme="majorEastAsia"/>
          <w:color w:val="auto"/>
          <w:spacing w:val="2"/>
          <w:sz w:val="21"/>
          <w:szCs w:val="21"/>
          <w:highlight w:val="none"/>
        </w:rPr>
        <w:t>,否则不得进入后面的磋商程序。</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18.9按照签到顺序，磋商小组所有成员集中与单一</w:t>
      </w:r>
      <w:r>
        <w:rPr>
          <w:rFonts w:hint="eastAsia" w:asciiTheme="majorEastAsia" w:hAnsiTheme="majorEastAsia" w:eastAsiaTheme="majorEastAsia"/>
          <w:color w:val="auto"/>
          <w:spacing w:val="2"/>
          <w:sz w:val="21"/>
          <w:szCs w:val="21"/>
          <w:highlight w:val="none"/>
          <w:lang w:eastAsia="zh-CN"/>
        </w:rPr>
        <w:t>响应人</w:t>
      </w:r>
      <w:r>
        <w:rPr>
          <w:rFonts w:asciiTheme="majorEastAsia" w:hAnsiTheme="majorEastAsia" w:eastAsiaTheme="majorEastAsia"/>
          <w:color w:val="auto"/>
          <w:spacing w:val="2"/>
          <w:sz w:val="21"/>
          <w:szCs w:val="21"/>
          <w:highlight w:val="none"/>
        </w:rPr>
        <w:t>分别就技术、服务等内容进行磋商，确定其是否满足磋商要求，对磋商响应文件中含义不明确的内容磋商小组可要求</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进行澄清说明，磋商文件如有实质性变动的，磋商小组应当以书面形式通知所有参加磋商的</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18.10</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填写有关第二次报价内容（最后总报价）</w:t>
      </w:r>
      <w:r>
        <w:rPr>
          <w:rFonts w:hint="eastAsia" w:asciiTheme="majorEastAsia" w:hAnsiTheme="majorEastAsia" w:eastAsiaTheme="majorEastAsia"/>
          <w:color w:val="auto"/>
          <w:spacing w:val="2"/>
          <w:sz w:val="21"/>
          <w:szCs w:val="21"/>
          <w:highlight w:val="none"/>
        </w:rPr>
        <w:t>（</w:t>
      </w:r>
      <w:r>
        <w:rPr>
          <w:rFonts w:asciiTheme="majorEastAsia" w:hAnsiTheme="majorEastAsia" w:eastAsiaTheme="majorEastAsia"/>
          <w:color w:val="auto"/>
          <w:spacing w:val="2"/>
          <w:sz w:val="21"/>
          <w:szCs w:val="21"/>
          <w:highlight w:val="none"/>
        </w:rPr>
        <w:t>除因磋商文件修改导致成本增加，二次报价不得超过第一次报价，否则为无效响应报价</w:t>
      </w:r>
      <w:r>
        <w:rPr>
          <w:rFonts w:hint="eastAsia" w:asciiTheme="majorEastAsia" w:hAnsiTheme="majorEastAsia" w:eastAsiaTheme="majorEastAsia"/>
          <w:color w:val="auto"/>
          <w:spacing w:val="2"/>
          <w:sz w:val="21"/>
          <w:szCs w:val="21"/>
          <w:highlight w:val="none"/>
        </w:rPr>
        <w:t>）</w:t>
      </w:r>
      <w:r>
        <w:rPr>
          <w:rFonts w:asciiTheme="majorEastAsia" w:hAnsiTheme="majorEastAsia" w:eastAsiaTheme="majorEastAsia"/>
          <w:color w:val="auto"/>
          <w:spacing w:val="2"/>
          <w:sz w:val="21"/>
          <w:szCs w:val="21"/>
          <w:highlight w:val="none"/>
        </w:rPr>
        <w:t>，并在最后一个</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磋商结束后十五分钟内同时递交第二次报价表（此表由</w:t>
      </w:r>
      <w:r>
        <w:rPr>
          <w:rFonts w:hint="eastAsia" w:asciiTheme="majorEastAsia" w:hAnsiTheme="majorEastAsia" w:eastAsiaTheme="majorEastAsia"/>
          <w:color w:val="auto"/>
          <w:spacing w:val="2"/>
          <w:sz w:val="21"/>
          <w:szCs w:val="21"/>
          <w:highlight w:val="none"/>
        </w:rPr>
        <w:t>采购</w:t>
      </w:r>
      <w:r>
        <w:rPr>
          <w:rFonts w:asciiTheme="majorEastAsia" w:hAnsiTheme="majorEastAsia" w:eastAsiaTheme="majorEastAsia"/>
          <w:color w:val="auto"/>
          <w:spacing w:val="2"/>
          <w:sz w:val="21"/>
          <w:szCs w:val="21"/>
          <w:highlight w:val="none"/>
        </w:rPr>
        <w:t>代理机构提供）；如未按上述时间递交承诺函的</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，将作为自动放弃此次磋商，最后总报价超采购预算或采购最高限价的磋商</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不具备成交资格。</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18.11磋商小组根据</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的承诺、响应程度和</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的最后总报价进行按磋商文件规定的评审办法进行评审并给出评审意见。</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18.12磋商小组根据磋商成交原则确定</w:t>
      </w:r>
      <w:r>
        <w:rPr>
          <w:rFonts w:hint="eastAsia" w:asciiTheme="majorEastAsia" w:hAnsiTheme="majorEastAsia" w:eastAsiaTheme="majorEastAsia"/>
          <w:color w:val="auto"/>
          <w:spacing w:val="2"/>
          <w:sz w:val="21"/>
          <w:szCs w:val="21"/>
          <w:highlight w:val="none"/>
          <w:lang w:eastAsia="zh-CN"/>
        </w:rPr>
        <w:t>中标响应人</w:t>
      </w:r>
      <w:r>
        <w:rPr>
          <w:rFonts w:asciiTheme="majorEastAsia" w:hAnsiTheme="majorEastAsia" w:eastAsiaTheme="majorEastAsia"/>
          <w:color w:val="auto"/>
          <w:spacing w:val="2"/>
          <w:sz w:val="21"/>
          <w:szCs w:val="21"/>
          <w:highlight w:val="none"/>
        </w:rPr>
        <w:t>，并将结果通知所有参加磋商的未成交的</w:t>
      </w:r>
      <w:r>
        <w:rPr>
          <w:rFonts w:hint="eastAsia" w:asciiTheme="majorEastAsia" w:hAnsiTheme="majorEastAsia" w:eastAsiaTheme="majorEastAsia"/>
          <w:color w:val="auto"/>
          <w:spacing w:val="2"/>
          <w:sz w:val="21"/>
          <w:szCs w:val="21"/>
          <w:highlight w:val="none"/>
          <w:lang w:eastAsia="zh-CN"/>
        </w:rPr>
        <w:t>响应人</w:t>
      </w:r>
      <w:r>
        <w:rPr>
          <w:rFonts w:asciiTheme="majorEastAsia" w:hAnsiTheme="majorEastAsia" w:eastAsiaTheme="majorEastAsia"/>
          <w:color w:val="auto"/>
          <w:spacing w:val="2"/>
          <w:sz w:val="21"/>
          <w:szCs w:val="21"/>
          <w:highlight w:val="none"/>
        </w:rPr>
        <w:t>。</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18.13磋商小组认为响应人的报价明显低于其他通过符合性审查响应人的报价，有可能影响产品质量或者不能诚信履约的，应当要求其在评标现场合理的时间内提供书面说明，必要时提交相关证明材料；响应人不能证明其报价合理性的，磋商小组应当将其作为无效投标处理。</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18.14磋商小组各成员应当在评审报告上签字，对自己的评审意见承担法律责任。对需要共同认定的事项存在争议的，应当按照少数服从多数的原则作出结论。持不同意见的磋商小组成员应当在评标报告上签署不同意见及理由，否则视为同意评标报告。</w:t>
      </w:r>
    </w:p>
    <w:p>
      <w:pPr>
        <w:spacing w:line="400" w:lineRule="exact"/>
        <w:ind w:firstLine="417"/>
        <w:rPr>
          <w:rFonts w:asciiTheme="majorEastAsia" w:hAnsiTheme="majorEastAsia" w:eastAsiaTheme="majorEastAsia"/>
          <w:color w:val="auto"/>
          <w:sz w:val="21"/>
          <w:szCs w:val="21"/>
          <w:highlight w:val="none"/>
        </w:rPr>
      </w:pPr>
      <w:r>
        <w:rPr>
          <w:rFonts w:asciiTheme="majorEastAsia" w:hAnsiTheme="majorEastAsia" w:eastAsiaTheme="majorEastAsia"/>
          <w:color w:val="auto"/>
          <w:spacing w:val="2"/>
          <w:sz w:val="21"/>
          <w:szCs w:val="21"/>
          <w:highlight w:val="none"/>
        </w:rPr>
        <w:t>18.15如磋商过程中出现本采购磋商文件未尽事宜，由磋商小组根据有关法律、法规讨论决定。</w:t>
      </w:r>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十九、响应文件出现下列情况之一的，将作为无效响应文件处理，无效响应文件不予参加评审。</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19.1响应文件未按规定标志、密封、盖章的；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19.2响应文件未加盖响应人公章的；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19.3授权委托书无响应人公章、法定代表人的印鉴（或签名），或委托书非原件的；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19.4响应人未通过报名的或者在名称上和法人地位上与报名情况发生实质性的改变的；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19.5响应人不符合磋商文件中规定资格要求的，或者资格要求证明材料提供不齐全的；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19.6响应文件未按磋商文件规定的格式、内容和要求编制，响应文件字迹潦草、模糊、难以辨认；</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19.7响应人在一份响应文件中，对同一采购项目报有两个或多个报价，且未书面确定以哪个报价为准的；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19.8响应人在磋商报价中存在严重错误，并影响对其他响应人的评分的；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19.9响应文件材料所述情况和所附相关资料不实的；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19.10响应人以他人的名义投标、串通投标、以行贿手段谋取中标或者以其他弄虚作假方式投标的。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19.11逾期送达的响应文件；</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19.12未按磋商文件规定的方式和时间缴至指定帐户的（达到免收保证金条件的此款忽略）；</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19.13响应人的最终磋商报价超出最高限价；</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19.14</w:t>
      </w:r>
      <w:r>
        <w:rPr>
          <w:rFonts w:hint="eastAsia" w:cs="宋体" w:asciiTheme="majorEastAsia" w:hAnsiTheme="majorEastAsia" w:eastAsiaTheme="majorEastAsia"/>
          <w:color w:val="auto"/>
          <w:sz w:val="21"/>
          <w:szCs w:val="21"/>
          <w:highlight w:val="none"/>
          <w:lang w:eastAsia="zh-CN"/>
        </w:rPr>
        <w:t>响应文件</w:t>
      </w:r>
      <w:r>
        <w:rPr>
          <w:rFonts w:hint="eastAsia" w:cs="宋体" w:asciiTheme="majorEastAsia" w:hAnsiTheme="majorEastAsia" w:eastAsiaTheme="majorEastAsia"/>
          <w:color w:val="auto"/>
          <w:sz w:val="21"/>
          <w:szCs w:val="21"/>
          <w:highlight w:val="none"/>
        </w:rPr>
        <w:t>的已标价工程量清单与采购文件提供的工程量清单中的项目编码、项目名称、项目特征、计量单位、工程量不一致的</w:t>
      </w:r>
      <w:r>
        <w:rPr>
          <w:rFonts w:hint="eastAsia" w:cs="宋体" w:asciiTheme="majorEastAsia" w:hAnsiTheme="majorEastAsia" w:eastAsiaTheme="majorEastAsia"/>
          <w:color w:val="auto"/>
          <w:sz w:val="21"/>
          <w:szCs w:val="21"/>
          <w:highlight w:val="none"/>
          <w:lang w:eastAsia="zh-CN"/>
        </w:rPr>
        <w:t>（</w:t>
      </w:r>
      <w:r>
        <w:rPr>
          <w:rFonts w:hint="eastAsia" w:cs="宋体" w:asciiTheme="majorEastAsia" w:hAnsiTheme="majorEastAsia" w:eastAsiaTheme="majorEastAsia"/>
          <w:color w:val="auto"/>
          <w:sz w:val="21"/>
          <w:szCs w:val="21"/>
          <w:highlight w:val="none"/>
          <w:lang w:val="en-US" w:eastAsia="zh-CN"/>
        </w:rPr>
        <w:t>如有</w:t>
      </w:r>
      <w:r>
        <w:rPr>
          <w:rFonts w:hint="eastAsia" w:cs="宋体" w:asciiTheme="majorEastAsia" w:hAnsiTheme="majorEastAsia" w:eastAsiaTheme="majorEastAsia"/>
          <w:color w:val="auto"/>
          <w:sz w:val="21"/>
          <w:szCs w:val="21"/>
          <w:highlight w:val="none"/>
          <w:lang w:eastAsia="zh-CN"/>
        </w:rPr>
        <w:t>）</w:t>
      </w:r>
      <w:r>
        <w:rPr>
          <w:rFonts w:hint="eastAsia" w:cs="宋体" w:asciiTheme="majorEastAsia" w:hAnsiTheme="majorEastAsia" w:eastAsiaTheme="majorEastAsia"/>
          <w:color w:val="auto"/>
          <w:sz w:val="21"/>
          <w:szCs w:val="21"/>
          <w:highlight w:val="none"/>
        </w:rPr>
        <w:t>；</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19.15磋商文件明确规定无效的其他情形，或者其他被磋商小组认定无效的情况；</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19.16磋商文件中约定的其他无效标要求。</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19.17不符合法律、法规和</w:t>
      </w:r>
      <w:r>
        <w:rPr>
          <w:rFonts w:hint="eastAsia" w:cs="宋体" w:asciiTheme="majorEastAsia" w:hAnsiTheme="majorEastAsia" w:eastAsiaTheme="majorEastAsia"/>
          <w:color w:val="auto"/>
          <w:sz w:val="21"/>
          <w:szCs w:val="21"/>
          <w:highlight w:val="none"/>
        </w:rPr>
        <w:t>磋商文件</w:t>
      </w:r>
      <w:r>
        <w:rPr>
          <w:rFonts w:asciiTheme="majorEastAsia" w:hAnsiTheme="majorEastAsia" w:eastAsiaTheme="majorEastAsia"/>
          <w:color w:val="auto"/>
          <w:sz w:val="21"/>
          <w:szCs w:val="21"/>
          <w:highlight w:val="none"/>
        </w:rPr>
        <w:t>规定的其他实质性要求的。</w:t>
      </w:r>
    </w:p>
    <w:p>
      <w:pPr>
        <w:snapToGrid w:val="0"/>
        <w:spacing w:line="400" w:lineRule="exact"/>
        <w:rPr>
          <w:rFonts w:hint="eastAsia" w:asciiTheme="majorEastAsia" w:hAnsiTheme="majorEastAsia" w:eastAsiaTheme="majorEastAsia"/>
          <w:bCs/>
          <w:color w:val="auto"/>
          <w:sz w:val="21"/>
          <w:szCs w:val="21"/>
          <w:highlight w:val="none"/>
          <w:lang w:eastAsia="zh-CN"/>
        </w:rPr>
      </w:pPr>
      <w:bookmarkStart w:id="46" w:name="_Toc288738424"/>
      <w:bookmarkEnd w:id="46"/>
      <w:bookmarkStart w:id="47" w:name="_Toc288738818"/>
      <w:bookmarkEnd w:id="47"/>
      <w:bookmarkStart w:id="48" w:name="_Toc288738350"/>
      <w:r>
        <w:rPr>
          <w:rFonts w:asciiTheme="majorEastAsia" w:hAnsiTheme="majorEastAsia" w:eastAsiaTheme="majorEastAsia"/>
          <w:bCs/>
          <w:color w:val="auto"/>
          <w:sz w:val="21"/>
          <w:szCs w:val="21"/>
          <w:highlight w:val="none"/>
        </w:rPr>
        <w:t>二十、</w:t>
      </w:r>
      <w:bookmarkEnd w:id="48"/>
      <w:r>
        <w:rPr>
          <w:rFonts w:asciiTheme="majorEastAsia" w:hAnsiTheme="majorEastAsia" w:eastAsiaTheme="majorEastAsia"/>
          <w:bCs/>
          <w:color w:val="auto"/>
          <w:sz w:val="21"/>
          <w:szCs w:val="21"/>
          <w:highlight w:val="none"/>
        </w:rPr>
        <w:t>确定</w:t>
      </w:r>
      <w:r>
        <w:rPr>
          <w:rFonts w:hint="eastAsia" w:asciiTheme="majorEastAsia" w:hAnsiTheme="majorEastAsia" w:eastAsiaTheme="majorEastAsia"/>
          <w:bCs/>
          <w:color w:val="auto"/>
          <w:sz w:val="21"/>
          <w:szCs w:val="21"/>
          <w:highlight w:val="none"/>
          <w:lang w:eastAsia="zh-CN"/>
        </w:rPr>
        <w:t>中标响应人</w:t>
      </w:r>
    </w:p>
    <w:p>
      <w:pPr>
        <w:snapToGrid w:val="0"/>
        <w:spacing w:line="400" w:lineRule="exact"/>
        <w:ind w:firstLine="420" w:firstLineChars="200"/>
        <w:rPr>
          <w:rFonts w:asciiTheme="majorEastAsia" w:hAnsiTheme="majorEastAsia" w:eastAsiaTheme="majorEastAsia"/>
          <w:color w:val="auto"/>
          <w:sz w:val="21"/>
          <w:szCs w:val="21"/>
          <w:highlight w:val="none"/>
        </w:rPr>
      </w:pPr>
      <w:bookmarkStart w:id="49" w:name="_Toc288738351"/>
      <w:bookmarkEnd w:id="49"/>
      <w:bookmarkStart w:id="50" w:name="_Toc288738819"/>
      <w:bookmarkEnd w:id="50"/>
      <w:bookmarkStart w:id="51" w:name="_Toc288738425"/>
      <w:r>
        <w:rPr>
          <w:rFonts w:asciiTheme="majorEastAsia" w:hAnsiTheme="majorEastAsia" w:eastAsiaTheme="majorEastAsia"/>
          <w:color w:val="auto"/>
          <w:sz w:val="21"/>
          <w:szCs w:val="21"/>
          <w:highlight w:val="none"/>
        </w:rPr>
        <w:t>20.1磋商小组应当根据综合评分情况，按照评审得分由高到低顺序推荐3名以上成交候选响应人，并编写评审报告。评审得分且最后报价相同的，</w:t>
      </w:r>
      <w:bookmarkEnd w:id="51"/>
      <w:r>
        <w:rPr>
          <w:rFonts w:asciiTheme="majorEastAsia" w:hAnsiTheme="majorEastAsia" w:eastAsiaTheme="majorEastAsia"/>
          <w:bCs/>
          <w:color w:val="auto"/>
          <w:sz w:val="21"/>
          <w:szCs w:val="21"/>
          <w:highlight w:val="none"/>
        </w:rPr>
        <w:t>则采取随机抽取方式确定</w:t>
      </w:r>
      <w:r>
        <w:rPr>
          <w:rFonts w:asciiTheme="majorEastAsia" w:hAnsiTheme="majorEastAsia" w:eastAsiaTheme="majorEastAsia"/>
          <w:color w:val="auto"/>
          <w:sz w:val="21"/>
          <w:szCs w:val="21"/>
          <w:highlight w:val="none"/>
        </w:rPr>
        <w:t>。</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20.</w:t>
      </w:r>
      <w:r>
        <w:rPr>
          <w:rFonts w:hint="eastAsia" w:asciiTheme="majorEastAsia" w:hAnsiTheme="majorEastAsia" w:eastAsiaTheme="majorEastAsia"/>
          <w:color w:val="auto"/>
          <w:sz w:val="21"/>
          <w:szCs w:val="21"/>
          <w:highlight w:val="none"/>
        </w:rPr>
        <w:t>2</w:t>
      </w:r>
      <w:r>
        <w:rPr>
          <w:rFonts w:asciiTheme="majorEastAsia" w:hAnsiTheme="majorEastAsia" w:eastAsiaTheme="majorEastAsia"/>
          <w:color w:val="auto"/>
          <w:sz w:val="21"/>
          <w:szCs w:val="21"/>
          <w:highlight w:val="none"/>
        </w:rPr>
        <w:t>采购人将确定排名第一的成交候选人为</w:t>
      </w:r>
      <w:r>
        <w:rPr>
          <w:rFonts w:hint="eastAsia" w:asciiTheme="majorEastAsia" w:hAnsiTheme="majorEastAsia" w:eastAsiaTheme="majorEastAsia"/>
          <w:color w:val="auto"/>
          <w:sz w:val="21"/>
          <w:szCs w:val="21"/>
          <w:highlight w:val="none"/>
          <w:lang w:eastAsia="zh-CN"/>
        </w:rPr>
        <w:t>中标响应人</w:t>
      </w:r>
      <w:r>
        <w:rPr>
          <w:rFonts w:asciiTheme="majorEastAsia" w:hAnsiTheme="majorEastAsia" w:eastAsiaTheme="majorEastAsia"/>
          <w:color w:val="auto"/>
          <w:sz w:val="21"/>
          <w:szCs w:val="21"/>
          <w:highlight w:val="none"/>
        </w:rPr>
        <w:t>并向其授予合同。</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20.</w:t>
      </w:r>
      <w:r>
        <w:rPr>
          <w:rFonts w:hint="eastAsia" w:asciiTheme="majorEastAsia" w:hAnsiTheme="majorEastAsia" w:eastAsiaTheme="majorEastAsia"/>
          <w:color w:val="auto"/>
          <w:sz w:val="21"/>
          <w:szCs w:val="21"/>
          <w:highlight w:val="none"/>
        </w:rPr>
        <w:t>3</w:t>
      </w:r>
      <w:r>
        <w:rPr>
          <w:rFonts w:asciiTheme="majorEastAsia" w:hAnsiTheme="majorEastAsia" w:eastAsiaTheme="majorEastAsia"/>
          <w:color w:val="auto"/>
          <w:sz w:val="21"/>
          <w:szCs w:val="21"/>
          <w:highlight w:val="none"/>
        </w:rPr>
        <w:t>采购人也可授权磋商小组按本条规定直接确定</w:t>
      </w:r>
      <w:r>
        <w:rPr>
          <w:rFonts w:hint="eastAsia" w:asciiTheme="majorEastAsia" w:hAnsiTheme="majorEastAsia" w:eastAsiaTheme="majorEastAsia"/>
          <w:color w:val="auto"/>
          <w:sz w:val="21"/>
          <w:szCs w:val="21"/>
          <w:highlight w:val="none"/>
          <w:lang w:eastAsia="zh-CN"/>
        </w:rPr>
        <w:t>中标响应人</w:t>
      </w:r>
      <w:r>
        <w:rPr>
          <w:rFonts w:asciiTheme="majorEastAsia" w:hAnsiTheme="majorEastAsia" w:eastAsiaTheme="majorEastAsia"/>
          <w:color w:val="auto"/>
          <w:sz w:val="21"/>
          <w:szCs w:val="21"/>
          <w:highlight w:val="none"/>
        </w:rPr>
        <w:t>。</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20.</w:t>
      </w:r>
      <w:r>
        <w:rPr>
          <w:rFonts w:hint="eastAsia" w:asciiTheme="majorEastAsia" w:hAnsiTheme="majorEastAsia" w:eastAsiaTheme="majorEastAsia"/>
          <w:color w:val="auto"/>
          <w:sz w:val="21"/>
          <w:szCs w:val="21"/>
          <w:highlight w:val="none"/>
        </w:rPr>
        <w:t>4</w:t>
      </w:r>
      <w:r>
        <w:rPr>
          <w:rFonts w:asciiTheme="majorEastAsia" w:hAnsiTheme="majorEastAsia" w:eastAsiaTheme="majorEastAsia"/>
          <w:color w:val="auto"/>
          <w:sz w:val="21"/>
          <w:szCs w:val="21"/>
          <w:highlight w:val="none"/>
        </w:rPr>
        <w:t>除资格性检查认定错误、分值汇总计算错误、分项评分超出评分标准范围、客观分评分不一致、经磋商小组一致认定评分畸高、畸低的情形外，采购人或者采购代理机构不得以任何理由组织重新评审。采购人、采购代理机构发现磋商小组未按照磋商文件规定的评审标准进行评审的，应当重新开展采购活动，并同时书面报告本级监督部门。</w:t>
      </w:r>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二十一、响应文件的澄清</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21.1为了有助于响应文件的审查、评价和比较，磋商小组可以书面方式要求响应人对响应文件中含义不明确、对同类问题表述不一致或者明显文字和计算错误的内容作必要的澄清、说明或者补正。响应人的澄清、说明或者补正应以书面方式进行并不得超出响应文件的范围或者改变响应文件的实质性内容。</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21.2响应文件中的大写金额和小写金额不一致时的，以大写金额为准；单价乘数量不等于总价，数量符合磋商文件要求，以单价计算金额为准；单价金额小数点有明细错位的，应以总价为准，并修改单价；</w:t>
      </w:r>
      <w:r>
        <w:rPr>
          <w:rFonts w:asciiTheme="majorEastAsia" w:hAnsiTheme="majorEastAsia" w:eastAsiaTheme="majorEastAsia"/>
          <w:bCs/>
          <w:color w:val="auto"/>
          <w:sz w:val="21"/>
          <w:szCs w:val="21"/>
          <w:highlight w:val="none"/>
        </w:rPr>
        <w:t>缺项漏项或者数量不符合磋商文件要求的作为无效响应文件处理；</w:t>
      </w:r>
      <w:r>
        <w:rPr>
          <w:rFonts w:asciiTheme="majorEastAsia" w:hAnsiTheme="majorEastAsia" w:eastAsiaTheme="majorEastAsia"/>
          <w:color w:val="auto"/>
          <w:sz w:val="21"/>
          <w:szCs w:val="21"/>
          <w:highlight w:val="none"/>
        </w:rPr>
        <w:t>对不同文字文本响应文件的解释发生异议的，以中文文本为准。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21.3所有澄清或说明必须以书面方式正式为之，由法定代表人或其代理人的签名或盖章。</w:t>
      </w:r>
    </w:p>
    <w:p>
      <w:pPr>
        <w:snapToGrid w:val="0"/>
        <w:spacing w:line="400" w:lineRule="exact"/>
        <w:rPr>
          <w:rFonts w:asciiTheme="majorEastAsia" w:hAnsiTheme="majorEastAsia" w:eastAsiaTheme="majorEastAsia"/>
          <w:bCs/>
          <w:color w:val="auto"/>
          <w:sz w:val="21"/>
          <w:szCs w:val="21"/>
          <w:highlight w:val="none"/>
        </w:rPr>
      </w:pPr>
      <w:bookmarkStart w:id="52" w:name="_Toc288738352"/>
      <w:bookmarkEnd w:id="52"/>
      <w:bookmarkStart w:id="53" w:name="_Toc288738426"/>
      <w:bookmarkEnd w:id="53"/>
      <w:bookmarkStart w:id="54" w:name="_Toc288738820"/>
      <w:r>
        <w:rPr>
          <w:rFonts w:asciiTheme="majorEastAsia" w:hAnsiTheme="majorEastAsia" w:eastAsiaTheme="majorEastAsia"/>
          <w:bCs/>
          <w:color w:val="auto"/>
          <w:sz w:val="21"/>
          <w:szCs w:val="21"/>
          <w:highlight w:val="none"/>
        </w:rPr>
        <w:t>二十二、评审中作为终止竞争性磋商活动的情况</w:t>
      </w:r>
      <w:bookmarkEnd w:id="54"/>
    </w:p>
    <w:p>
      <w:pPr>
        <w:snapToGrid w:val="0"/>
        <w:spacing w:line="400" w:lineRule="exact"/>
        <w:ind w:firstLine="420" w:firstLineChars="200"/>
        <w:rPr>
          <w:rFonts w:asciiTheme="majorEastAsia" w:hAnsiTheme="majorEastAsia" w:eastAsiaTheme="majorEastAsia"/>
          <w:color w:val="auto"/>
          <w:sz w:val="21"/>
          <w:szCs w:val="21"/>
          <w:highlight w:val="none"/>
        </w:rPr>
      </w:pPr>
      <w:bookmarkStart w:id="55" w:name="_Toc288738354"/>
      <w:bookmarkEnd w:id="55"/>
      <w:bookmarkStart w:id="56" w:name="_Toc288738822"/>
      <w:bookmarkEnd w:id="56"/>
      <w:bookmarkStart w:id="57" w:name="_Toc288738428"/>
      <w:r>
        <w:rPr>
          <w:rFonts w:asciiTheme="majorEastAsia" w:hAnsiTheme="majorEastAsia" w:eastAsiaTheme="majorEastAsia"/>
          <w:color w:val="auto"/>
          <w:sz w:val="21"/>
          <w:szCs w:val="21"/>
          <w:highlight w:val="none"/>
        </w:rPr>
        <w:t>22.1在磋商过程中，磋商小组发现有下列情形之一的，应当终止竞争性磋商采购活动：</w:t>
      </w:r>
      <w:bookmarkEnd w:id="57"/>
    </w:p>
    <w:p>
      <w:pPr>
        <w:snapToGrid w:val="0"/>
        <w:spacing w:line="400" w:lineRule="exact"/>
        <w:ind w:firstLine="1050" w:firstLineChars="5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w:t>
      </w:r>
      <w:r>
        <w:rPr>
          <w:rFonts w:hint="eastAsia" w:asciiTheme="majorEastAsia" w:hAnsiTheme="majorEastAsia" w:eastAsiaTheme="majorEastAsia"/>
          <w:color w:val="auto"/>
          <w:sz w:val="21"/>
          <w:szCs w:val="21"/>
          <w:highlight w:val="none"/>
        </w:rPr>
        <w:t>）</w:t>
      </w:r>
      <w:r>
        <w:rPr>
          <w:rFonts w:asciiTheme="majorEastAsia" w:hAnsiTheme="majorEastAsia" w:eastAsiaTheme="majorEastAsia"/>
          <w:color w:val="auto"/>
          <w:sz w:val="21"/>
          <w:szCs w:val="21"/>
          <w:highlight w:val="none"/>
        </w:rPr>
        <w:t>因情况变化，不再符合规定的竞争性磋商</w:t>
      </w:r>
      <w:r>
        <w:rPr>
          <w:rFonts w:hint="eastAsia" w:asciiTheme="majorEastAsia" w:hAnsiTheme="majorEastAsia" w:eastAsiaTheme="majorEastAsia"/>
          <w:color w:val="auto"/>
          <w:sz w:val="21"/>
          <w:szCs w:val="21"/>
          <w:highlight w:val="none"/>
          <w:lang w:eastAsia="zh-CN"/>
        </w:rPr>
        <w:t>采购人</w:t>
      </w:r>
      <w:r>
        <w:rPr>
          <w:rFonts w:asciiTheme="majorEastAsia" w:hAnsiTheme="majorEastAsia" w:eastAsiaTheme="majorEastAsia"/>
          <w:color w:val="auto"/>
          <w:sz w:val="21"/>
          <w:szCs w:val="21"/>
          <w:highlight w:val="none"/>
        </w:rPr>
        <w:t>式适用情形的；</w:t>
      </w:r>
    </w:p>
    <w:p>
      <w:pPr>
        <w:snapToGrid w:val="0"/>
        <w:spacing w:line="400" w:lineRule="exact"/>
        <w:ind w:firstLine="1050" w:firstLineChars="5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w:t>
      </w:r>
      <w:r>
        <w:rPr>
          <w:rFonts w:hint="eastAsia" w:asciiTheme="majorEastAsia" w:hAnsiTheme="majorEastAsia" w:eastAsiaTheme="majorEastAsia"/>
          <w:color w:val="auto"/>
          <w:sz w:val="21"/>
          <w:szCs w:val="21"/>
          <w:highlight w:val="none"/>
        </w:rPr>
        <w:t>）</w:t>
      </w:r>
      <w:r>
        <w:rPr>
          <w:rFonts w:asciiTheme="majorEastAsia" w:hAnsiTheme="majorEastAsia" w:eastAsiaTheme="majorEastAsia"/>
          <w:color w:val="auto"/>
          <w:sz w:val="21"/>
          <w:szCs w:val="21"/>
          <w:highlight w:val="none"/>
        </w:rPr>
        <w:t>出现影响采购公正的违法、违规行为的；</w:t>
      </w:r>
    </w:p>
    <w:p>
      <w:pPr>
        <w:snapToGrid w:val="0"/>
        <w:spacing w:line="400" w:lineRule="exact"/>
        <w:ind w:firstLine="1050" w:firstLineChars="5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竞争性磋商采购活动终止后，磋商小组应作出书面报告。</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22.2在采购活动中因重大变故，采购任务取消的，采购人或者采购代理机构应当终止采购活动，通知所有参加采购活动的响应人，并将项目实施情况和采购任务取消原因报送本级监督部门。</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22.3终止后，采购代理机构应当将终止原因通知所有响应人。</w:t>
      </w:r>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二十三、成交通知</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23.1采购人或者采购代理机构应当在</w:t>
      </w:r>
      <w:r>
        <w:rPr>
          <w:rFonts w:hint="eastAsia" w:asciiTheme="majorEastAsia" w:hAnsiTheme="majorEastAsia" w:eastAsiaTheme="majorEastAsia"/>
          <w:color w:val="auto"/>
          <w:sz w:val="21"/>
          <w:szCs w:val="21"/>
          <w:highlight w:val="none"/>
          <w:lang w:eastAsia="zh-CN"/>
        </w:rPr>
        <w:t>中标响应人</w:t>
      </w:r>
      <w:r>
        <w:rPr>
          <w:rFonts w:asciiTheme="majorEastAsia" w:hAnsiTheme="majorEastAsia" w:eastAsiaTheme="majorEastAsia"/>
          <w:color w:val="auto"/>
          <w:sz w:val="21"/>
          <w:szCs w:val="21"/>
          <w:highlight w:val="none"/>
        </w:rPr>
        <w:t>确定后2个工作日内，在指定信息发布媒体上公告成交结果，公示无异议后向</w:t>
      </w:r>
      <w:r>
        <w:rPr>
          <w:rFonts w:hint="eastAsia" w:asciiTheme="majorEastAsia" w:hAnsiTheme="majorEastAsia" w:eastAsiaTheme="majorEastAsia"/>
          <w:color w:val="auto"/>
          <w:sz w:val="21"/>
          <w:szCs w:val="21"/>
          <w:highlight w:val="none"/>
          <w:lang w:eastAsia="zh-CN"/>
        </w:rPr>
        <w:t>中标响应人</w:t>
      </w:r>
      <w:r>
        <w:rPr>
          <w:rFonts w:asciiTheme="majorEastAsia" w:hAnsiTheme="majorEastAsia" w:eastAsiaTheme="majorEastAsia"/>
          <w:color w:val="auto"/>
          <w:sz w:val="21"/>
          <w:szCs w:val="21"/>
          <w:highlight w:val="none"/>
        </w:rPr>
        <w:t>发出成交通知书，但该成交结果的有效性不依赖于未成交的响应人是否已经收到该通知。成交通知书对采购人和</w:t>
      </w:r>
      <w:r>
        <w:rPr>
          <w:rFonts w:hint="eastAsia" w:asciiTheme="majorEastAsia" w:hAnsiTheme="majorEastAsia" w:eastAsiaTheme="majorEastAsia"/>
          <w:color w:val="auto"/>
          <w:sz w:val="21"/>
          <w:szCs w:val="21"/>
          <w:highlight w:val="none"/>
          <w:lang w:eastAsia="zh-CN"/>
        </w:rPr>
        <w:t>中标响应人</w:t>
      </w:r>
      <w:r>
        <w:rPr>
          <w:rFonts w:asciiTheme="majorEastAsia" w:hAnsiTheme="majorEastAsia" w:eastAsiaTheme="majorEastAsia"/>
          <w:color w:val="auto"/>
          <w:sz w:val="21"/>
          <w:szCs w:val="21"/>
          <w:highlight w:val="none"/>
        </w:rPr>
        <w:t>具有同等法律效力。成交通知书发出以后，采购人改变成交结果或者</w:t>
      </w:r>
      <w:r>
        <w:rPr>
          <w:rFonts w:hint="eastAsia" w:asciiTheme="majorEastAsia" w:hAnsiTheme="majorEastAsia" w:eastAsiaTheme="majorEastAsia"/>
          <w:color w:val="auto"/>
          <w:sz w:val="21"/>
          <w:szCs w:val="21"/>
          <w:highlight w:val="none"/>
          <w:lang w:eastAsia="zh-CN"/>
        </w:rPr>
        <w:t>中标响应人</w:t>
      </w:r>
      <w:r>
        <w:rPr>
          <w:rFonts w:asciiTheme="majorEastAsia" w:hAnsiTheme="majorEastAsia" w:eastAsiaTheme="majorEastAsia"/>
          <w:color w:val="auto"/>
          <w:sz w:val="21"/>
          <w:szCs w:val="21"/>
          <w:highlight w:val="none"/>
        </w:rPr>
        <w:t>放弃成交，应当承担相应的法律责任。</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23.2采购代理机构同时向其他响应人发出未成交通知书。</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23.3成交通知书是合同的组成部分。</w:t>
      </w:r>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二十四、签订合同</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24.1采购人与</w:t>
      </w:r>
      <w:r>
        <w:rPr>
          <w:rFonts w:hint="eastAsia" w:asciiTheme="majorEastAsia" w:hAnsiTheme="majorEastAsia" w:eastAsiaTheme="majorEastAsia"/>
          <w:color w:val="auto"/>
          <w:sz w:val="21"/>
          <w:szCs w:val="21"/>
          <w:highlight w:val="none"/>
          <w:lang w:eastAsia="zh-CN"/>
        </w:rPr>
        <w:t>中标响应人</w:t>
      </w:r>
      <w:r>
        <w:rPr>
          <w:rFonts w:asciiTheme="majorEastAsia" w:hAnsiTheme="majorEastAsia" w:eastAsiaTheme="majorEastAsia"/>
          <w:color w:val="auto"/>
          <w:sz w:val="21"/>
          <w:szCs w:val="21"/>
          <w:highlight w:val="none"/>
        </w:rPr>
        <w:t>应当在成交通知书发出之日起30个日内，按照磋商文件确定的合同文本以及采购标的、规格型号、采购金额、采购数量、技术和服务要求等事项签订合同。采购人不得向</w:t>
      </w:r>
      <w:r>
        <w:rPr>
          <w:rFonts w:hint="eastAsia" w:asciiTheme="majorEastAsia" w:hAnsiTheme="majorEastAsia" w:eastAsiaTheme="majorEastAsia"/>
          <w:color w:val="auto"/>
          <w:sz w:val="21"/>
          <w:szCs w:val="21"/>
          <w:highlight w:val="none"/>
          <w:lang w:eastAsia="zh-CN"/>
        </w:rPr>
        <w:t>中标响应人</w:t>
      </w:r>
      <w:r>
        <w:rPr>
          <w:rFonts w:asciiTheme="majorEastAsia" w:hAnsiTheme="majorEastAsia" w:eastAsiaTheme="majorEastAsia"/>
          <w:color w:val="auto"/>
          <w:sz w:val="21"/>
          <w:szCs w:val="21"/>
          <w:highlight w:val="none"/>
        </w:rPr>
        <w:t>提出超出磋商文件以外的任何要求作为签订合同的条件，不得与</w:t>
      </w:r>
      <w:r>
        <w:rPr>
          <w:rFonts w:hint="eastAsia" w:asciiTheme="majorEastAsia" w:hAnsiTheme="majorEastAsia" w:eastAsiaTheme="majorEastAsia"/>
          <w:color w:val="auto"/>
          <w:sz w:val="21"/>
          <w:szCs w:val="21"/>
          <w:highlight w:val="none"/>
          <w:lang w:eastAsia="zh-CN"/>
        </w:rPr>
        <w:t>中标响应人</w:t>
      </w:r>
      <w:r>
        <w:rPr>
          <w:rFonts w:asciiTheme="majorEastAsia" w:hAnsiTheme="majorEastAsia" w:eastAsiaTheme="majorEastAsia"/>
          <w:color w:val="auto"/>
          <w:sz w:val="21"/>
          <w:szCs w:val="21"/>
          <w:highlight w:val="none"/>
        </w:rPr>
        <w:t>订立背离磋商文件确定的合同文本以及采购标的、规格型号、采购金额、采购数量、技术和服务要求等实质性内容的协议。</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24.2采购人如需追加与合同标的相同的货物，在不改变合同其他条款的前提下，</w:t>
      </w:r>
      <w:r>
        <w:rPr>
          <w:rFonts w:hint="eastAsia" w:asciiTheme="majorEastAsia" w:hAnsiTheme="majorEastAsia" w:eastAsiaTheme="majorEastAsia"/>
          <w:color w:val="auto"/>
          <w:sz w:val="21"/>
          <w:szCs w:val="21"/>
          <w:highlight w:val="none"/>
          <w:lang w:eastAsia="zh-CN"/>
        </w:rPr>
        <w:t>中标响应人</w:t>
      </w:r>
      <w:r>
        <w:rPr>
          <w:rFonts w:asciiTheme="majorEastAsia" w:hAnsiTheme="majorEastAsia" w:eastAsiaTheme="majorEastAsia"/>
          <w:color w:val="auto"/>
          <w:sz w:val="21"/>
          <w:szCs w:val="21"/>
          <w:highlight w:val="none"/>
        </w:rPr>
        <w:t>可与采购人协商签订补充合同，但所有补充合同的采购金额不得超过原合同金额的百分之十。</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24.</w:t>
      </w:r>
      <w:r>
        <w:rPr>
          <w:rFonts w:hint="eastAsia" w:asciiTheme="majorEastAsia" w:hAnsiTheme="majorEastAsia" w:eastAsiaTheme="majorEastAsia"/>
          <w:color w:val="auto"/>
          <w:sz w:val="21"/>
          <w:szCs w:val="21"/>
          <w:highlight w:val="none"/>
        </w:rPr>
        <w:t>3</w:t>
      </w:r>
      <w:r>
        <w:rPr>
          <w:rFonts w:hint="eastAsia" w:asciiTheme="majorEastAsia" w:hAnsiTheme="majorEastAsia" w:eastAsiaTheme="majorEastAsia"/>
          <w:color w:val="auto"/>
          <w:sz w:val="21"/>
          <w:szCs w:val="21"/>
          <w:highlight w:val="none"/>
          <w:lang w:eastAsia="zh-CN"/>
        </w:rPr>
        <w:t>中标响应人</w:t>
      </w:r>
      <w:r>
        <w:rPr>
          <w:rFonts w:asciiTheme="majorEastAsia" w:hAnsiTheme="majorEastAsia" w:eastAsiaTheme="majorEastAsia"/>
          <w:color w:val="auto"/>
          <w:sz w:val="21"/>
          <w:szCs w:val="21"/>
          <w:highlight w:val="none"/>
        </w:rPr>
        <w:t>一旦成交，及签订合同后，不得转包、分包，亦不得将合同全部及任何权利、义务向第三方转让，否则将被视为严重违约，采购代理机构有权决定按照</w:t>
      </w:r>
      <w:r>
        <w:rPr>
          <w:rFonts w:hint="eastAsia" w:asciiTheme="majorEastAsia" w:hAnsiTheme="majorEastAsia" w:eastAsiaTheme="majorEastAsia"/>
          <w:color w:val="auto"/>
          <w:sz w:val="21"/>
          <w:szCs w:val="21"/>
          <w:highlight w:val="none"/>
          <w:lang w:eastAsia="zh-CN"/>
        </w:rPr>
        <w:t>中标响应人</w:t>
      </w:r>
      <w:r>
        <w:rPr>
          <w:rFonts w:asciiTheme="majorEastAsia" w:hAnsiTheme="majorEastAsia" w:eastAsiaTheme="majorEastAsia"/>
          <w:color w:val="auto"/>
          <w:sz w:val="21"/>
          <w:szCs w:val="21"/>
          <w:highlight w:val="none"/>
        </w:rPr>
        <w:t>成交后终止或解除合同等依约处理。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24.</w:t>
      </w:r>
      <w:r>
        <w:rPr>
          <w:rFonts w:hint="eastAsia" w:asciiTheme="majorEastAsia" w:hAnsiTheme="majorEastAsia" w:eastAsiaTheme="majorEastAsia"/>
          <w:color w:val="auto"/>
          <w:sz w:val="21"/>
          <w:szCs w:val="21"/>
          <w:highlight w:val="none"/>
        </w:rPr>
        <w:t>4</w:t>
      </w:r>
      <w:r>
        <w:rPr>
          <w:rFonts w:asciiTheme="majorEastAsia" w:hAnsiTheme="majorEastAsia" w:eastAsiaTheme="majorEastAsia"/>
          <w:color w:val="auto"/>
          <w:sz w:val="21"/>
          <w:szCs w:val="21"/>
          <w:highlight w:val="none"/>
        </w:rPr>
        <w:t>违反24.1条、24.2的规定，给对方造成损失的，应承担赔偿责任。</w:t>
      </w:r>
    </w:p>
    <w:p>
      <w:pPr>
        <w:snapToGrid w:val="0"/>
        <w:spacing w:line="400" w:lineRule="exact"/>
        <w:rPr>
          <w:rFonts w:cs="宋体" w:asciiTheme="majorEastAsia" w:hAnsiTheme="majorEastAsia" w:eastAsiaTheme="majorEastAsia"/>
          <w:b/>
          <w:color w:val="auto"/>
          <w:sz w:val="21"/>
          <w:szCs w:val="21"/>
          <w:highlight w:val="none"/>
        </w:rPr>
      </w:pPr>
      <w:r>
        <w:rPr>
          <w:rFonts w:asciiTheme="majorEastAsia" w:hAnsiTheme="majorEastAsia" w:eastAsiaTheme="majorEastAsia"/>
          <w:bCs/>
          <w:color w:val="auto"/>
          <w:sz w:val="21"/>
          <w:szCs w:val="21"/>
          <w:highlight w:val="none"/>
        </w:rPr>
        <w:t>二十五、</w:t>
      </w:r>
      <w:r>
        <w:rPr>
          <w:rFonts w:asciiTheme="majorEastAsia" w:hAnsiTheme="majorEastAsia" w:eastAsiaTheme="majorEastAsia"/>
          <w:b/>
          <w:color w:val="auto"/>
          <w:sz w:val="21"/>
          <w:szCs w:val="21"/>
          <w:highlight w:val="none"/>
        </w:rPr>
        <w:t>询问、质疑、投诉</w:t>
      </w:r>
    </w:p>
    <w:p>
      <w:pPr>
        <w:snapToGrid w:val="0"/>
        <w:spacing w:line="400" w:lineRule="exact"/>
        <w:ind w:firstLine="422" w:firstLineChars="200"/>
        <w:rPr>
          <w:rFonts w:asciiTheme="majorEastAsia" w:hAnsiTheme="majorEastAsia" w:eastAsiaTheme="majorEastAsia"/>
          <w:b/>
          <w:color w:val="auto"/>
          <w:sz w:val="21"/>
          <w:szCs w:val="21"/>
          <w:highlight w:val="none"/>
        </w:rPr>
      </w:pPr>
      <w:r>
        <w:rPr>
          <w:rFonts w:asciiTheme="majorEastAsia" w:hAnsiTheme="majorEastAsia" w:eastAsiaTheme="majorEastAsia"/>
          <w:b/>
          <w:color w:val="auto"/>
          <w:sz w:val="21"/>
          <w:szCs w:val="21"/>
          <w:highlight w:val="none"/>
        </w:rPr>
        <w:t>25.1询问</w:t>
      </w:r>
    </w:p>
    <w:p>
      <w:pPr>
        <w:snapToGrid w:val="0"/>
        <w:spacing w:line="400" w:lineRule="exact"/>
        <w:ind w:firstLine="420" w:firstLineChars="200"/>
        <w:rPr>
          <w:rFonts w:asciiTheme="majorEastAsia" w:hAnsiTheme="majorEastAsia" w:eastAsiaTheme="majorEastAsia"/>
          <w:bCs/>
          <w:color w:val="auto"/>
          <w:sz w:val="21"/>
          <w:szCs w:val="21"/>
          <w:highlight w:val="none"/>
        </w:rPr>
      </w:pPr>
      <w:r>
        <w:rPr>
          <w:rFonts w:hint="eastAsia" w:asciiTheme="majorEastAsia" w:hAnsiTheme="majorEastAsia" w:eastAsiaTheme="majorEastAsia"/>
          <w:bCs/>
          <w:color w:val="auto"/>
          <w:sz w:val="21"/>
          <w:szCs w:val="21"/>
          <w:highlight w:val="none"/>
          <w:lang w:eastAsia="zh-CN"/>
        </w:rPr>
        <w:t>响应人</w:t>
      </w:r>
      <w:r>
        <w:rPr>
          <w:rFonts w:asciiTheme="majorEastAsia" w:hAnsiTheme="majorEastAsia" w:eastAsiaTheme="majorEastAsia"/>
          <w:bCs/>
          <w:color w:val="auto"/>
          <w:sz w:val="21"/>
          <w:szCs w:val="21"/>
          <w:highlight w:val="none"/>
        </w:rPr>
        <w:t>对采购活动有疑问的，可以按照</w:t>
      </w:r>
      <w:r>
        <w:rPr>
          <w:rFonts w:hint="eastAsia" w:asciiTheme="majorEastAsia" w:hAnsiTheme="majorEastAsia" w:eastAsiaTheme="majorEastAsia"/>
          <w:b/>
          <w:color w:val="auto"/>
          <w:sz w:val="21"/>
          <w:szCs w:val="21"/>
          <w:highlight w:val="none"/>
          <w:lang w:eastAsia="zh-CN"/>
        </w:rPr>
        <w:t>响应人</w:t>
      </w:r>
      <w:r>
        <w:rPr>
          <w:rFonts w:asciiTheme="majorEastAsia" w:hAnsiTheme="majorEastAsia" w:eastAsiaTheme="majorEastAsia"/>
          <w:b/>
          <w:color w:val="auto"/>
          <w:sz w:val="21"/>
          <w:szCs w:val="21"/>
          <w:highlight w:val="none"/>
        </w:rPr>
        <w:t>须知前附表第10条要求</w:t>
      </w:r>
      <w:r>
        <w:rPr>
          <w:rFonts w:asciiTheme="majorEastAsia" w:hAnsiTheme="majorEastAsia" w:eastAsiaTheme="majorEastAsia"/>
          <w:bCs/>
          <w:color w:val="auto"/>
          <w:sz w:val="21"/>
          <w:szCs w:val="21"/>
          <w:highlight w:val="none"/>
        </w:rPr>
        <w:t>向采购人或代理机构提出询问。</w:t>
      </w:r>
    </w:p>
    <w:p>
      <w:pPr>
        <w:snapToGrid w:val="0"/>
        <w:spacing w:line="400" w:lineRule="exact"/>
        <w:ind w:firstLine="422" w:firstLineChars="200"/>
        <w:rPr>
          <w:rFonts w:asciiTheme="majorEastAsia" w:hAnsiTheme="majorEastAsia" w:eastAsiaTheme="majorEastAsia"/>
          <w:b/>
          <w:color w:val="auto"/>
          <w:sz w:val="21"/>
          <w:szCs w:val="21"/>
          <w:highlight w:val="none"/>
        </w:rPr>
      </w:pPr>
      <w:r>
        <w:rPr>
          <w:rFonts w:asciiTheme="majorEastAsia" w:hAnsiTheme="majorEastAsia" w:eastAsiaTheme="majorEastAsia"/>
          <w:b/>
          <w:color w:val="auto"/>
          <w:sz w:val="21"/>
          <w:szCs w:val="21"/>
          <w:highlight w:val="none"/>
        </w:rPr>
        <w:t>25.2质疑</w:t>
      </w:r>
    </w:p>
    <w:p>
      <w:pPr>
        <w:snapToGrid w:val="0"/>
        <w:spacing w:line="400" w:lineRule="exact"/>
        <w:ind w:firstLine="420" w:firstLineChars="200"/>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（1）</w:t>
      </w:r>
      <w:r>
        <w:rPr>
          <w:rFonts w:hint="eastAsia" w:asciiTheme="majorEastAsia" w:hAnsiTheme="majorEastAsia" w:eastAsiaTheme="majorEastAsia"/>
          <w:bCs/>
          <w:color w:val="auto"/>
          <w:sz w:val="21"/>
          <w:szCs w:val="21"/>
          <w:highlight w:val="none"/>
          <w:lang w:eastAsia="zh-CN"/>
        </w:rPr>
        <w:t>响应人</w:t>
      </w:r>
      <w:r>
        <w:rPr>
          <w:rFonts w:asciiTheme="majorEastAsia" w:hAnsiTheme="majorEastAsia" w:eastAsiaTheme="majorEastAsia"/>
          <w:bCs/>
          <w:color w:val="auto"/>
          <w:sz w:val="21"/>
          <w:szCs w:val="21"/>
          <w:highlight w:val="none"/>
        </w:rPr>
        <w:t>（潜在</w:t>
      </w:r>
      <w:r>
        <w:rPr>
          <w:rFonts w:hint="eastAsia" w:asciiTheme="majorEastAsia" w:hAnsiTheme="majorEastAsia" w:eastAsiaTheme="majorEastAsia"/>
          <w:bCs/>
          <w:color w:val="auto"/>
          <w:sz w:val="21"/>
          <w:szCs w:val="21"/>
          <w:highlight w:val="none"/>
          <w:lang w:eastAsia="zh-CN"/>
        </w:rPr>
        <w:t>响应人</w:t>
      </w:r>
      <w:r>
        <w:rPr>
          <w:rFonts w:asciiTheme="majorEastAsia" w:hAnsiTheme="majorEastAsia" w:eastAsiaTheme="majorEastAsia"/>
          <w:bCs/>
          <w:color w:val="auto"/>
          <w:sz w:val="21"/>
          <w:szCs w:val="21"/>
          <w:highlight w:val="none"/>
        </w:rPr>
        <w:t>）对磋商文件条款或技术参数有异议的，应当在投标截止时间前提出，于投标截止时间后对磋商文件提出质疑的，其质疑被视为无效质疑。</w:t>
      </w:r>
    </w:p>
    <w:p>
      <w:pPr>
        <w:snapToGrid w:val="0"/>
        <w:spacing w:line="400" w:lineRule="exact"/>
        <w:ind w:firstLine="420" w:firstLineChars="200"/>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（2）</w:t>
      </w:r>
      <w:r>
        <w:rPr>
          <w:rFonts w:hint="eastAsia" w:asciiTheme="majorEastAsia" w:hAnsiTheme="majorEastAsia" w:eastAsiaTheme="majorEastAsia"/>
          <w:bCs/>
          <w:color w:val="auto"/>
          <w:sz w:val="21"/>
          <w:szCs w:val="21"/>
          <w:highlight w:val="none"/>
          <w:lang w:eastAsia="zh-CN"/>
        </w:rPr>
        <w:t>响应人</w:t>
      </w:r>
      <w:r>
        <w:rPr>
          <w:rFonts w:asciiTheme="majorEastAsia" w:hAnsiTheme="majorEastAsia" w:eastAsiaTheme="majorEastAsia"/>
          <w:bCs/>
          <w:color w:val="auto"/>
          <w:sz w:val="21"/>
          <w:szCs w:val="21"/>
          <w:highlight w:val="none"/>
        </w:rPr>
        <w:t>（潜在</w:t>
      </w:r>
      <w:r>
        <w:rPr>
          <w:rFonts w:hint="eastAsia" w:asciiTheme="majorEastAsia" w:hAnsiTheme="majorEastAsia" w:eastAsiaTheme="majorEastAsia"/>
          <w:bCs/>
          <w:color w:val="auto"/>
          <w:sz w:val="21"/>
          <w:szCs w:val="21"/>
          <w:highlight w:val="none"/>
          <w:lang w:eastAsia="zh-CN"/>
        </w:rPr>
        <w:t>响应人</w:t>
      </w:r>
      <w:r>
        <w:rPr>
          <w:rFonts w:asciiTheme="majorEastAsia" w:hAnsiTheme="majorEastAsia" w:eastAsiaTheme="majorEastAsia"/>
          <w:bCs/>
          <w:color w:val="auto"/>
          <w:sz w:val="21"/>
          <w:szCs w:val="21"/>
          <w:highlight w:val="none"/>
        </w:rPr>
        <w:t>）认为磋商文件、招标过程、中标结果使自己的权益受到损害的，可以在知道或者应知其权益受到损害之日起7个工作日内，通过书面材料向代理机构提出质疑。</w:t>
      </w:r>
      <w:r>
        <w:rPr>
          <w:rFonts w:hint="eastAsia" w:asciiTheme="majorEastAsia" w:hAnsiTheme="majorEastAsia" w:eastAsiaTheme="majorEastAsia"/>
          <w:bCs/>
          <w:color w:val="auto"/>
          <w:sz w:val="21"/>
          <w:szCs w:val="21"/>
          <w:highlight w:val="none"/>
          <w:lang w:eastAsia="zh-CN"/>
        </w:rPr>
        <w:t>响应人</w:t>
      </w:r>
      <w:r>
        <w:rPr>
          <w:rFonts w:asciiTheme="majorEastAsia" w:hAnsiTheme="majorEastAsia" w:eastAsiaTheme="majorEastAsia"/>
          <w:bCs/>
          <w:color w:val="auto"/>
          <w:sz w:val="21"/>
          <w:szCs w:val="21"/>
          <w:highlight w:val="none"/>
        </w:rPr>
        <w:t>应知其权益受到损害之日，是指：</w:t>
      </w:r>
    </w:p>
    <w:p>
      <w:pPr>
        <w:snapToGrid w:val="0"/>
        <w:spacing w:line="400" w:lineRule="exact"/>
        <w:ind w:firstLine="840" w:firstLineChars="400"/>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a.对磋商文件提出质疑的，在满足25.2第（1）条款的前提下，为获取磋商文件之日或者磋商文件公告期限届满之日；</w:t>
      </w:r>
    </w:p>
    <w:p>
      <w:pPr>
        <w:snapToGrid w:val="0"/>
        <w:spacing w:line="400" w:lineRule="exact"/>
        <w:ind w:firstLine="840" w:firstLineChars="400"/>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b.对招标过程提出质疑的，为各招标程序环节结束之日；</w:t>
      </w:r>
    </w:p>
    <w:p>
      <w:pPr>
        <w:snapToGrid w:val="0"/>
        <w:spacing w:line="400" w:lineRule="exact"/>
        <w:ind w:firstLine="840" w:firstLineChars="400"/>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c.对中标结果提出质疑的，为中标结果公告期限届满之日。</w:t>
      </w:r>
    </w:p>
    <w:p>
      <w:pPr>
        <w:snapToGrid w:val="0"/>
        <w:spacing w:line="400" w:lineRule="exact"/>
        <w:ind w:firstLine="840" w:firstLineChars="400"/>
        <w:rPr>
          <w:rFonts w:asciiTheme="majorEastAsia" w:hAnsiTheme="majorEastAsia" w:eastAsiaTheme="majorEastAsia"/>
          <w:bCs/>
          <w:color w:val="auto"/>
          <w:sz w:val="21"/>
          <w:szCs w:val="21"/>
          <w:highlight w:val="none"/>
        </w:rPr>
      </w:pPr>
      <w:r>
        <w:rPr>
          <w:rFonts w:hint="eastAsia" w:asciiTheme="majorEastAsia" w:hAnsiTheme="majorEastAsia" w:eastAsiaTheme="majorEastAsia"/>
          <w:bCs/>
          <w:color w:val="auto"/>
          <w:sz w:val="21"/>
          <w:szCs w:val="21"/>
          <w:highlight w:val="none"/>
          <w:lang w:eastAsia="zh-CN"/>
        </w:rPr>
        <w:t>响应人</w:t>
      </w:r>
      <w:r>
        <w:rPr>
          <w:rFonts w:asciiTheme="majorEastAsia" w:hAnsiTheme="majorEastAsia" w:eastAsiaTheme="majorEastAsia"/>
          <w:bCs/>
          <w:color w:val="auto"/>
          <w:sz w:val="21"/>
          <w:szCs w:val="21"/>
          <w:highlight w:val="none"/>
        </w:rPr>
        <w:t>（潜在</w:t>
      </w:r>
      <w:r>
        <w:rPr>
          <w:rFonts w:hint="eastAsia" w:asciiTheme="majorEastAsia" w:hAnsiTheme="majorEastAsia" w:eastAsiaTheme="majorEastAsia"/>
          <w:bCs/>
          <w:color w:val="auto"/>
          <w:sz w:val="21"/>
          <w:szCs w:val="21"/>
          <w:highlight w:val="none"/>
          <w:lang w:eastAsia="zh-CN"/>
        </w:rPr>
        <w:t>响应人</w:t>
      </w:r>
      <w:r>
        <w:rPr>
          <w:rFonts w:asciiTheme="majorEastAsia" w:hAnsiTheme="majorEastAsia" w:eastAsiaTheme="majorEastAsia"/>
          <w:bCs/>
          <w:color w:val="auto"/>
          <w:sz w:val="21"/>
          <w:szCs w:val="21"/>
          <w:highlight w:val="none"/>
        </w:rPr>
        <w:t>）针对同一采购程序环节的质疑须一次性提出。</w:t>
      </w:r>
    </w:p>
    <w:p>
      <w:pPr>
        <w:snapToGrid w:val="0"/>
        <w:spacing w:line="400" w:lineRule="exact"/>
        <w:ind w:firstLine="420" w:firstLineChars="200"/>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（3）提出质疑的</w:t>
      </w:r>
      <w:r>
        <w:rPr>
          <w:rFonts w:hint="eastAsia" w:asciiTheme="majorEastAsia" w:hAnsiTheme="majorEastAsia" w:eastAsiaTheme="majorEastAsia"/>
          <w:bCs/>
          <w:color w:val="auto"/>
          <w:sz w:val="21"/>
          <w:szCs w:val="21"/>
          <w:highlight w:val="none"/>
          <w:lang w:eastAsia="zh-CN"/>
        </w:rPr>
        <w:t>响应人</w:t>
      </w:r>
      <w:r>
        <w:rPr>
          <w:rFonts w:asciiTheme="majorEastAsia" w:hAnsiTheme="majorEastAsia" w:eastAsiaTheme="majorEastAsia"/>
          <w:bCs/>
          <w:color w:val="auto"/>
          <w:sz w:val="21"/>
          <w:szCs w:val="21"/>
          <w:highlight w:val="none"/>
        </w:rPr>
        <w:t>（潜在</w:t>
      </w:r>
      <w:r>
        <w:rPr>
          <w:rFonts w:hint="eastAsia" w:asciiTheme="majorEastAsia" w:hAnsiTheme="majorEastAsia" w:eastAsiaTheme="majorEastAsia"/>
          <w:bCs/>
          <w:color w:val="auto"/>
          <w:sz w:val="21"/>
          <w:szCs w:val="21"/>
          <w:highlight w:val="none"/>
          <w:lang w:eastAsia="zh-CN"/>
        </w:rPr>
        <w:t>响应人</w:t>
      </w:r>
      <w:r>
        <w:rPr>
          <w:rFonts w:asciiTheme="majorEastAsia" w:hAnsiTheme="majorEastAsia" w:eastAsiaTheme="majorEastAsia"/>
          <w:bCs/>
          <w:color w:val="auto"/>
          <w:sz w:val="21"/>
          <w:szCs w:val="21"/>
          <w:highlight w:val="none"/>
        </w:rPr>
        <w:t>）应当是参与所质疑项目采购活动的</w:t>
      </w:r>
      <w:r>
        <w:rPr>
          <w:rFonts w:hint="eastAsia" w:asciiTheme="majorEastAsia" w:hAnsiTheme="majorEastAsia" w:eastAsiaTheme="majorEastAsia"/>
          <w:bCs/>
          <w:color w:val="auto"/>
          <w:sz w:val="21"/>
          <w:szCs w:val="21"/>
          <w:highlight w:val="none"/>
          <w:lang w:eastAsia="zh-CN"/>
        </w:rPr>
        <w:t>响应人</w:t>
      </w:r>
      <w:r>
        <w:rPr>
          <w:rFonts w:asciiTheme="majorEastAsia" w:hAnsiTheme="majorEastAsia" w:eastAsiaTheme="majorEastAsia"/>
          <w:bCs/>
          <w:color w:val="auto"/>
          <w:sz w:val="21"/>
          <w:szCs w:val="21"/>
          <w:highlight w:val="none"/>
        </w:rPr>
        <w:t>，潜在</w:t>
      </w:r>
      <w:r>
        <w:rPr>
          <w:rFonts w:hint="eastAsia" w:asciiTheme="majorEastAsia" w:hAnsiTheme="majorEastAsia" w:eastAsiaTheme="majorEastAsia"/>
          <w:bCs/>
          <w:color w:val="auto"/>
          <w:sz w:val="21"/>
          <w:szCs w:val="21"/>
          <w:highlight w:val="none"/>
          <w:lang w:eastAsia="zh-CN"/>
        </w:rPr>
        <w:t>响应人</w:t>
      </w:r>
      <w:r>
        <w:rPr>
          <w:rFonts w:asciiTheme="majorEastAsia" w:hAnsiTheme="majorEastAsia" w:eastAsiaTheme="majorEastAsia"/>
          <w:bCs/>
          <w:color w:val="auto"/>
          <w:sz w:val="21"/>
          <w:szCs w:val="21"/>
          <w:highlight w:val="none"/>
        </w:rPr>
        <w:t>已依法获取其可质疑的磋商文件的，可以对该文件提出质疑。</w:t>
      </w:r>
    </w:p>
    <w:p>
      <w:pPr>
        <w:snapToGrid w:val="0"/>
        <w:spacing w:line="400" w:lineRule="exact"/>
        <w:ind w:firstLine="420" w:firstLineChars="200"/>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（4）</w:t>
      </w:r>
      <w:r>
        <w:rPr>
          <w:rFonts w:hint="eastAsia" w:asciiTheme="majorEastAsia" w:hAnsiTheme="majorEastAsia" w:eastAsiaTheme="majorEastAsia"/>
          <w:bCs/>
          <w:color w:val="auto"/>
          <w:sz w:val="21"/>
          <w:szCs w:val="21"/>
          <w:highlight w:val="none"/>
          <w:lang w:eastAsia="zh-CN"/>
        </w:rPr>
        <w:t>响应人</w:t>
      </w:r>
      <w:r>
        <w:rPr>
          <w:rFonts w:asciiTheme="majorEastAsia" w:hAnsiTheme="majorEastAsia" w:eastAsiaTheme="majorEastAsia"/>
          <w:bCs/>
          <w:color w:val="auto"/>
          <w:sz w:val="21"/>
          <w:szCs w:val="21"/>
          <w:highlight w:val="none"/>
        </w:rPr>
        <w:t>（潜在</w:t>
      </w:r>
      <w:r>
        <w:rPr>
          <w:rFonts w:hint="eastAsia" w:asciiTheme="majorEastAsia" w:hAnsiTheme="majorEastAsia" w:eastAsiaTheme="majorEastAsia"/>
          <w:bCs/>
          <w:color w:val="auto"/>
          <w:sz w:val="21"/>
          <w:szCs w:val="21"/>
          <w:highlight w:val="none"/>
          <w:lang w:eastAsia="zh-CN"/>
        </w:rPr>
        <w:t>响应人</w:t>
      </w:r>
      <w:r>
        <w:rPr>
          <w:rFonts w:asciiTheme="majorEastAsia" w:hAnsiTheme="majorEastAsia" w:eastAsiaTheme="majorEastAsia"/>
          <w:bCs/>
          <w:color w:val="auto"/>
          <w:sz w:val="21"/>
          <w:szCs w:val="21"/>
          <w:highlight w:val="none"/>
        </w:rPr>
        <w:t>）提出质疑应当提交质疑函和必要的证明材料。质疑函应当包括下列内容：</w:t>
      </w:r>
    </w:p>
    <w:p>
      <w:pPr>
        <w:snapToGrid w:val="0"/>
        <w:spacing w:line="400" w:lineRule="exact"/>
        <w:ind w:firstLine="840" w:firstLineChars="400"/>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a.</w:t>
      </w:r>
      <w:r>
        <w:rPr>
          <w:rFonts w:hint="eastAsia" w:asciiTheme="majorEastAsia" w:hAnsiTheme="majorEastAsia" w:eastAsiaTheme="majorEastAsia"/>
          <w:bCs/>
          <w:color w:val="auto"/>
          <w:sz w:val="21"/>
          <w:szCs w:val="21"/>
          <w:highlight w:val="none"/>
          <w:lang w:eastAsia="zh-CN"/>
        </w:rPr>
        <w:t>响应人</w:t>
      </w:r>
      <w:r>
        <w:rPr>
          <w:rFonts w:asciiTheme="majorEastAsia" w:hAnsiTheme="majorEastAsia" w:eastAsiaTheme="majorEastAsia"/>
          <w:bCs/>
          <w:color w:val="auto"/>
          <w:sz w:val="21"/>
          <w:szCs w:val="21"/>
          <w:highlight w:val="none"/>
        </w:rPr>
        <w:t>（潜在</w:t>
      </w:r>
      <w:r>
        <w:rPr>
          <w:rFonts w:hint="eastAsia" w:asciiTheme="majorEastAsia" w:hAnsiTheme="majorEastAsia" w:eastAsiaTheme="majorEastAsia"/>
          <w:bCs/>
          <w:color w:val="auto"/>
          <w:sz w:val="21"/>
          <w:szCs w:val="21"/>
          <w:highlight w:val="none"/>
          <w:lang w:eastAsia="zh-CN"/>
        </w:rPr>
        <w:t>响应人</w:t>
      </w:r>
      <w:r>
        <w:rPr>
          <w:rFonts w:asciiTheme="majorEastAsia" w:hAnsiTheme="majorEastAsia" w:eastAsiaTheme="majorEastAsia"/>
          <w:bCs/>
          <w:color w:val="auto"/>
          <w:sz w:val="21"/>
          <w:szCs w:val="21"/>
          <w:highlight w:val="none"/>
        </w:rPr>
        <w:t>）的姓名或者名称、地址、邮编、联系人及联系电话；</w:t>
      </w:r>
    </w:p>
    <w:p>
      <w:pPr>
        <w:snapToGrid w:val="0"/>
        <w:spacing w:line="400" w:lineRule="exact"/>
        <w:ind w:firstLine="840" w:firstLineChars="400"/>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b.质疑项目的名称、编号；</w:t>
      </w:r>
    </w:p>
    <w:p>
      <w:pPr>
        <w:snapToGrid w:val="0"/>
        <w:spacing w:line="400" w:lineRule="exact"/>
        <w:ind w:firstLine="840" w:firstLineChars="400"/>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c.具体、明确的质疑事项和与质疑事项相关的请求；</w:t>
      </w:r>
    </w:p>
    <w:p>
      <w:pPr>
        <w:snapToGrid w:val="0"/>
        <w:spacing w:line="400" w:lineRule="exact"/>
        <w:ind w:firstLine="840" w:firstLineChars="400"/>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d.事实依据；</w:t>
      </w:r>
    </w:p>
    <w:p>
      <w:pPr>
        <w:snapToGrid w:val="0"/>
        <w:spacing w:line="400" w:lineRule="exact"/>
        <w:ind w:firstLine="840" w:firstLineChars="400"/>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e.必要的法律依据；</w:t>
      </w:r>
    </w:p>
    <w:p>
      <w:pPr>
        <w:snapToGrid w:val="0"/>
        <w:spacing w:line="400" w:lineRule="exact"/>
        <w:ind w:firstLine="840" w:firstLineChars="400"/>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f.提出质疑的日期。</w:t>
      </w:r>
    </w:p>
    <w:p>
      <w:pPr>
        <w:snapToGrid w:val="0"/>
        <w:spacing w:line="400" w:lineRule="exact"/>
        <w:ind w:firstLine="630" w:firstLineChars="300"/>
        <w:rPr>
          <w:rFonts w:asciiTheme="majorEastAsia" w:hAnsiTheme="majorEastAsia" w:eastAsiaTheme="majorEastAsia"/>
          <w:b/>
          <w:color w:val="auto"/>
          <w:sz w:val="21"/>
          <w:szCs w:val="21"/>
          <w:highlight w:val="none"/>
        </w:rPr>
      </w:pPr>
      <w:r>
        <w:rPr>
          <w:rFonts w:hint="eastAsia" w:asciiTheme="majorEastAsia" w:hAnsiTheme="majorEastAsia" w:eastAsiaTheme="majorEastAsia"/>
          <w:bCs/>
          <w:color w:val="auto"/>
          <w:sz w:val="21"/>
          <w:szCs w:val="21"/>
          <w:highlight w:val="none"/>
          <w:lang w:eastAsia="zh-CN"/>
        </w:rPr>
        <w:t>响应人</w:t>
      </w:r>
      <w:r>
        <w:rPr>
          <w:rFonts w:asciiTheme="majorEastAsia" w:hAnsiTheme="majorEastAsia" w:eastAsiaTheme="majorEastAsia"/>
          <w:bCs/>
          <w:color w:val="auto"/>
          <w:sz w:val="21"/>
          <w:szCs w:val="21"/>
          <w:highlight w:val="none"/>
        </w:rPr>
        <w:t>（潜在</w:t>
      </w:r>
      <w:r>
        <w:rPr>
          <w:rFonts w:hint="eastAsia" w:asciiTheme="majorEastAsia" w:hAnsiTheme="majorEastAsia" w:eastAsiaTheme="majorEastAsia"/>
          <w:bCs/>
          <w:color w:val="auto"/>
          <w:sz w:val="21"/>
          <w:szCs w:val="21"/>
          <w:highlight w:val="none"/>
          <w:lang w:eastAsia="zh-CN"/>
        </w:rPr>
        <w:t>响应人</w:t>
      </w:r>
      <w:r>
        <w:rPr>
          <w:rFonts w:asciiTheme="majorEastAsia" w:hAnsiTheme="majorEastAsia" w:eastAsiaTheme="majorEastAsia"/>
          <w:bCs/>
          <w:color w:val="auto"/>
          <w:sz w:val="21"/>
          <w:szCs w:val="21"/>
          <w:highlight w:val="none"/>
        </w:rPr>
        <w:t>）为自然人的，应当由本人签字；</w:t>
      </w:r>
      <w:r>
        <w:rPr>
          <w:rFonts w:hint="eastAsia" w:asciiTheme="majorEastAsia" w:hAnsiTheme="majorEastAsia" w:eastAsiaTheme="majorEastAsia"/>
          <w:bCs/>
          <w:color w:val="auto"/>
          <w:sz w:val="21"/>
          <w:szCs w:val="21"/>
          <w:highlight w:val="none"/>
          <w:lang w:eastAsia="zh-CN"/>
        </w:rPr>
        <w:t>响应人</w:t>
      </w:r>
      <w:r>
        <w:rPr>
          <w:rFonts w:asciiTheme="majorEastAsia" w:hAnsiTheme="majorEastAsia" w:eastAsiaTheme="majorEastAsia"/>
          <w:bCs/>
          <w:color w:val="auto"/>
          <w:sz w:val="21"/>
          <w:szCs w:val="21"/>
          <w:highlight w:val="none"/>
        </w:rPr>
        <w:t>（潜在</w:t>
      </w:r>
      <w:r>
        <w:rPr>
          <w:rFonts w:hint="eastAsia" w:asciiTheme="majorEastAsia" w:hAnsiTheme="majorEastAsia" w:eastAsiaTheme="majorEastAsia"/>
          <w:bCs/>
          <w:color w:val="auto"/>
          <w:sz w:val="21"/>
          <w:szCs w:val="21"/>
          <w:highlight w:val="none"/>
          <w:lang w:eastAsia="zh-CN"/>
        </w:rPr>
        <w:t>响应人</w:t>
      </w:r>
      <w:r>
        <w:rPr>
          <w:rFonts w:asciiTheme="majorEastAsia" w:hAnsiTheme="majorEastAsia" w:eastAsiaTheme="majorEastAsia"/>
          <w:bCs/>
          <w:color w:val="auto"/>
          <w:sz w:val="21"/>
          <w:szCs w:val="21"/>
          <w:highlight w:val="none"/>
        </w:rPr>
        <w:t>）为法人或者其他组织的，应当由法定代表人、主要负责人，或者其授权代表签字或者盖名章，并加盖公章。质疑函内容有缺失的，代理机构、采购人应当一次性告知质疑人需补全的材料及补交的截止时间。补交的截止时间与法定质疑期的截止时间一致。质疑人于截止时间后递交补充材料的，将被拒绝</w:t>
      </w:r>
      <w:r>
        <w:rPr>
          <w:rFonts w:hint="eastAsia" w:asciiTheme="majorEastAsia" w:hAnsiTheme="majorEastAsia" w:eastAsiaTheme="majorEastAsia"/>
          <w:bCs/>
          <w:color w:val="auto"/>
          <w:sz w:val="21"/>
          <w:szCs w:val="21"/>
          <w:highlight w:val="none"/>
        </w:rPr>
        <w:t>。</w:t>
      </w:r>
    </w:p>
    <w:p>
      <w:pPr>
        <w:snapToGrid w:val="0"/>
        <w:spacing w:line="400" w:lineRule="exact"/>
        <w:ind w:firstLine="420" w:firstLineChars="200"/>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（5）质疑事项如无实质内容，仅为询问质疑人得分情况或质疑人未中标原因等的，代理机构、采购人可将此类质疑函作为书面询问接收，代理机构按询问程序处理。</w:t>
      </w:r>
    </w:p>
    <w:p>
      <w:pPr>
        <w:snapToGrid w:val="0"/>
        <w:spacing w:line="400" w:lineRule="exact"/>
        <w:ind w:firstLine="420" w:firstLineChars="200"/>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（6）采购人、代理机构不得拒收质疑</w:t>
      </w:r>
      <w:r>
        <w:rPr>
          <w:rFonts w:hint="eastAsia" w:asciiTheme="majorEastAsia" w:hAnsiTheme="majorEastAsia" w:eastAsiaTheme="majorEastAsia"/>
          <w:bCs/>
          <w:color w:val="auto"/>
          <w:sz w:val="21"/>
          <w:szCs w:val="21"/>
          <w:highlight w:val="none"/>
          <w:lang w:eastAsia="zh-CN"/>
        </w:rPr>
        <w:t>响应人</w:t>
      </w:r>
      <w:r>
        <w:rPr>
          <w:rFonts w:asciiTheme="majorEastAsia" w:hAnsiTheme="majorEastAsia" w:eastAsiaTheme="majorEastAsia"/>
          <w:bCs/>
          <w:color w:val="auto"/>
          <w:sz w:val="21"/>
          <w:szCs w:val="21"/>
          <w:highlight w:val="none"/>
        </w:rPr>
        <w:t>在法定质疑期内发出的质疑函，应当在收到质疑函后7个工作日内作出答复，并通过书面答复质疑</w:t>
      </w:r>
      <w:r>
        <w:rPr>
          <w:rFonts w:hint="eastAsia" w:asciiTheme="majorEastAsia" w:hAnsiTheme="majorEastAsia" w:eastAsiaTheme="majorEastAsia"/>
          <w:bCs/>
          <w:color w:val="auto"/>
          <w:sz w:val="21"/>
          <w:szCs w:val="21"/>
          <w:highlight w:val="none"/>
          <w:lang w:eastAsia="zh-CN"/>
        </w:rPr>
        <w:t>响应人</w:t>
      </w:r>
      <w:r>
        <w:rPr>
          <w:rFonts w:asciiTheme="majorEastAsia" w:hAnsiTheme="majorEastAsia" w:eastAsiaTheme="majorEastAsia"/>
          <w:bCs/>
          <w:color w:val="auto"/>
          <w:sz w:val="21"/>
          <w:szCs w:val="21"/>
          <w:highlight w:val="none"/>
        </w:rPr>
        <w:t>和其他相关当事人。</w:t>
      </w:r>
    </w:p>
    <w:p>
      <w:pPr>
        <w:snapToGrid w:val="0"/>
        <w:spacing w:line="400" w:lineRule="exact"/>
        <w:ind w:firstLine="422" w:firstLineChars="200"/>
        <w:rPr>
          <w:rFonts w:asciiTheme="majorEastAsia" w:hAnsiTheme="majorEastAsia" w:eastAsiaTheme="majorEastAsia"/>
          <w:b/>
          <w:color w:val="auto"/>
          <w:sz w:val="21"/>
          <w:szCs w:val="21"/>
          <w:highlight w:val="none"/>
        </w:rPr>
      </w:pPr>
      <w:r>
        <w:rPr>
          <w:rFonts w:asciiTheme="majorEastAsia" w:hAnsiTheme="majorEastAsia" w:eastAsiaTheme="majorEastAsia"/>
          <w:b/>
          <w:color w:val="auto"/>
          <w:sz w:val="21"/>
          <w:szCs w:val="21"/>
          <w:highlight w:val="none"/>
        </w:rPr>
        <w:t>25.3投诉</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bCs/>
          <w:color w:val="auto"/>
          <w:sz w:val="21"/>
          <w:szCs w:val="21"/>
          <w:highlight w:val="none"/>
        </w:rPr>
        <w:t>质疑人对采购人、代理机构的答复不满意，或者采购人、代理机构未在规定时间内作出答复的，质疑人可以在答复期满后15个工作日内依法向财政相关部门提起投诉。</w:t>
      </w:r>
    </w:p>
    <w:p>
      <w:pPr>
        <w:snapToGrid w:val="0"/>
        <w:spacing w:line="400" w:lineRule="exact"/>
        <w:rPr>
          <w:rFonts w:ascii="宋体" w:hAnsi="宋体" w:cs="宋体"/>
          <w:b/>
          <w:color w:val="auto"/>
          <w:sz w:val="21"/>
          <w:szCs w:val="21"/>
          <w:highlight w:val="none"/>
        </w:rPr>
      </w:pPr>
      <w:r>
        <w:rPr>
          <w:rFonts w:hint="eastAsia" w:ascii="宋体" w:hAnsi="宋体" w:cs="宋体"/>
          <w:b/>
          <w:color w:val="auto"/>
          <w:sz w:val="21"/>
          <w:szCs w:val="21"/>
          <w:highlight w:val="none"/>
          <w:lang w:bidi="ar"/>
        </w:rPr>
        <w:t>二十六、保密和披露</w:t>
      </w:r>
    </w:p>
    <w:p>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lang w:bidi="ar"/>
        </w:rPr>
        <w:t>26.1响应人自获取磋商文件之日起，须履行本招标项目下保密义务，不得将因本次招标获得的信息向第三人外传。</w:t>
      </w:r>
    </w:p>
    <w:p>
      <w:pPr>
        <w:snapToGrid w:val="0"/>
        <w:spacing w:line="400" w:lineRule="exact"/>
        <w:ind w:firstLine="420" w:firstLineChars="200"/>
        <w:rPr>
          <w:rFonts w:ascii="宋体" w:hAnsi="宋体" w:cs="宋体"/>
          <w:color w:val="auto"/>
          <w:sz w:val="21"/>
          <w:szCs w:val="21"/>
          <w:highlight w:val="none"/>
          <w:lang w:bidi="ar"/>
        </w:rPr>
      </w:pPr>
      <w:r>
        <w:rPr>
          <w:rFonts w:hint="eastAsia" w:ascii="宋体" w:hAnsi="宋体" w:cs="宋体"/>
          <w:color w:val="auto"/>
          <w:sz w:val="21"/>
          <w:szCs w:val="21"/>
          <w:highlight w:val="none"/>
          <w:lang w:bidi="ar"/>
        </w:rPr>
        <w:t>26.2采购人或代理机构有权将响应人提供的所有资料向有关部门或评审委员会披露。</w:t>
      </w:r>
    </w:p>
    <w:p>
      <w:pPr>
        <w:snapToGrid w:val="0"/>
        <w:spacing w:line="400" w:lineRule="exact"/>
        <w:ind w:firstLine="420" w:firstLineChars="200"/>
        <w:rPr>
          <w:rFonts w:ascii="宋体" w:hAnsi="宋体" w:cs="宋体"/>
          <w:color w:val="auto"/>
          <w:sz w:val="21"/>
          <w:szCs w:val="21"/>
          <w:highlight w:val="none"/>
          <w:lang w:bidi="ar"/>
        </w:rPr>
      </w:pPr>
      <w:r>
        <w:rPr>
          <w:rFonts w:hint="eastAsia" w:ascii="宋体" w:hAnsi="宋体" w:cs="宋体"/>
          <w:color w:val="auto"/>
          <w:sz w:val="21"/>
          <w:szCs w:val="21"/>
          <w:highlight w:val="none"/>
          <w:lang w:bidi="ar"/>
        </w:rPr>
        <w:t>26.3在采购人或代理机构认为适当时、国家机关调查、审查、审计时以及其他符合法律规定的情形下，采购人或代理机构无须事先征求响应人同意而可以披露关于采购过程、合同文本、签署情况的资料、响应人的名称及地址、响应文件的有关信息以及补充条款等，但应当在合理的必要范围内。对任何已经公布过的内容或与之内容相同的资料，以及响应人已经泄露或公开的，无须再承担保密责任。</w:t>
      </w:r>
    </w:p>
    <w:p>
      <w:pPr>
        <w:keepNext w:val="0"/>
        <w:keepLines w:val="0"/>
        <w:pageBreakBefore w:val="0"/>
        <w:widowControl w:val="0"/>
        <w:kinsoku/>
        <w:wordWrap/>
        <w:overflowPunct/>
        <w:topLinePunct w:val="0"/>
        <w:autoSpaceDE/>
        <w:autoSpaceDN/>
        <w:bidi w:val="0"/>
        <w:snapToGrid w:val="0"/>
        <w:spacing w:line="420" w:lineRule="exact"/>
        <w:jc w:val="center"/>
        <w:textAlignment w:val="auto"/>
        <w:outlineLvl w:val="0"/>
        <w:rPr>
          <w:rFonts w:ascii="宋体" w:hAnsi="宋体" w:cs="宋体"/>
          <w:color w:val="auto"/>
          <w:szCs w:val="28"/>
          <w:highlight w:val="none"/>
        </w:rPr>
      </w:pPr>
      <w:r>
        <w:rPr>
          <w:rFonts w:asciiTheme="majorEastAsia" w:hAnsiTheme="majorEastAsia" w:eastAsiaTheme="majorEastAsia"/>
          <w:bCs/>
          <w:color w:val="auto"/>
          <w:szCs w:val="21"/>
          <w:highlight w:val="none"/>
        </w:rPr>
        <w:br w:type="page"/>
      </w:r>
      <w:r>
        <w:rPr>
          <w:rFonts w:hint="eastAsia" w:ascii="宋体" w:hAnsi="宋体" w:cs="宋体"/>
          <w:b/>
          <w:bCs/>
          <w:color w:val="auto"/>
          <w:szCs w:val="28"/>
          <w:highlight w:val="none"/>
          <w:u w:color="000000"/>
        </w:rPr>
        <w:t>第四部分  采购需求</w:t>
      </w:r>
    </w:p>
    <w:p>
      <w:pPr>
        <w:pStyle w:val="80"/>
        <w:keepNext w:val="0"/>
        <w:keepLines w:val="0"/>
        <w:pageBreakBefore w:val="0"/>
        <w:widowControl w:val="0"/>
        <w:kinsoku/>
        <w:wordWrap/>
        <w:overflowPunct/>
        <w:topLinePunct w:val="0"/>
        <w:autoSpaceDE/>
        <w:autoSpaceDN/>
        <w:bidi w:val="0"/>
        <w:snapToGrid/>
        <w:spacing w:line="420" w:lineRule="exact"/>
        <w:ind w:firstLine="420" w:firstLineChars="200"/>
        <w:rPr>
          <w:rFonts w:hint="eastAsia" w:hAnsi="宋体" w:eastAsia="宋体" w:cs="宋体"/>
          <w:color w:val="auto"/>
          <w:sz w:val="21"/>
          <w:szCs w:val="21"/>
          <w:highlight w:val="none"/>
          <w:lang w:val="en-US" w:eastAsia="zh-CN"/>
        </w:rPr>
      </w:pPr>
      <w:r>
        <w:rPr>
          <w:rFonts w:hint="eastAsia" w:hAnsi="宋体" w:eastAsia="宋体" w:cs="宋体"/>
          <w:color w:val="auto"/>
          <w:sz w:val="21"/>
          <w:szCs w:val="21"/>
          <w:highlight w:val="none"/>
          <w:lang w:val="en-US" w:eastAsia="zh-CN"/>
        </w:rPr>
        <w:t>一、采购编号：</w:t>
      </w:r>
      <w:bookmarkStart w:id="58" w:name="_Toc142194272"/>
      <w:r>
        <w:rPr>
          <w:rFonts w:hint="eastAsia" w:hAnsi="宋体" w:eastAsia="宋体" w:cs="宋体"/>
          <w:color w:val="auto"/>
          <w:sz w:val="21"/>
          <w:szCs w:val="21"/>
          <w:highlight w:val="none"/>
          <w:lang w:val="en-US" w:eastAsia="zh-CN"/>
        </w:rPr>
        <w:t>竞磋2023-005号</w:t>
      </w:r>
    </w:p>
    <w:p>
      <w:pPr>
        <w:pStyle w:val="80"/>
        <w:keepNext w:val="0"/>
        <w:keepLines w:val="0"/>
        <w:pageBreakBefore w:val="0"/>
        <w:widowControl w:val="0"/>
        <w:kinsoku/>
        <w:wordWrap/>
        <w:overflowPunct/>
        <w:topLinePunct w:val="0"/>
        <w:autoSpaceDE/>
        <w:autoSpaceDN/>
        <w:bidi w:val="0"/>
        <w:snapToGrid/>
        <w:spacing w:line="420" w:lineRule="exact"/>
        <w:ind w:firstLine="420" w:firstLineChars="200"/>
        <w:rPr>
          <w:rFonts w:hint="eastAsia" w:hAnsi="宋体" w:eastAsia="宋体" w:cs="宋体"/>
          <w:color w:val="auto"/>
          <w:sz w:val="21"/>
          <w:szCs w:val="21"/>
          <w:highlight w:val="none"/>
          <w:lang w:val="en-US" w:eastAsia="zh-CN"/>
        </w:rPr>
      </w:pPr>
      <w:r>
        <w:rPr>
          <w:rFonts w:hint="eastAsia" w:hAnsi="宋体" w:eastAsia="宋体" w:cs="宋体"/>
          <w:color w:val="auto"/>
          <w:sz w:val="21"/>
          <w:szCs w:val="21"/>
          <w:highlight w:val="none"/>
          <w:lang w:val="en-US" w:eastAsia="zh-CN"/>
        </w:rPr>
        <w:t>二、采购内容：清单范围内家具的供应、运输、安装调试及售后服务等。</w:t>
      </w:r>
    </w:p>
    <w:p>
      <w:pPr>
        <w:pStyle w:val="80"/>
        <w:keepNext w:val="0"/>
        <w:keepLines w:val="0"/>
        <w:pageBreakBefore w:val="0"/>
        <w:widowControl w:val="0"/>
        <w:kinsoku/>
        <w:wordWrap/>
        <w:overflowPunct/>
        <w:topLinePunct w:val="0"/>
        <w:autoSpaceDE/>
        <w:autoSpaceDN/>
        <w:bidi w:val="0"/>
        <w:snapToGrid/>
        <w:spacing w:line="420" w:lineRule="exact"/>
        <w:ind w:firstLine="420" w:firstLineChars="200"/>
        <w:rPr>
          <w:rFonts w:hint="eastAsia" w:hAnsi="宋体" w:eastAsia="宋体" w:cs="宋体"/>
          <w:color w:val="auto"/>
          <w:sz w:val="21"/>
          <w:szCs w:val="21"/>
          <w:highlight w:val="none"/>
          <w:lang w:val="en-US" w:eastAsia="zh-CN"/>
        </w:rPr>
      </w:pPr>
      <w:r>
        <w:rPr>
          <w:rFonts w:hint="eastAsia" w:hAnsi="宋体" w:eastAsia="宋体" w:cs="宋体"/>
          <w:color w:val="auto"/>
          <w:sz w:val="21"/>
          <w:szCs w:val="21"/>
          <w:highlight w:val="none"/>
          <w:lang w:val="en-US" w:eastAsia="zh-CN"/>
        </w:rPr>
        <w:t>三、采购控制价：272.47万元，投标报价超过控制价的作废标处理。</w:t>
      </w:r>
    </w:p>
    <w:bookmarkEnd w:id="58"/>
    <w:p>
      <w:pPr>
        <w:pStyle w:val="80"/>
        <w:keepNext w:val="0"/>
        <w:keepLines w:val="0"/>
        <w:pageBreakBefore w:val="0"/>
        <w:widowControl w:val="0"/>
        <w:kinsoku/>
        <w:wordWrap/>
        <w:overflowPunct/>
        <w:topLinePunct w:val="0"/>
        <w:autoSpaceDE/>
        <w:autoSpaceDN/>
        <w:bidi w:val="0"/>
        <w:snapToGrid/>
        <w:spacing w:line="420" w:lineRule="exact"/>
        <w:ind w:firstLine="420" w:firstLineChars="200"/>
        <w:rPr>
          <w:rFonts w:hint="default" w:hAnsi="宋体" w:eastAsia="宋体" w:cs="宋体"/>
          <w:color w:val="auto"/>
          <w:sz w:val="21"/>
          <w:szCs w:val="21"/>
          <w:highlight w:val="none"/>
          <w:lang w:val="en-US" w:eastAsia="zh-CN"/>
        </w:rPr>
      </w:pPr>
      <w:r>
        <w:rPr>
          <w:rFonts w:hint="eastAsia" w:hAnsi="宋体" w:eastAsia="宋体" w:cs="宋体"/>
          <w:color w:val="auto"/>
          <w:sz w:val="21"/>
          <w:szCs w:val="21"/>
          <w:highlight w:val="none"/>
          <w:lang w:val="en-US" w:eastAsia="zh-CN"/>
        </w:rPr>
        <w:t>四、采购内容：清单另附。</w:t>
      </w:r>
    </w:p>
    <w:p>
      <w:pPr>
        <w:pStyle w:val="80"/>
        <w:keepNext w:val="0"/>
        <w:keepLines w:val="0"/>
        <w:pageBreakBefore w:val="0"/>
        <w:widowControl w:val="0"/>
        <w:kinsoku/>
        <w:wordWrap/>
        <w:overflowPunct/>
        <w:topLinePunct w:val="0"/>
        <w:autoSpaceDE/>
        <w:autoSpaceDN/>
        <w:bidi w:val="0"/>
        <w:snapToGrid/>
        <w:spacing w:line="420" w:lineRule="exact"/>
        <w:ind w:firstLine="420" w:firstLineChars="200"/>
        <w:rPr>
          <w:rFonts w:hint="eastAsia" w:hAnsi="宋体" w:eastAsia="宋体" w:cs="宋体"/>
          <w:color w:val="auto"/>
          <w:sz w:val="21"/>
          <w:szCs w:val="21"/>
          <w:highlight w:val="none"/>
          <w:lang w:val="en-US" w:eastAsia="zh-CN"/>
        </w:rPr>
      </w:pPr>
      <w:r>
        <w:rPr>
          <w:rFonts w:hint="eastAsia" w:hAnsi="宋体" w:eastAsia="宋体" w:cs="宋体"/>
          <w:color w:val="auto"/>
          <w:sz w:val="21"/>
          <w:szCs w:val="21"/>
          <w:highlight w:val="none"/>
          <w:lang w:val="en-US" w:eastAsia="zh-CN"/>
        </w:rPr>
        <w:t>五、综合说明</w:t>
      </w:r>
    </w:p>
    <w:p>
      <w:pPr>
        <w:keepNext w:val="0"/>
        <w:keepLines w:val="0"/>
        <w:pageBreakBefore w:val="0"/>
        <w:widowControl w:val="0"/>
        <w:kinsoku/>
        <w:wordWrap/>
        <w:overflowPunct/>
        <w:topLinePunct w:val="0"/>
        <w:autoSpaceDE/>
        <w:autoSpaceDN/>
        <w:bidi w:val="0"/>
        <w:snapToGrid/>
        <w:spacing w:line="420" w:lineRule="exact"/>
        <w:ind w:firstLine="420" w:firstLineChars="200"/>
        <w:jc w:val="both"/>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rPr>
        <w:t>1、</w:t>
      </w:r>
      <w:r>
        <w:rPr>
          <w:rFonts w:hint="eastAsia" w:ascii="宋体" w:hAnsi="宋体" w:cs="宋体"/>
          <w:bCs/>
          <w:color w:val="auto"/>
          <w:sz w:val="21"/>
          <w:szCs w:val="21"/>
          <w:highlight w:val="none"/>
          <w:lang w:eastAsia="zh-CN"/>
        </w:rPr>
        <w:t>响应人</w:t>
      </w:r>
      <w:r>
        <w:rPr>
          <w:rFonts w:hint="eastAsia" w:ascii="宋体" w:hAnsi="宋体" w:eastAsia="宋体" w:cs="宋体"/>
          <w:bCs/>
          <w:color w:val="auto"/>
          <w:sz w:val="21"/>
          <w:szCs w:val="21"/>
          <w:highlight w:val="none"/>
        </w:rPr>
        <w:t>提供货物及配件均为正规产品、符合设计规范要求。所有投标产品的生产、制造、安装等各项技术标准应当符合国家（强制性）标准、各项规范要求；产品质量及安装符合国家质量标准和验收规范，并响应</w:t>
      </w:r>
      <w:r>
        <w:rPr>
          <w:rFonts w:hint="eastAsia" w:ascii="宋体" w:hAnsi="宋体" w:cs="宋体"/>
          <w:bCs/>
          <w:color w:val="auto"/>
          <w:sz w:val="21"/>
          <w:szCs w:val="21"/>
          <w:highlight w:val="none"/>
          <w:lang w:eastAsia="zh-CN"/>
        </w:rPr>
        <w:t>采购文件</w:t>
      </w:r>
      <w:r>
        <w:rPr>
          <w:rFonts w:hint="eastAsia" w:ascii="宋体" w:hAnsi="宋体" w:eastAsia="宋体" w:cs="宋体"/>
          <w:bCs/>
          <w:color w:val="auto"/>
          <w:sz w:val="21"/>
          <w:szCs w:val="21"/>
          <w:highlight w:val="none"/>
        </w:rPr>
        <w:t>所规定</w:t>
      </w:r>
      <w:r>
        <w:rPr>
          <w:rFonts w:hint="eastAsia" w:ascii="宋体" w:hAnsi="宋体" w:eastAsia="宋体" w:cs="宋体"/>
          <w:bCs/>
          <w:color w:val="auto"/>
          <w:sz w:val="21"/>
          <w:szCs w:val="21"/>
          <w:highlight w:val="none"/>
          <w:lang w:val="en-US" w:eastAsia="zh-CN"/>
        </w:rPr>
        <w:t>的</w:t>
      </w:r>
      <w:r>
        <w:rPr>
          <w:rFonts w:hint="eastAsia" w:ascii="宋体" w:hAnsi="宋体" w:eastAsia="宋体" w:cs="宋体"/>
          <w:bCs/>
          <w:color w:val="auto"/>
          <w:sz w:val="21"/>
          <w:szCs w:val="21"/>
          <w:highlight w:val="none"/>
        </w:rPr>
        <w:t>技术性能要求，以及</w:t>
      </w:r>
      <w:r>
        <w:rPr>
          <w:rFonts w:hint="eastAsia" w:ascii="宋体" w:hAnsi="宋体" w:cs="宋体"/>
          <w:bCs/>
          <w:color w:val="auto"/>
          <w:sz w:val="21"/>
          <w:szCs w:val="21"/>
          <w:highlight w:val="none"/>
          <w:lang w:eastAsia="zh-CN"/>
        </w:rPr>
        <w:t>中标响应人</w:t>
      </w:r>
      <w:r>
        <w:rPr>
          <w:rFonts w:hint="eastAsia" w:ascii="宋体" w:hAnsi="宋体" w:eastAsia="宋体" w:cs="宋体"/>
          <w:bCs/>
          <w:color w:val="auto"/>
          <w:sz w:val="21"/>
          <w:szCs w:val="21"/>
          <w:highlight w:val="none"/>
        </w:rPr>
        <w:t>承诺的其他指标；国家具有强制性标准的，所投产品须符合国家强制性标准。</w:t>
      </w:r>
      <w:r>
        <w:rPr>
          <w:rFonts w:hint="eastAsia" w:ascii="宋体" w:hAnsi="宋体" w:eastAsia="宋体" w:cs="宋体"/>
          <w:bCs/>
          <w:color w:val="auto"/>
          <w:sz w:val="21"/>
          <w:szCs w:val="21"/>
          <w:highlight w:val="none"/>
          <w:lang w:val="en-US" w:eastAsia="zh-CN"/>
        </w:rPr>
        <w:t xml:space="preserve"> </w:t>
      </w:r>
    </w:p>
    <w:p>
      <w:pPr>
        <w:keepNext w:val="0"/>
        <w:keepLines w:val="0"/>
        <w:pageBreakBefore w:val="0"/>
        <w:widowControl w:val="0"/>
        <w:kinsoku/>
        <w:wordWrap/>
        <w:overflowPunct/>
        <w:topLinePunct w:val="0"/>
        <w:autoSpaceDE/>
        <w:autoSpaceDN/>
        <w:bidi w:val="0"/>
        <w:snapToGrid/>
        <w:spacing w:line="420" w:lineRule="exact"/>
        <w:ind w:firstLine="420" w:firstLineChars="200"/>
        <w:jc w:val="both"/>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w:t>
      </w:r>
      <w:r>
        <w:rPr>
          <w:rFonts w:hint="eastAsia" w:ascii="宋体" w:hAnsi="宋体" w:cs="宋体"/>
          <w:bCs/>
          <w:color w:val="auto"/>
          <w:sz w:val="21"/>
          <w:szCs w:val="21"/>
          <w:highlight w:val="none"/>
          <w:lang w:val="en-US" w:eastAsia="zh-CN"/>
        </w:rPr>
        <w:t>所投产品</w:t>
      </w:r>
      <w:r>
        <w:rPr>
          <w:rFonts w:hint="eastAsia" w:ascii="宋体" w:hAnsi="宋体" w:eastAsia="宋体" w:cs="宋体"/>
          <w:bCs/>
          <w:color w:val="auto"/>
          <w:sz w:val="21"/>
          <w:szCs w:val="21"/>
          <w:highlight w:val="none"/>
        </w:rPr>
        <w:t>必须完全符合采购产品规定的质量、规格和性能的要求，</w:t>
      </w:r>
      <w:r>
        <w:rPr>
          <w:rFonts w:hint="eastAsia" w:ascii="宋体" w:hAnsi="宋体" w:cs="宋体"/>
          <w:bCs/>
          <w:color w:val="auto"/>
          <w:sz w:val="21"/>
          <w:szCs w:val="21"/>
          <w:highlight w:val="none"/>
          <w:lang w:eastAsia="zh-CN"/>
        </w:rPr>
        <w:t>响应人</w:t>
      </w:r>
      <w:r>
        <w:rPr>
          <w:rFonts w:hint="eastAsia" w:ascii="宋体" w:hAnsi="宋体" w:eastAsia="宋体" w:cs="宋体"/>
          <w:bCs/>
          <w:color w:val="auto"/>
          <w:sz w:val="21"/>
          <w:szCs w:val="21"/>
          <w:highlight w:val="none"/>
        </w:rPr>
        <w:t>应保证其提供的产品在正确安装、正常使用和保养条件下，在规定的使用寿命期内具有满意的性能。</w:t>
      </w:r>
    </w:p>
    <w:p>
      <w:pPr>
        <w:keepNext w:val="0"/>
        <w:keepLines w:val="0"/>
        <w:pageBreakBefore w:val="0"/>
        <w:widowControl w:val="0"/>
        <w:kinsoku/>
        <w:wordWrap/>
        <w:overflowPunct/>
        <w:topLinePunct w:val="0"/>
        <w:autoSpaceDE/>
        <w:autoSpaceDN/>
        <w:bidi w:val="0"/>
        <w:snapToGrid/>
        <w:spacing w:line="420" w:lineRule="exact"/>
        <w:ind w:firstLine="420" w:firstLineChars="200"/>
        <w:jc w:val="both"/>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w:t>
      </w:r>
      <w:r>
        <w:rPr>
          <w:rFonts w:hint="eastAsia" w:ascii="宋体" w:hAnsi="宋体" w:cs="宋体"/>
          <w:bCs/>
          <w:color w:val="auto"/>
          <w:sz w:val="21"/>
          <w:szCs w:val="21"/>
          <w:highlight w:val="none"/>
          <w:lang w:eastAsia="zh-CN"/>
        </w:rPr>
        <w:t>响应人</w:t>
      </w:r>
      <w:r>
        <w:rPr>
          <w:rFonts w:hint="eastAsia" w:ascii="宋体" w:hAnsi="宋体" w:eastAsia="宋体" w:cs="宋体"/>
          <w:bCs/>
          <w:color w:val="auto"/>
          <w:sz w:val="21"/>
          <w:szCs w:val="21"/>
          <w:highlight w:val="none"/>
        </w:rPr>
        <w:t>必须明确所投产品的品牌、规格和尺寸及一些必须说明的内容，以及使用的材料的清单，同时明确生产</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制造）</w:t>
      </w:r>
      <w:r>
        <w:rPr>
          <w:rFonts w:hint="eastAsia" w:ascii="宋体" w:hAnsi="宋体" w:eastAsia="宋体" w:cs="宋体"/>
          <w:bCs/>
          <w:color w:val="auto"/>
          <w:sz w:val="21"/>
          <w:szCs w:val="21"/>
          <w:highlight w:val="none"/>
        </w:rPr>
        <w:t>厂家、规格等，并提供详细的材质说明，否则将可能导致其</w:t>
      </w:r>
      <w:r>
        <w:rPr>
          <w:rFonts w:hint="eastAsia" w:ascii="宋体" w:hAnsi="宋体" w:cs="宋体"/>
          <w:bCs/>
          <w:color w:val="auto"/>
          <w:sz w:val="21"/>
          <w:szCs w:val="21"/>
          <w:highlight w:val="none"/>
          <w:lang w:eastAsia="zh-CN"/>
        </w:rPr>
        <w:t>响应文件</w:t>
      </w:r>
      <w:r>
        <w:rPr>
          <w:rFonts w:hint="eastAsia" w:ascii="宋体" w:hAnsi="宋体" w:eastAsia="宋体" w:cs="宋体"/>
          <w:bCs/>
          <w:color w:val="auto"/>
          <w:sz w:val="21"/>
          <w:szCs w:val="21"/>
          <w:highlight w:val="none"/>
        </w:rPr>
        <w:t>被评标小组拒绝。</w:t>
      </w:r>
      <w:r>
        <w:rPr>
          <w:rFonts w:hint="eastAsia" w:ascii="宋体" w:hAnsi="宋体" w:cs="宋体"/>
          <w:bCs/>
          <w:color w:val="auto"/>
          <w:sz w:val="21"/>
          <w:szCs w:val="21"/>
          <w:highlight w:val="none"/>
          <w:lang w:eastAsia="zh-CN"/>
        </w:rPr>
        <w:t>响应人</w:t>
      </w:r>
      <w:r>
        <w:rPr>
          <w:rFonts w:hint="eastAsia" w:ascii="宋体" w:hAnsi="宋体" w:eastAsia="宋体" w:cs="宋体"/>
          <w:bCs/>
          <w:color w:val="auto"/>
          <w:sz w:val="21"/>
          <w:szCs w:val="21"/>
          <w:highlight w:val="none"/>
        </w:rPr>
        <w:t>须使用优质环保的原材料及五金件，并提供保证正常使用所必需的配件；并在</w:t>
      </w:r>
      <w:r>
        <w:rPr>
          <w:rFonts w:hint="eastAsia" w:ascii="宋体" w:hAnsi="宋体" w:cs="宋体"/>
          <w:bCs/>
          <w:color w:val="auto"/>
          <w:sz w:val="21"/>
          <w:szCs w:val="21"/>
          <w:highlight w:val="none"/>
          <w:lang w:eastAsia="zh-CN"/>
        </w:rPr>
        <w:t>响应文件</w:t>
      </w:r>
      <w:r>
        <w:rPr>
          <w:rFonts w:hint="eastAsia" w:ascii="宋体" w:hAnsi="宋体" w:eastAsia="宋体" w:cs="宋体"/>
          <w:bCs/>
          <w:color w:val="auto"/>
          <w:sz w:val="21"/>
          <w:szCs w:val="21"/>
          <w:highlight w:val="none"/>
        </w:rPr>
        <w:t>中列出清单，在保修期满后以优惠价格供应正常使用所必需的其他配件，列出清单，标明名称、单价和生产</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制造）</w:t>
      </w:r>
      <w:r>
        <w:rPr>
          <w:rFonts w:hint="eastAsia" w:ascii="宋体" w:hAnsi="宋体" w:eastAsia="宋体" w:cs="宋体"/>
          <w:bCs/>
          <w:color w:val="auto"/>
          <w:sz w:val="21"/>
          <w:szCs w:val="21"/>
          <w:highlight w:val="none"/>
        </w:rPr>
        <w:t>厂家等，其费用在</w:t>
      </w:r>
      <w:r>
        <w:rPr>
          <w:rFonts w:hint="eastAsia" w:ascii="宋体" w:hAnsi="宋体" w:cs="宋体"/>
          <w:bCs/>
          <w:color w:val="auto"/>
          <w:sz w:val="21"/>
          <w:szCs w:val="21"/>
          <w:highlight w:val="none"/>
          <w:lang w:eastAsia="zh-CN"/>
        </w:rPr>
        <w:t>响应文件</w:t>
      </w:r>
      <w:r>
        <w:rPr>
          <w:rFonts w:hint="eastAsia" w:ascii="宋体" w:hAnsi="宋体" w:eastAsia="宋体" w:cs="宋体"/>
          <w:bCs/>
          <w:color w:val="auto"/>
          <w:sz w:val="21"/>
          <w:szCs w:val="21"/>
          <w:highlight w:val="none"/>
        </w:rPr>
        <w:t>中列明，但不包括在本次投标总价中。采购清单中若出现品牌则仅作为参考，</w:t>
      </w:r>
      <w:r>
        <w:rPr>
          <w:rFonts w:hint="eastAsia" w:ascii="宋体" w:hAnsi="宋体" w:cs="宋体"/>
          <w:bCs/>
          <w:color w:val="auto"/>
          <w:sz w:val="21"/>
          <w:szCs w:val="21"/>
          <w:highlight w:val="none"/>
          <w:lang w:eastAsia="zh-CN"/>
        </w:rPr>
        <w:t>响应人</w:t>
      </w:r>
      <w:r>
        <w:rPr>
          <w:rFonts w:hint="eastAsia" w:ascii="宋体" w:hAnsi="宋体" w:eastAsia="宋体" w:cs="宋体"/>
          <w:bCs/>
          <w:color w:val="auto"/>
          <w:sz w:val="21"/>
          <w:szCs w:val="21"/>
          <w:highlight w:val="none"/>
        </w:rPr>
        <w:t>所投品牌必须在技术、功能、性能等参数上满足或优于</w:t>
      </w:r>
      <w:r>
        <w:rPr>
          <w:rFonts w:hint="eastAsia" w:ascii="宋体" w:hAnsi="宋体" w:cs="宋体"/>
          <w:bCs/>
          <w:color w:val="auto"/>
          <w:sz w:val="21"/>
          <w:szCs w:val="21"/>
          <w:highlight w:val="none"/>
          <w:lang w:eastAsia="zh-CN"/>
        </w:rPr>
        <w:t>采购文件</w:t>
      </w:r>
      <w:r>
        <w:rPr>
          <w:rFonts w:hint="eastAsia" w:ascii="宋体" w:hAnsi="宋体" w:eastAsia="宋体" w:cs="宋体"/>
          <w:bCs/>
          <w:color w:val="auto"/>
          <w:sz w:val="21"/>
          <w:szCs w:val="21"/>
          <w:highlight w:val="none"/>
        </w:rPr>
        <w:t>中品牌的要求。</w:t>
      </w:r>
    </w:p>
    <w:p>
      <w:pPr>
        <w:keepNext w:val="0"/>
        <w:keepLines w:val="0"/>
        <w:pageBreakBefore w:val="0"/>
        <w:widowControl w:val="0"/>
        <w:kinsoku/>
        <w:wordWrap/>
        <w:overflowPunct/>
        <w:topLinePunct w:val="0"/>
        <w:autoSpaceDE/>
        <w:autoSpaceDN/>
        <w:bidi w:val="0"/>
        <w:snapToGrid/>
        <w:spacing w:line="420" w:lineRule="exact"/>
        <w:ind w:firstLine="420" w:firstLineChars="200"/>
        <w:jc w:val="both"/>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4、</w:t>
      </w:r>
      <w:r>
        <w:rPr>
          <w:rFonts w:hint="eastAsia" w:ascii="宋体" w:hAnsi="宋体" w:eastAsia="宋体" w:cs="宋体"/>
          <w:bCs/>
          <w:color w:val="auto"/>
          <w:sz w:val="21"/>
          <w:szCs w:val="21"/>
          <w:highlight w:val="none"/>
          <w:lang w:val="en-US" w:eastAsia="zh-CN"/>
        </w:rPr>
        <w:t>本项目采用全费用单价报价；</w:t>
      </w:r>
      <w:r>
        <w:rPr>
          <w:rFonts w:hint="eastAsia" w:ascii="宋体" w:hAnsi="宋体" w:cs="宋体"/>
          <w:bCs/>
          <w:color w:val="auto"/>
          <w:sz w:val="21"/>
          <w:szCs w:val="21"/>
          <w:highlight w:val="none"/>
          <w:lang w:eastAsia="zh-CN"/>
        </w:rPr>
        <w:t>响应文件</w:t>
      </w:r>
      <w:r>
        <w:rPr>
          <w:rFonts w:hint="eastAsia" w:ascii="宋体" w:hAnsi="宋体" w:eastAsia="宋体" w:cs="宋体"/>
          <w:bCs/>
          <w:color w:val="auto"/>
          <w:sz w:val="21"/>
          <w:szCs w:val="21"/>
          <w:highlight w:val="none"/>
        </w:rPr>
        <w:t>中的投标</w:t>
      </w:r>
      <w:r>
        <w:rPr>
          <w:rFonts w:hint="eastAsia" w:ascii="宋体" w:hAnsi="宋体" w:eastAsia="宋体" w:cs="宋体"/>
          <w:bCs/>
          <w:color w:val="auto"/>
          <w:sz w:val="21"/>
          <w:szCs w:val="21"/>
          <w:highlight w:val="none"/>
          <w:lang w:val="en-US" w:eastAsia="zh-CN"/>
        </w:rPr>
        <w:t>全费用单价</w:t>
      </w:r>
      <w:r>
        <w:rPr>
          <w:rFonts w:hint="eastAsia" w:ascii="宋体" w:hAnsi="宋体" w:eastAsia="宋体" w:cs="宋体"/>
          <w:bCs/>
          <w:color w:val="auto"/>
          <w:sz w:val="21"/>
          <w:szCs w:val="21"/>
          <w:highlight w:val="none"/>
        </w:rPr>
        <w:t>包括所投产品及其备品、备件和专用工具费用、税费及包装、运至最终目的地的运输、保险、现场吊装、搬运费</w:t>
      </w:r>
      <w:r>
        <w:rPr>
          <w:rFonts w:hint="eastAsia" w:ascii="宋体" w:hAnsi="宋体" w:cs="宋体"/>
          <w:bCs/>
          <w:color w:val="auto"/>
          <w:sz w:val="21"/>
          <w:szCs w:val="21"/>
          <w:highlight w:val="none"/>
          <w:lang w:eastAsia="zh-CN"/>
        </w:rPr>
        <w:t>（</w:t>
      </w:r>
      <w:r>
        <w:rPr>
          <w:rFonts w:hint="eastAsia" w:ascii="宋体" w:hAnsi="宋体" w:cs="宋体"/>
          <w:bCs/>
          <w:color w:val="auto"/>
          <w:sz w:val="21"/>
          <w:szCs w:val="21"/>
          <w:highlight w:val="none"/>
          <w:lang w:val="en-US" w:eastAsia="zh-CN"/>
        </w:rPr>
        <w:t>含二次搬运</w:t>
      </w:r>
      <w:r>
        <w:rPr>
          <w:rFonts w:hint="eastAsia" w:ascii="宋体" w:hAnsi="宋体" w:cs="宋体"/>
          <w:bCs/>
          <w:color w:val="auto"/>
          <w:sz w:val="21"/>
          <w:szCs w:val="21"/>
          <w:highlight w:val="none"/>
          <w:lang w:eastAsia="zh-CN"/>
        </w:rPr>
        <w:t>）</w:t>
      </w:r>
      <w:r>
        <w:rPr>
          <w:rFonts w:hint="eastAsia" w:ascii="宋体" w:hAnsi="宋体" w:eastAsia="宋体" w:cs="宋体"/>
          <w:bCs/>
          <w:color w:val="auto"/>
          <w:sz w:val="21"/>
          <w:szCs w:val="21"/>
          <w:highlight w:val="none"/>
        </w:rPr>
        <w:t>、安装调试、</w:t>
      </w:r>
      <w:r>
        <w:rPr>
          <w:rFonts w:hint="eastAsia" w:ascii="宋体" w:hAnsi="宋体" w:cs="宋体"/>
          <w:bCs/>
          <w:color w:val="auto"/>
          <w:sz w:val="21"/>
          <w:szCs w:val="21"/>
          <w:highlight w:val="none"/>
          <w:lang w:val="en-US" w:eastAsia="zh-CN"/>
        </w:rPr>
        <w:t>搬运至指定位置、</w:t>
      </w:r>
      <w:r>
        <w:rPr>
          <w:rFonts w:hint="eastAsia" w:ascii="宋体" w:hAnsi="宋体" w:eastAsia="宋体" w:cs="宋体"/>
          <w:bCs/>
          <w:color w:val="auto"/>
          <w:sz w:val="21"/>
          <w:szCs w:val="21"/>
          <w:highlight w:val="none"/>
        </w:rPr>
        <w:t>检测验收、</w:t>
      </w:r>
      <w:r>
        <w:rPr>
          <w:rFonts w:hint="eastAsia" w:ascii="宋体" w:hAnsi="宋体" w:cs="宋体"/>
          <w:bCs/>
          <w:color w:val="auto"/>
          <w:sz w:val="21"/>
          <w:szCs w:val="21"/>
          <w:highlight w:val="none"/>
          <w:lang w:val="en-US" w:eastAsia="zh-CN"/>
        </w:rPr>
        <w:t>抽样检测、环境检测</w:t>
      </w:r>
      <w:r>
        <w:rPr>
          <w:rFonts w:hint="eastAsia" w:ascii="宋体" w:hAnsi="宋体" w:eastAsia="宋体" w:cs="宋体"/>
          <w:bCs/>
          <w:color w:val="auto"/>
          <w:sz w:val="21"/>
          <w:szCs w:val="21"/>
          <w:highlight w:val="none"/>
        </w:rPr>
        <w:t>、技术支持与培训、售后服务与维保及相关劳务支出等工作所发生的全部费用以及</w:t>
      </w:r>
      <w:r>
        <w:rPr>
          <w:rFonts w:hint="eastAsia" w:ascii="宋体" w:hAnsi="宋体" w:cs="宋体"/>
          <w:bCs/>
          <w:color w:val="auto"/>
          <w:sz w:val="21"/>
          <w:szCs w:val="21"/>
          <w:highlight w:val="none"/>
          <w:lang w:eastAsia="zh-CN"/>
        </w:rPr>
        <w:t>响应人</w:t>
      </w:r>
      <w:r>
        <w:rPr>
          <w:rFonts w:hint="eastAsia" w:ascii="宋体" w:hAnsi="宋体" w:eastAsia="宋体" w:cs="宋体"/>
          <w:bCs/>
          <w:color w:val="auto"/>
          <w:sz w:val="21"/>
          <w:szCs w:val="21"/>
          <w:highlight w:val="none"/>
        </w:rPr>
        <w:t>企业利润、税金和政策性文件规定及合同包含的所有风险、责任等各项应有费用。</w:t>
      </w:r>
    </w:p>
    <w:p>
      <w:pPr>
        <w:keepNext w:val="0"/>
        <w:keepLines w:val="0"/>
        <w:pageBreakBefore w:val="0"/>
        <w:widowControl w:val="0"/>
        <w:kinsoku/>
        <w:wordWrap/>
        <w:overflowPunct/>
        <w:topLinePunct w:val="0"/>
        <w:autoSpaceDE/>
        <w:autoSpaceDN/>
        <w:bidi w:val="0"/>
        <w:snapToGrid/>
        <w:spacing w:line="420" w:lineRule="exact"/>
        <w:ind w:firstLine="420" w:firstLineChars="200"/>
        <w:jc w:val="both"/>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5、</w:t>
      </w:r>
      <w:r>
        <w:rPr>
          <w:rFonts w:hint="eastAsia" w:ascii="宋体" w:hAnsi="宋体" w:cs="宋体"/>
          <w:bCs/>
          <w:color w:val="auto"/>
          <w:sz w:val="21"/>
          <w:szCs w:val="21"/>
          <w:highlight w:val="none"/>
          <w:lang w:eastAsia="zh-CN"/>
        </w:rPr>
        <w:t>响应人</w:t>
      </w:r>
      <w:r>
        <w:rPr>
          <w:rFonts w:hint="eastAsia" w:ascii="宋体" w:hAnsi="宋体" w:eastAsia="宋体" w:cs="宋体"/>
          <w:bCs/>
          <w:color w:val="auto"/>
          <w:sz w:val="21"/>
          <w:szCs w:val="21"/>
          <w:highlight w:val="none"/>
        </w:rPr>
        <w:t>应提供绿色环保的货物</w:t>
      </w:r>
      <w:r>
        <w:rPr>
          <w:rFonts w:hint="eastAsia" w:ascii="宋体" w:hAnsi="宋体" w:eastAsia="宋体" w:cs="宋体"/>
          <w:snapToGrid w:val="0"/>
          <w:color w:val="auto"/>
          <w:spacing w:val="-4"/>
          <w:kern w:val="2"/>
          <w:sz w:val="21"/>
          <w:szCs w:val="21"/>
          <w:highlight w:val="none"/>
        </w:rPr>
        <w:t>。</w:t>
      </w:r>
      <w:r>
        <w:rPr>
          <w:rFonts w:hint="eastAsia" w:ascii="宋体" w:hAnsi="宋体" w:eastAsia="宋体" w:cs="宋体"/>
          <w:bCs/>
          <w:color w:val="auto"/>
          <w:sz w:val="21"/>
          <w:szCs w:val="21"/>
          <w:highlight w:val="none"/>
        </w:rPr>
        <w:t>所使用的主辅材料应符合国家环保标准。</w:t>
      </w:r>
      <w:r>
        <w:rPr>
          <w:rFonts w:hint="eastAsia" w:ascii="宋体" w:hAnsi="宋体" w:cs="宋体"/>
          <w:bCs/>
          <w:color w:val="auto"/>
          <w:sz w:val="21"/>
          <w:szCs w:val="21"/>
          <w:highlight w:val="none"/>
          <w:lang w:eastAsia="zh-CN"/>
        </w:rPr>
        <w:t>采购文件</w:t>
      </w:r>
      <w:r>
        <w:rPr>
          <w:rFonts w:hint="eastAsia" w:ascii="宋体" w:hAnsi="宋体" w:eastAsia="宋体" w:cs="宋体"/>
          <w:bCs/>
          <w:color w:val="auto"/>
          <w:sz w:val="21"/>
          <w:szCs w:val="21"/>
          <w:highlight w:val="none"/>
        </w:rPr>
        <w:t>中的材质要求为最低参照要求，如有偏离只能高于原材质要求，低于原材质要求的</w:t>
      </w:r>
      <w:r>
        <w:rPr>
          <w:rFonts w:hint="eastAsia" w:ascii="宋体" w:hAnsi="宋体" w:cs="宋体"/>
          <w:bCs/>
          <w:color w:val="auto"/>
          <w:sz w:val="21"/>
          <w:szCs w:val="21"/>
          <w:highlight w:val="none"/>
          <w:lang w:eastAsia="zh-CN"/>
        </w:rPr>
        <w:t>响应文件</w:t>
      </w:r>
      <w:r>
        <w:rPr>
          <w:rFonts w:hint="eastAsia" w:ascii="宋体" w:hAnsi="宋体" w:eastAsia="宋体" w:cs="宋体"/>
          <w:bCs/>
          <w:color w:val="auto"/>
          <w:sz w:val="21"/>
          <w:szCs w:val="21"/>
          <w:highlight w:val="none"/>
        </w:rPr>
        <w:t>为无效</w:t>
      </w:r>
      <w:r>
        <w:rPr>
          <w:rFonts w:hint="eastAsia" w:ascii="宋体" w:hAnsi="宋体" w:cs="宋体"/>
          <w:bCs/>
          <w:color w:val="auto"/>
          <w:sz w:val="21"/>
          <w:szCs w:val="21"/>
          <w:highlight w:val="none"/>
          <w:lang w:eastAsia="zh-CN"/>
        </w:rPr>
        <w:t>响应文件</w:t>
      </w:r>
      <w:r>
        <w:rPr>
          <w:rFonts w:hint="eastAsia" w:ascii="宋体" w:hAnsi="宋体" w:eastAsia="宋体" w:cs="宋体"/>
          <w:bCs/>
          <w:color w:val="auto"/>
          <w:sz w:val="21"/>
          <w:szCs w:val="21"/>
          <w:highlight w:val="none"/>
        </w:rPr>
        <w:t xml:space="preserve">。  </w:t>
      </w:r>
    </w:p>
    <w:p>
      <w:pPr>
        <w:keepNext w:val="0"/>
        <w:keepLines w:val="0"/>
        <w:pageBreakBefore w:val="0"/>
        <w:widowControl w:val="0"/>
        <w:tabs>
          <w:tab w:val="left" w:pos="142"/>
        </w:tabs>
        <w:kinsoku/>
        <w:wordWrap/>
        <w:overflowPunct/>
        <w:topLinePunct w:val="0"/>
        <w:autoSpaceDE/>
        <w:autoSpaceDN/>
        <w:bidi w:val="0"/>
        <w:snapToGrid/>
        <w:spacing w:line="420" w:lineRule="exact"/>
        <w:ind w:firstLine="315" w:firstLineChars="150"/>
        <w:jc w:val="both"/>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6、</w:t>
      </w:r>
      <w:r>
        <w:rPr>
          <w:rFonts w:hint="eastAsia" w:ascii="宋体" w:hAnsi="宋体" w:cs="宋体"/>
          <w:bCs/>
          <w:color w:val="auto"/>
          <w:sz w:val="21"/>
          <w:szCs w:val="21"/>
          <w:highlight w:val="none"/>
          <w:lang w:eastAsia="zh-CN"/>
        </w:rPr>
        <w:t>响应人</w:t>
      </w:r>
      <w:r>
        <w:rPr>
          <w:rFonts w:hint="eastAsia" w:ascii="宋体" w:hAnsi="宋体" w:eastAsia="宋体" w:cs="宋体"/>
          <w:color w:val="auto"/>
          <w:sz w:val="21"/>
          <w:szCs w:val="21"/>
          <w:highlight w:val="none"/>
        </w:rPr>
        <w:t>应保证所提供货物涉及到的知识产权是合法取得，并享有完整的知识产权，不会因为需方的使用而被责令停止使用、追偿或要求赔偿损失，如出现此情况，一切经济和法律责任均由供方承担。</w:t>
      </w:r>
      <w:r>
        <w:rPr>
          <w:rFonts w:hint="eastAsia" w:ascii="宋体" w:hAnsi="宋体" w:cs="宋体"/>
          <w:color w:val="auto"/>
          <w:sz w:val="21"/>
          <w:szCs w:val="21"/>
          <w:highlight w:val="none"/>
          <w:lang w:val="en-US" w:eastAsia="zh-CN"/>
        </w:rPr>
        <w:t>响应人</w:t>
      </w:r>
      <w:r>
        <w:rPr>
          <w:rFonts w:hint="eastAsia" w:ascii="宋体" w:hAnsi="宋体" w:eastAsia="宋体" w:cs="宋体"/>
          <w:color w:val="auto"/>
          <w:sz w:val="21"/>
          <w:szCs w:val="21"/>
          <w:highlight w:val="none"/>
        </w:rPr>
        <w:t>提供的所有货物必须为合格产品，质量符合国家通用标准，如出现质量问题或系假冒伪劣产品，</w:t>
      </w:r>
      <w:r>
        <w:rPr>
          <w:rFonts w:hint="eastAsia" w:ascii="宋体" w:hAnsi="宋体" w:cs="宋体"/>
          <w:color w:val="auto"/>
          <w:sz w:val="21"/>
          <w:szCs w:val="21"/>
          <w:highlight w:val="none"/>
          <w:lang w:eastAsia="zh-CN"/>
        </w:rPr>
        <w:t>响应人</w:t>
      </w:r>
      <w:r>
        <w:rPr>
          <w:rFonts w:hint="eastAsia" w:ascii="宋体" w:hAnsi="宋体" w:eastAsia="宋体" w:cs="宋体"/>
          <w:color w:val="auto"/>
          <w:sz w:val="21"/>
          <w:szCs w:val="21"/>
          <w:highlight w:val="none"/>
        </w:rPr>
        <w:t>负责包退、包换，发生的费用由</w:t>
      </w:r>
      <w:r>
        <w:rPr>
          <w:rFonts w:hint="eastAsia" w:ascii="宋体" w:hAnsi="宋体" w:cs="宋体"/>
          <w:color w:val="auto"/>
          <w:sz w:val="21"/>
          <w:szCs w:val="21"/>
          <w:highlight w:val="none"/>
          <w:lang w:eastAsia="zh-CN"/>
        </w:rPr>
        <w:t>响应人</w:t>
      </w:r>
      <w:r>
        <w:rPr>
          <w:rFonts w:hint="eastAsia" w:ascii="宋体" w:hAnsi="宋体" w:eastAsia="宋体" w:cs="宋体"/>
          <w:color w:val="auto"/>
          <w:sz w:val="21"/>
          <w:szCs w:val="21"/>
          <w:highlight w:val="none"/>
        </w:rPr>
        <w:t>负责。</w:t>
      </w:r>
    </w:p>
    <w:p>
      <w:pPr>
        <w:keepNext w:val="0"/>
        <w:keepLines w:val="0"/>
        <w:pageBreakBefore w:val="0"/>
        <w:widowControl w:val="0"/>
        <w:kinsoku/>
        <w:wordWrap/>
        <w:overflowPunct/>
        <w:topLinePunct w:val="0"/>
        <w:autoSpaceDE/>
        <w:autoSpaceDN/>
        <w:bidi w:val="0"/>
        <w:snapToGrid/>
        <w:spacing w:line="420" w:lineRule="exact"/>
        <w:ind w:firstLine="420" w:firstLineChars="200"/>
        <w:jc w:val="both"/>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7、中标后，标的物材质不得改变。在</w:t>
      </w:r>
      <w:r>
        <w:rPr>
          <w:rFonts w:hint="eastAsia" w:ascii="宋体" w:hAnsi="宋体" w:cs="宋体"/>
          <w:bCs/>
          <w:color w:val="auto"/>
          <w:sz w:val="21"/>
          <w:szCs w:val="21"/>
          <w:highlight w:val="none"/>
          <w:lang w:val="en-US" w:eastAsia="zh-CN"/>
        </w:rPr>
        <w:t>成交</w:t>
      </w:r>
      <w:r>
        <w:rPr>
          <w:rFonts w:hint="eastAsia" w:ascii="宋体" w:hAnsi="宋体" w:eastAsia="宋体" w:cs="宋体"/>
          <w:bCs/>
          <w:color w:val="auto"/>
          <w:sz w:val="21"/>
          <w:szCs w:val="21"/>
          <w:highlight w:val="none"/>
        </w:rPr>
        <w:t>单价不变的前提下，各标的物的款式及颜色由采购</w:t>
      </w:r>
      <w:r>
        <w:rPr>
          <w:rFonts w:hint="eastAsia" w:ascii="宋体" w:hAnsi="宋体" w:cs="宋体"/>
          <w:bCs/>
          <w:color w:val="auto"/>
          <w:sz w:val="21"/>
          <w:szCs w:val="21"/>
          <w:highlight w:val="none"/>
          <w:lang w:val="en-US" w:eastAsia="zh-CN"/>
        </w:rPr>
        <w:t>人</w:t>
      </w:r>
      <w:r>
        <w:rPr>
          <w:rFonts w:hint="eastAsia" w:ascii="宋体" w:hAnsi="宋体" w:eastAsia="宋体" w:cs="宋体"/>
          <w:bCs/>
          <w:color w:val="auto"/>
          <w:sz w:val="21"/>
          <w:szCs w:val="21"/>
          <w:highlight w:val="none"/>
        </w:rPr>
        <w:t>确定，同时中标标的物的规格尺寸在±10</w:t>
      </w:r>
      <w:r>
        <w:rPr>
          <w:rFonts w:hint="eastAsia" w:ascii="宋体" w:hAnsi="宋体" w:eastAsia="宋体" w:cs="宋体"/>
          <w:bCs/>
          <w:color w:val="auto"/>
          <w:sz w:val="21"/>
          <w:szCs w:val="21"/>
          <w:highlight w:val="none"/>
          <w:lang w:val="en-US" w:eastAsia="zh-CN"/>
        </w:rPr>
        <w:t>%</w:t>
      </w:r>
      <w:r>
        <w:rPr>
          <w:rFonts w:hint="eastAsia" w:ascii="宋体" w:hAnsi="宋体" w:eastAsia="宋体" w:cs="宋体"/>
          <w:bCs/>
          <w:color w:val="auto"/>
          <w:sz w:val="21"/>
          <w:szCs w:val="21"/>
          <w:highlight w:val="none"/>
        </w:rPr>
        <w:t>范围内由</w:t>
      </w:r>
      <w:r>
        <w:rPr>
          <w:rFonts w:hint="eastAsia" w:ascii="宋体" w:hAnsi="宋体" w:cs="宋体"/>
          <w:bCs/>
          <w:color w:val="auto"/>
          <w:sz w:val="21"/>
          <w:szCs w:val="21"/>
          <w:highlight w:val="none"/>
          <w:lang w:eastAsia="zh-CN"/>
        </w:rPr>
        <w:t>采购人</w:t>
      </w:r>
      <w:r>
        <w:rPr>
          <w:rFonts w:hint="eastAsia" w:ascii="宋体" w:hAnsi="宋体" w:eastAsia="宋体" w:cs="宋体"/>
          <w:bCs/>
          <w:color w:val="auto"/>
          <w:sz w:val="21"/>
          <w:szCs w:val="21"/>
          <w:highlight w:val="none"/>
        </w:rPr>
        <w:t>确定，</w:t>
      </w:r>
      <w:r>
        <w:rPr>
          <w:rFonts w:hint="eastAsia" w:ascii="宋体" w:hAnsi="宋体" w:cs="宋体"/>
          <w:bCs/>
          <w:color w:val="auto"/>
          <w:sz w:val="21"/>
          <w:szCs w:val="21"/>
          <w:highlight w:val="none"/>
          <w:lang w:eastAsia="zh-CN"/>
        </w:rPr>
        <w:t>中标响应人</w:t>
      </w:r>
      <w:r>
        <w:rPr>
          <w:rFonts w:hint="eastAsia" w:ascii="宋体" w:hAnsi="宋体" w:eastAsia="宋体" w:cs="宋体"/>
          <w:bCs/>
          <w:color w:val="auto"/>
          <w:sz w:val="21"/>
          <w:szCs w:val="21"/>
          <w:highlight w:val="none"/>
        </w:rPr>
        <w:t>自行承担相关费用，</w:t>
      </w:r>
      <w:r>
        <w:rPr>
          <w:rFonts w:hint="eastAsia" w:ascii="宋体" w:hAnsi="宋体" w:cs="宋体"/>
          <w:bCs/>
          <w:color w:val="auto"/>
          <w:sz w:val="21"/>
          <w:szCs w:val="21"/>
          <w:highlight w:val="none"/>
          <w:lang w:eastAsia="zh-CN"/>
        </w:rPr>
        <w:t>采购人</w:t>
      </w:r>
      <w:r>
        <w:rPr>
          <w:rFonts w:hint="eastAsia" w:ascii="宋体" w:hAnsi="宋体" w:eastAsia="宋体" w:cs="宋体"/>
          <w:bCs/>
          <w:color w:val="auto"/>
          <w:sz w:val="21"/>
          <w:szCs w:val="21"/>
          <w:highlight w:val="none"/>
        </w:rPr>
        <w:t>不予考虑。</w:t>
      </w:r>
    </w:p>
    <w:p>
      <w:pPr>
        <w:keepNext w:val="0"/>
        <w:keepLines w:val="0"/>
        <w:pageBreakBefore w:val="0"/>
        <w:widowControl w:val="0"/>
        <w:kinsoku/>
        <w:wordWrap/>
        <w:overflowPunct/>
        <w:topLinePunct w:val="0"/>
        <w:autoSpaceDE/>
        <w:autoSpaceDN/>
        <w:bidi w:val="0"/>
        <w:snapToGrid/>
        <w:spacing w:line="420" w:lineRule="exact"/>
        <w:ind w:firstLine="420" w:firstLineChars="200"/>
        <w:jc w:val="both"/>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8、所有设备在到达安装现场时须经</w:t>
      </w:r>
      <w:r>
        <w:rPr>
          <w:rFonts w:hint="eastAsia" w:ascii="宋体" w:hAnsi="宋体" w:cs="宋体"/>
          <w:bCs/>
          <w:color w:val="auto"/>
          <w:sz w:val="21"/>
          <w:szCs w:val="21"/>
          <w:highlight w:val="none"/>
          <w:lang w:eastAsia="zh-CN"/>
        </w:rPr>
        <w:t>采购人</w:t>
      </w:r>
      <w:r>
        <w:rPr>
          <w:rFonts w:hint="eastAsia" w:ascii="宋体" w:hAnsi="宋体" w:eastAsia="宋体" w:cs="宋体"/>
          <w:bCs/>
          <w:color w:val="auto"/>
          <w:sz w:val="21"/>
          <w:szCs w:val="21"/>
          <w:highlight w:val="none"/>
        </w:rPr>
        <w:t>技术人员记录验收后才可进行设备安装，验货时须提交该产品的原厂质量合格证明及服务质保证明文件。所有设备、附（配）件应具备该类产品的功能要求，无瑕疵和缺陷，质量为合格产品。缺陷保修：如果设备交付使用后，缺陷多次反复出现，中标方必须提出分析报告和解决方案，更换该产品，直到最后纠正缺陷、</w:t>
      </w:r>
      <w:r>
        <w:rPr>
          <w:rFonts w:hint="eastAsia" w:ascii="宋体" w:hAnsi="宋体" w:cs="宋体"/>
          <w:bCs/>
          <w:color w:val="auto"/>
          <w:sz w:val="21"/>
          <w:szCs w:val="21"/>
          <w:highlight w:val="none"/>
          <w:lang w:eastAsia="zh-CN"/>
        </w:rPr>
        <w:t>响应人</w:t>
      </w:r>
      <w:r>
        <w:rPr>
          <w:rFonts w:hint="eastAsia" w:ascii="宋体" w:hAnsi="宋体" w:eastAsia="宋体" w:cs="宋体"/>
          <w:bCs/>
          <w:color w:val="auto"/>
          <w:sz w:val="21"/>
          <w:szCs w:val="21"/>
          <w:highlight w:val="none"/>
        </w:rPr>
        <w:t>提供质保从纠正之日起重新计算质保期。如果是超出</w:t>
      </w:r>
      <w:r>
        <w:rPr>
          <w:rFonts w:hint="eastAsia" w:ascii="宋体" w:hAnsi="宋体" w:cs="宋体"/>
          <w:bCs/>
          <w:color w:val="auto"/>
          <w:sz w:val="21"/>
          <w:szCs w:val="21"/>
          <w:highlight w:val="none"/>
          <w:lang w:eastAsia="zh-CN"/>
        </w:rPr>
        <w:t>响应人</w:t>
      </w:r>
      <w:r>
        <w:rPr>
          <w:rFonts w:hint="eastAsia" w:ascii="宋体" w:hAnsi="宋体" w:eastAsia="宋体" w:cs="宋体"/>
          <w:bCs/>
          <w:color w:val="auto"/>
          <w:sz w:val="21"/>
          <w:szCs w:val="21"/>
          <w:highlight w:val="none"/>
        </w:rPr>
        <w:t>的责任范围的疏忽、误操作等情况而导致的更换修正，应由</w:t>
      </w:r>
      <w:r>
        <w:rPr>
          <w:rFonts w:hint="eastAsia" w:ascii="宋体" w:hAnsi="宋体" w:cs="宋体"/>
          <w:bCs/>
          <w:color w:val="auto"/>
          <w:sz w:val="21"/>
          <w:szCs w:val="21"/>
          <w:highlight w:val="none"/>
          <w:lang w:eastAsia="zh-CN"/>
        </w:rPr>
        <w:t>响应人</w:t>
      </w:r>
      <w:r>
        <w:rPr>
          <w:rFonts w:hint="eastAsia" w:ascii="宋体" w:hAnsi="宋体" w:eastAsia="宋体" w:cs="宋体"/>
          <w:bCs/>
          <w:color w:val="auto"/>
          <w:sz w:val="21"/>
          <w:szCs w:val="21"/>
          <w:highlight w:val="none"/>
        </w:rPr>
        <w:t>进行修理，其额外费用由双方协商承担。</w:t>
      </w:r>
    </w:p>
    <w:p>
      <w:pPr>
        <w:keepNext w:val="0"/>
        <w:keepLines w:val="0"/>
        <w:pageBreakBefore w:val="0"/>
        <w:widowControl w:val="0"/>
        <w:kinsoku/>
        <w:wordWrap/>
        <w:overflowPunct/>
        <w:topLinePunct w:val="0"/>
        <w:autoSpaceDE/>
        <w:autoSpaceDN/>
        <w:bidi w:val="0"/>
        <w:snapToGrid/>
        <w:spacing w:line="420" w:lineRule="exact"/>
        <w:ind w:firstLine="420" w:firstLineChars="200"/>
        <w:jc w:val="both"/>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9、交货时间：</w:t>
      </w:r>
      <w:r>
        <w:rPr>
          <w:rFonts w:hint="default" w:ascii="宋体" w:hAnsi="宋体" w:cs="宋体"/>
          <w:color w:val="auto"/>
          <w:sz w:val="21"/>
          <w:szCs w:val="21"/>
          <w:highlight w:val="none"/>
          <w:lang w:val="en-US" w:eastAsia="zh-CN"/>
        </w:rPr>
        <w:t>合同签订后</w:t>
      </w:r>
      <w:r>
        <w:rPr>
          <w:rFonts w:hint="eastAsia" w:ascii="宋体" w:hAnsi="宋体" w:cs="宋体"/>
          <w:color w:val="auto"/>
          <w:sz w:val="21"/>
          <w:szCs w:val="21"/>
          <w:highlight w:val="none"/>
          <w:lang w:val="en-US" w:eastAsia="zh-CN"/>
        </w:rPr>
        <w:t>25</w:t>
      </w:r>
      <w:r>
        <w:rPr>
          <w:rFonts w:hint="default" w:ascii="宋体" w:hAnsi="宋体" w:cs="宋体"/>
          <w:color w:val="auto"/>
          <w:sz w:val="21"/>
          <w:szCs w:val="21"/>
          <w:highlight w:val="none"/>
          <w:lang w:val="en-US" w:eastAsia="zh-CN"/>
        </w:rPr>
        <w:t>日历天内交货并完成调试，如不能如期供货，采购人有权终止合同，中标</w:t>
      </w:r>
      <w:r>
        <w:rPr>
          <w:rFonts w:hint="eastAsia" w:ascii="宋体" w:hAnsi="宋体" w:cs="宋体"/>
          <w:color w:val="auto"/>
          <w:sz w:val="21"/>
          <w:szCs w:val="21"/>
          <w:highlight w:val="none"/>
          <w:lang w:val="en-US" w:eastAsia="zh-CN"/>
        </w:rPr>
        <w:t>响应人</w:t>
      </w:r>
      <w:r>
        <w:rPr>
          <w:rFonts w:hint="default" w:ascii="宋体" w:hAnsi="宋体" w:cs="宋体"/>
          <w:color w:val="auto"/>
          <w:sz w:val="21"/>
          <w:szCs w:val="21"/>
          <w:highlight w:val="none"/>
          <w:lang w:val="en-US" w:eastAsia="zh-CN"/>
        </w:rPr>
        <w:t>须承担由此对采购人造成的损失。</w:t>
      </w:r>
    </w:p>
    <w:p>
      <w:pPr>
        <w:keepNext w:val="0"/>
        <w:keepLines w:val="0"/>
        <w:pageBreakBefore w:val="0"/>
        <w:widowControl w:val="0"/>
        <w:kinsoku/>
        <w:wordWrap/>
        <w:overflowPunct/>
        <w:topLinePunct w:val="0"/>
        <w:autoSpaceDE/>
        <w:autoSpaceDN/>
        <w:bidi w:val="0"/>
        <w:snapToGrid/>
        <w:spacing w:line="420" w:lineRule="exact"/>
        <w:ind w:firstLine="420" w:firstLineChars="200"/>
        <w:jc w:val="both"/>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10、交货地点：甲方指定地点。</w:t>
      </w:r>
    </w:p>
    <w:p>
      <w:pPr>
        <w:keepNext w:val="0"/>
        <w:keepLines w:val="0"/>
        <w:pageBreakBefore w:val="0"/>
        <w:widowControl w:val="0"/>
        <w:kinsoku/>
        <w:wordWrap/>
        <w:overflowPunct/>
        <w:topLinePunct w:val="0"/>
        <w:autoSpaceDE/>
        <w:autoSpaceDN/>
        <w:bidi w:val="0"/>
        <w:snapToGrid/>
        <w:spacing w:line="420" w:lineRule="exact"/>
        <w:ind w:firstLine="420" w:firstLineChars="200"/>
        <w:jc w:val="both"/>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11、安装调试要求：</w:t>
      </w:r>
      <w:r>
        <w:rPr>
          <w:rFonts w:hint="eastAsia" w:ascii="宋体" w:hAnsi="宋体" w:cs="宋体"/>
          <w:bCs/>
          <w:color w:val="auto"/>
          <w:sz w:val="21"/>
          <w:szCs w:val="21"/>
          <w:highlight w:val="none"/>
          <w:lang w:eastAsia="zh-CN"/>
        </w:rPr>
        <w:t>中标响应人</w:t>
      </w:r>
      <w:r>
        <w:rPr>
          <w:rFonts w:hint="eastAsia" w:ascii="宋体" w:hAnsi="宋体" w:eastAsia="宋体" w:cs="宋体"/>
          <w:bCs/>
          <w:color w:val="auto"/>
          <w:sz w:val="21"/>
          <w:szCs w:val="21"/>
          <w:highlight w:val="none"/>
        </w:rPr>
        <w:t>应遵守现场的一切规章制度，文明施工；</w:t>
      </w:r>
      <w:r>
        <w:rPr>
          <w:rFonts w:hint="eastAsia" w:ascii="宋体" w:hAnsi="宋体" w:cs="宋体"/>
          <w:bCs/>
          <w:color w:val="auto"/>
          <w:sz w:val="21"/>
          <w:szCs w:val="21"/>
          <w:highlight w:val="none"/>
          <w:lang w:eastAsia="zh-CN"/>
        </w:rPr>
        <w:t>中标响应人</w:t>
      </w:r>
      <w:r>
        <w:rPr>
          <w:rFonts w:hint="eastAsia" w:ascii="宋体" w:hAnsi="宋体" w:eastAsia="宋体" w:cs="宋体"/>
          <w:bCs/>
          <w:color w:val="auto"/>
          <w:sz w:val="21"/>
          <w:szCs w:val="21"/>
          <w:highlight w:val="none"/>
        </w:rPr>
        <w:t>负责保管、看护进场的设备及附配件直至完成安装调试验收合格后交付采购人；</w:t>
      </w:r>
      <w:r>
        <w:rPr>
          <w:rFonts w:hint="eastAsia" w:ascii="宋体" w:hAnsi="宋体" w:cs="宋体"/>
          <w:bCs/>
          <w:color w:val="auto"/>
          <w:sz w:val="21"/>
          <w:szCs w:val="21"/>
          <w:highlight w:val="none"/>
          <w:lang w:eastAsia="zh-CN"/>
        </w:rPr>
        <w:t>中标响应人</w:t>
      </w:r>
      <w:r>
        <w:rPr>
          <w:rFonts w:hint="eastAsia" w:ascii="宋体" w:hAnsi="宋体" w:eastAsia="宋体" w:cs="宋体"/>
          <w:bCs/>
          <w:color w:val="auto"/>
          <w:sz w:val="21"/>
          <w:szCs w:val="21"/>
          <w:highlight w:val="none"/>
        </w:rPr>
        <w:t>负责设备、安装设备（工具）等提供适当的保护、包装或覆盖等处理，直至验收合格，以免受损；</w:t>
      </w:r>
      <w:r>
        <w:rPr>
          <w:rFonts w:hint="eastAsia" w:ascii="宋体" w:hAnsi="宋体" w:cs="宋体"/>
          <w:bCs/>
          <w:color w:val="auto"/>
          <w:sz w:val="21"/>
          <w:szCs w:val="21"/>
          <w:highlight w:val="none"/>
          <w:lang w:eastAsia="zh-CN"/>
        </w:rPr>
        <w:t>中标响应人</w:t>
      </w:r>
      <w:r>
        <w:rPr>
          <w:rFonts w:hint="eastAsia" w:ascii="宋体" w:hAnsi="宋体" w:eastAsia="宋体" w:cs="宋体"/>
          <w:bCs/>
          <w:color w:val="auto"/>
          <w:sz w:val="21"/>
          <w:szCs w:val="21"/>
          <w:highlight w:val="none"/>
        </w:rPr>
        <w:t>施工工人、施工机械或在运输装卸途中对其他工程及邻近设备、管线等造成损坏，应由</w:t>
      </w:r>
      <w:r>
        <w:rPr>
          <w:rFonts w:hint="eastAsia" w:ascii="宋体" w:hAnsi="宋体" w:cs="宋体"/>
          <w:bCs/>
          <w:color w:val="auto"/>
          <w:sz w:val="21"/>
          <w:szCs w:val="21"/>
          <w:highlight w:val="none"/>
          <w:lang w:eastAsia="zh-CN"/>
        </w:rPr>
        <w:t>中标响应人</w:t>
      </w:r>
      <w:r>
        <w:rPr>
          <w:rFonts w:hint="eastAsia" w:ascii="宋体" w:hAnsi="宋体" w:eastAsia="宋体" w:cs="宋体"/>
          <w:bCs/>
          <w:color w:val="auto"/>
          <w:sz w:val="21"/>
          <w:szCs w:val="21"/>
          <w:highlight w:val="none"/>
        </w:rPr>
        <w:t>负责修复及承担</w:t>
      </w:r>
      <w:r>
        <w:rPr>
          <w:rFonts w:hint="eastAsia" w:ascii="宋体" w:hAnsi="宋体" w:cs="宋体"/>
          <w:bCs/>
          <w:color w:val="auto"/>
          <w:sz w:val="21"/>
          <w:szCs w:val="21"/>
          <w:highlight w:val="none"/>
          <w:lang w:val="en-US" w:eastAsia="zh-CN"/>
        </w:rPr>
        <w:t>一</w:t>
      </w:r>
      <w:r>
        <w:rPr>
          <w:rFonts w:hint="eastAsia" w:ascii="宋体" w:hAnsi="宋体" w:eastAsia="宋体" w:cs="宋体"/>
          <w:bCs/>
          <w:color w:val="auto"/>
          <w:sz w:val="21"/>
          <w:szCs w:val="21"/>
          <w:highlight w:val="none"/>
        </w:rPr>
        <w:t>切费用；无论调试期间或保修过程中，</w:t>
      </w:r>
      <w:r>
        <w:rPr>
          <w:rFonts w:hint="eastAsia" w:ascii="宋体" w:hAnsi="宋体" w:cs="宋体"/>
          <w:bCs/>
          <w:color w:val="auto"/>
          <w:sz w:val="21"/>
          <w:szCs w:val="21"/>
          <w:highlight w:val="none"/>
          <w:lang w:eastAsia="zh-CN"/>
        </w:rPr>
        <w:t>中标响应人</w:t>
      </w:r>
      <w:r>
        <w:rPr>
          <w:rFonts w:hint="eastAsia" w:ascii="宋体" w:hAnsi="宋体" w:eastAsia="宋体" w:cs="宋体"/>
          <w:bCs/>
          <w:color w:val="auto"/>
          <w:sz w:val="21"/>
          <w:szCs w:val="21"/>
          <w:highlight w:val="none"/>
        </w:rPr>
        <w:t>负责及时清理垃圾；</w:t>
      </w:r>
      <w:r>
        <w:rPr>
          <w:rFonts w:hint="eastAsia" w:ascii="宋体" w:hAnsi="宋体" w:cs="宋体"/>
          <w:bCs/>
          <w:color w:val="auto"/>
          <w:sz w:val="21"/>
          <w:szCs w:val="21"/>
          <w:highlight w:val="none"/>
          <w:lang w:eastAsia="zh-CN"/>
        </w:rPr>
        <w:t>中标响应人</w:t>
      </w:r>
      <w:r>
        <w:rPr>
          <w:rFonts w:hint="eastAsia" w:ascii="宋体" w:hAnsi="宋体" w:eastAsia="宋体" w:cs="宋体"/>
          <w:bCs/>
          <w:color w:val="auto"/>
          <w:sz w:val="21"/>
          <w:szCs w:val="21"/>
          <w:highlight w:val="none"/>
        </w:rPr>
        <w:t>须做好与安装、土建、装饰等施工队伍的配合工作；</w:t>
      </w:r>
      <w:r>
        <w:rPr>
          <w:rFonts w:hint="eastAsia" w:ascii="宋体" w:hAnsi="宋体" w:cs="宋体"/>
          <w:bCs/>
          <w:color w:val="auto"/>
          <w:sz w:val="21"/>
          <w:szCs w:val="21"/>
          <w:highlight w:val="none"/>
          <w:lang w:eastAsia="zh-CN"/>
        </w:rPr>
        <w:t>中标响应人</w:t>
      </w:r>
      <w:r>
        <w:rPr>
          <w:rFonts w:hint="eastAsia" w:ascii="宋体" w:hAnsi="宋体" w:eastAsia="宋体" w:cs="宋体"/>
          <w:bCs/>
          <w:color w:val="auto"/>
          <w:sz w:val="21"/>
          <w:szCs w:val="21"/>
          <w:highlight w:val="none"/>
        </w:rPr>
        <w:t>须自备施工或安装作业的必备工具和设备，含分电箱、电线和相关工具等；</w:t>
      </w:r>
      <w:r>
        <w:rPr>
          <w:rFonts w:hint="eastAsia" w:ascii="宋体" w:hAnsi="宋体" w:cs="宋体"/>
          <w:bCs/>
          <w:color w:val="auto"/>
          <w:sz w:val="21"/>
          <w:szCs w:val="21"/>
          <w:highlight w:val="none"/>
          <w:lang w:eastAsia="zh-CN"/>
        </w:rPr>
        <w:t>中标响应人</w:t>
      </w:r>
      <w:r>
        <w:rPr>
          <w:rFonts w:hint="eastAsia" w:ascii="宋体" w:hAnsi="宋体" w:eastAsia="宋体" w:cs="宋体"/>
          <w:bCs/>
          <w:color w:val="auto"/>
          <w:sz w:val="21"/>
          <w:szCs w:val="21"/>
          <w:highlight w:val="none"/>
        </w:rPr>
        <w:t>现场施工或作业的流程、工具或设备等须符合国家安全标准。</w:t>
      </w:r>
    </w:p>
    <w:p>
      <w:pPr>
        <w:keepNext w:val="0"/>
        <w:keepLines w:val="0"/>
        <w:pageBreakBefore w:val="0"/>
        <w:widowControl w:val="0"/>
        <w:kinsoku/>
        <w:wordWrap/>
        <w:overflowPunct/>
        <w:topLinePunct w:val="0"/>
        <w:autoSpaceDE/>
        <w:autoSpaceDN/>
        <w:bidi w:val="0"/>
        <w:snapToGrid/>
        <w:spacing w:line="420" w:lineRule="exact"/>
        <w:ind w:firstLine="420" w:firstLineChars="200"/>
        <w:jc w:val="both"/>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12、售后服务要求：</w:t>
      </w:r>
    </w:p>
    <w:p>
      <w:pPr>
        <w:keepNext w:val="0"/>
        <w:keepLines w:val="0"/>
        <w:pageBreakBefore w:val="0"/>
        <w:widowControl w:val="0"/>
        <w:kinsoku/>
        <w:wordWrap/>
        <w:overflowPunct/>
        <w:topLinePunct w:val="0"/>
        <w:autoSpaceDE/>
        <w:autoSpaceDN/>
        <w:bidi w:val="0"/>
        <w:snapToGrid/>
        <w:spacing w:line="420" w:lineRule="exact"/>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（1）提供不低于一年质保期，质保期自货物最终验收合格并交付使用之日起计算。在质保期内，一旦发生质量问题，中标</w:t>
      </w:r>
      <w:r>
        <w:rPr>
          <w:rFonts w:hint="eastAsia" w:ascii="宋体" w:hAnsi="宋体" w:cs="宋体"/>
          <w:bCs/>
          <w:color w:val="auto"/>
          <w:sz w:val="21"/>
          <w:szCs w:val="21"/>
          <w:highlight w:val="none"/>
          <w:lang w:eastAsia="zh-CN"/>
        </w:rPr>
        <w:t>响应人</w:t>
      </w:r>
      <w:r>
        <w:rPr>
          <w:rFonts w:hint="eastAsia" w:ascii="宋体" w:hAnsi="宋体" w:eastAsia="宋体" w:cs="宋体"/>
          <w:bCs/>
          <w:color w:val="auto"/>
          <w:sz w:val="21"/>
          <w:szCs w:val="21"/>
          <w:highlight w:val="none"/>
        </w:rPr>
        <w:t>保证在接到通知2小时内响应，12小时内到达现场，24小时以内完成采购人提出的维修要求；修理、更换或退货，费用由</w:t>
      </w:r>
      <w:r>
        <w:rPr>
          <w:rFonts w:hint="eastAsia" w:ascii="宋体" w:hAnsi="宋体" w:cs="宋体"/>
          <w:bCs/>
          <w:color w:val="auto"/>
          <w:sz w:val="21"/>
          <w:szCs w:val="21"/>
          <w:highlight w:val="none"/>
          <w:lang w:eastAsia="zh-CN"/>
        </w:rPr>
        <w:t>中标响应人</w:t>
      </w:r>
      <w:r>
        <w:rPr>
          <w:rFonts w:hint="eastAsia" w:ascii="宋体" w:hAnsi="宋体" w:eastAsia="宋体" w:cs="宋体"/>
          <w:bCs/>
          <w:color w:val="auto"/>
          <w:sz w:val="21"/>
          <w:szCs w:val="21"/>
          <w:highlight w:val="none"/>
        </w:rPr>
        <w:t>负责</w:t>
      </w:r>
      <w:r>
        <w:rPr>
          <w:rFonts w:hint="eastAsia" w:ascii="宋体" w:hAnsi="宋体" w:cs="宋体"/>
          <w:bCs/>
          <w:color w:val="auto"/>
          <w:sz w:val="21"/>
          <w:szCs w:val="21"/>
          <w:highlight w:val="none"/>
          <w:lang w:eastAsia="zh-CN"/>
        </w:rPr>
        <w:t>。</w:t>
      </w:r>
      <w:r>
        <w:rPr>
          <w:rFonts w:hint="eastAsia" w:ascii="宋体" w:hAnsi="宋体" w:eastAsia="宋体" w:cs="宋体"/>
          <w:color w:val="auto"/>
          <w:sz w:val="21"/>
          <w:szCs w:val="21"/>
          <w:highlight w:val="none"/>
        </w:rPr>
        <w:t>如</w:t>
      </w:r>
      <w:r>
        <w:rPr>
          <w:rFonts w:hint="eastAsia" w:ascii="宋体" w:hAnsi="宋体" w:cs="宋体"/>
          <w:color w:val="auto"/>
          <w:sz w:val="21"/>
          <w:szCs w:val="21"/>
          <w:highlight w:val="none"/>
          <w:lang w:eastAsia="zh-CN"/>
        </w:rPr>
        <w:t>响应人</w:t>
      </w:r>
      <w:r>
        <w:rPr>
          <w:rFonts w:hint="eastAsia" w:ascii="宋体" w:hAnsi="宋体" w:eastAsia="宋体" w:cs="宋体"/>
          <w:color w:val="auto"/>
          <w:sz w:val="21"/>
          <w:szCs w:val="21"/>
          <w:highlight w:val="none"/>
        </w:rPr>
        <w:t>在接到通知后24小时内没有答复或处理问题，则视为</w:t>
      </w:r>
      <w:r>
        <w:rPr>
          <w:rFonts w:hint="eastAsia" w:ascii="宋体" w:hAnsi="宋体" w:cs="宋体"/>
          <w:color w:val="auto"/>
          <w:sz w:val="21"/>
          <w:szCs w:val="21"/>
          <w:highlight w:val="none"/>
          <w:lang w:eastAsia="zh-CN"/>
        </w:rPr>
        <w:t>响应人</w:t>
      </w:r>
      <w:r>
        <w:rPr>
          <w:rFonts w:hint="eastAsia" w:ascii="宋体" w:hAnsi="宋体" w:eastAsia="宋体" w:cs="宋体"/>
          <w:color w:val="auto"/>
          <w:sz w:val="21"/>
          <w:szCs w:val="21"/>
          <w:highlight w:val="none"/>
        </w:rPr>
        <w:t>承认质量问题并承担由此而发生的一切费用。保修期间设备的一切质量问题，更换部件及设备本身质量原因造成的直接经济损失应全部由</w:t>
      </w:r>
      <w:r>
        <w:rPr>
          <w:rFonts w:hint="eastAsia" w:ascii="宋体" w:hAnsi="宋体" w:cs="宋体"/>
          <w:color w:val="auto"/>
          <w:sz w:val="21"/>
          <w:szCs w:val="21"/>
          <w:highlight w:val="none"/>
          <w:lang w:eastAsia="zh-CN"/>
        </w:rPr>
        <w:t>中标响应人</w:t>
      </w:r>
      <w:r>
        <w:rPr>
          <w:rFonts w:hint="eastAsia" w:ascii="宋体" w:hAnsi="宋体" w:eastAsia="宋体" w:cs="宋体"/>
          <w:color w:val="auto"/>
          <w:sz w:val="21"/>
          <w:szCs w:val="21"/>
          <w:highlight w:val="none"/>
        </w:rPr>
        <w:t>负责。</w:t>
      </w:r>
    </w:p>
    <w:p>
      <w:pPr>
        <w:keepNext w:val="0"/>
        <w:keepLines w:val="0"/>
        <w:pageBreakBefore w:val="0"/>
        <w:widowControl w:val="0"/>
        <w:kinsoku/>
        <w:wordWrap/>
        <w:overflowPunct/>
        <w:topLinePunct w:val="0"/>
        <w:autoSpaceDE/>
        <w:autoSpaceDN/>
        <w:bidi w:val="0"/>
        <w:snapToGrid/>
        <w:spacing w:line="420" w:lineRule="exact"/>
        <w:ind w:firstLine="420" w:firstLineChars="200"/>
        <w:jc w:val="both"/>
        <w:rPr>
          <w:rFonts w:hint="eastAsia" w:ascii="宋体" w:hAnsi="宋体" w:eastAsia="宋体" w:cs="宋体"/>
          <w:bCs/>
          <w:color w:val="auto"/>
          <w:sz w:val="21"/>
          <w:szCs w:val="21"/>
          <w:highlight w:val="none"/>
        </w:rPr>
      </w:pPr>
      <w:r>
        <w:rPr>
          <w:rFonts w:hint="eastAsia" w:ascii="宋体" w:hAnsi="宋体" w:cs="宋体"/>
          <w:bCs/>
          <w:color w:val="auto"/>
          <w:sz w:val="21"/>
          <w:szCs w:val="21"/>
          <w:highlight w:val="none"/>
          <w:lang w:eastAsia="zh-CN"/>
        </w:rPr>
        <w:t>（</w:t>
      </w:r>
      <w:r>
        <w:rPr>
          <w:rFonts w:hint="eastAsia" w:ascii="宋体" w:hAnsi="宋体" w:cs="宋体"/>
          <w:bCs/>
          <w:color w:val="auto"/>
          <w:sz w:val="21"/>
          <w:szCs w:val="21"/>
          <w:highlight w:val="none"/>
          <w:lang w:val="en-US" w:eastAsia="zh-CN"/>
        </w:rPr>
        <w:t>2</w:t>
      </w:r>
      <w:r>
        <w:rPr>
          <w:rFonts w:hint="eastAsia" w:ascii="宋体" w:hAnsi="宋体" w:cs="宋体"/>
          <w:bCs/>
          <w:color w:val="auto"/>
          <w:sz w:val="21"/>
          <w:szCs w:val="21"/>
          <w:highlight w:val="none"/>
          <w:lang w:eastAsia="zh-CN"/>
        </w:rPr>
        <w:t>）</w:t>
      </w:r>
      <w:r>
        <w:rPr>
          <w:rFonts w:hint="eastAsia" w:ascii="宋体" w:hAnsi="宋体" w:eastAsia="宋体" w:cs="宋体"/>
          <w:bCs/>
          <w:color w:val="auto"/>
          <w:sz w:val="21"/>
          <w:szCs w:val="21"/>
          <w:highlight w:val="none"/>
        </w:rPr>
        <w:t>在质保期内，每半年须组织售后服务人员对所供货物进行巡检一次。质保期满后的维修内容减免上门费及人工费等费用，仅按原材料的价格收取维修费用，具体原材料价格参照</w:t>
      </w:r>
      <w:r>
        <w:rPr>
          <w:rFonts w:hint="eastAsia" w:ascii="宋体" w:hAnsi="宋体" w:cs="宋体"/>
          <w:bCs/>
          <w:color w:val="auto"/>
          <w:sz w:val="21"/>
          <w:szCs w:val="21"/>
          <w:highlight w:val="none"/>
          <w:lang w:eastAsia="zh-CN"/>
        </w:rPr>
        <w:t>响应文件</w:t>
      </w:r>
      <w:r>
        <w:rPr>
          <w:rFonts w:hint="eastAsia" w:ascii="宋体" w:hAnsi="宋体" w:eastAsia="宋体" w:cs="宋体"/>
          <w:bCs/>
          <w:color w:val="auto"/>
          <w:sz w:val="21"/>
          <w:szCs w:val="21"/>
          <w:highlight w:val="none"/>
        </w:rPr>
        <w:t>中“备品备件、易损件报价”执行。</w:t>
      </w:r>
    </w:p>
    <w:p>
      <w:pPr>
        <w:keepNext w:val="0"/>
        <w:keepLines w:val="0"/>
        <w:pageBreakBefore w:val="0"/>
        <w:widowControl w:val="0"/>
        <w:kinsoku/>
        <w:wordWrap/>
        <w:overflowPunct/>
        <w:topLinePunct w:val="0"/>
        <w:autoSpaceDE/>
        <w:autoSpaceDN/>
        <w:bidi w:val="0"/>
        <w:snapToGrid/>
        <w:spacing w:line="420" w:lineRule="exact"/>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cs="宋体"/>
          <w:color w:val="auto"/>
          <w:sz w:val="21"/>
          <w:szCs w:val="21"/>
          <w:highlight w:val="none"/>
          <w:lang w:eastAsia="zh-CN"/>
        </w:rPr>
        <w:t>响应人</w:t>
      </w:r>
      <w:r>
        <w:rPr>
          <w:rFonts w:hint="eastAsia" w:ascii="宋体" w:hAnsi="宋体" w:eastAsia="宋体" w:cs="宋体"/>
          <w:color w:val="auto"/>
          <w:sz w:val="21"/>
          <w:szCs w:val="21"/>
          <w:highlight w:val="none"/>
        </w:rPr>
        <w:t>必须明确作出服务承诺，详细阐述维修、维护内容及服务方式和范围；并按照服务承诺进行其他售后服务工作。</w:t>
      </w:r>
    </w:p>
    <w:p>
      <w:pPr>
        <w:keepNext w:val="0"/>
        <w:keepLines w:val="0"/>
        <w:pageBreakBefore w:val="0"/>
        <w:widowControl w:val="0"/>
        <w:kinsoku/>
        <w:wordWrap/>
        <w:overflowPunct/>
        <w:topLinePunct w:val="0"/>
        <w:autoSpaceDE/>
        <w:autoSpaceDN/>
        <w:bidi w:val="0"/>
        <w:snapToGrid/>
        <w:spacing w:line="420" w:lineRule="exact"/>
        <w:ind w:firstLine="420" w:firstLineChars="200"/>
        <w:jc w:val="both"/>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（4）免费提供对</w:t>
      </w:r>
      <w:r>
        <w:rPr>
          <w:rFonts w:hint="eastAsia" w:ascii="宋体" w:hAnsi="宋体" w:cs="宋体"/>
          <w:color w:val="auto"/>
          <w:sz w:val="21"/>
          <w:szCs w:val="21"/>
          <w:highlight w:val="none"/>
          <w:lang w:eastAsia="zh-CN"/>
        </w:rPr>
        <w:t>采购人</w:t>
      </w:r>
      <w:r>
        <w:rPr>
          <w:rFonts w:hint="eastAsia" w:ascii="宋体" w:hAnsi="宋体" w:eastAsia="宋体" w:cs="宋体"/>
          <w:color w:val="auto"/>
          <w:sz w:val="21"/>
          <w:szCs w:val="21"/>
          <w:highlight w:val="none"/>
        </w:rPr>
        <w:t>操作人员的免费应用技术培训，时间、地点由</w:t>
      </w:r>
      <w:r>
        <w:rPr>
          <w:rFonts w:hint="eastAsia" w:ascii="宋体" w:hAnsi="宋体" w:cs="宋体"/>
          <w:color w:val="auto"/>
          <w:sz w:val="21"/>
          <w:szCs w:val="21"/>
          <w:highlight w:val="none"/>
          <w:lang w:val="en-US" w:eastAsia="zh-CN"/>
        </w:rPr>
        <w:t>采购人确</w:t>
      </w:r>
      <w:r>
        <w:rPr>
          <w:rFonts w:hint="eastAsia" w:ascii="宋体" w:hAnsi="宋体" w:eastAsia="宋体" w:cs="宋体"/>
          <w:color w:val="auto"/>
          <w:sz w:val="21"/>
          <w:szCs w:val="21"/>
          <w:highlight w:val="none"/>
        </w:rPr>
        <w:t>定。</w:t>
      </w:r>
    </w:p>
    <w:p>
      <w:pPr>
        <w:keepNext w:val="0"/>
        <w:keepLines w:val="0"/>
        <w:pageBreakBefore w:val="0"/>
        <w:widowControl w:val="0"/>
        <w:kinsoku/>
        <w:wordWrap/>
        <w:overflowPunct/>
        <w:topLinePunct w:val="0"/>
        <w:autoSpaceDE/>
        <w:autoSpaceDN/>
        <w:bidi w:val="0"/>
        <w:snapToGrid/>
        <w:spacing w:line="420" w:lineRule="exact"/>
        <w:ind w:firstLine="422" w:firstLineChars="200"/>
        <w:jc w:val="both"/>
        <w:outlineLvl w:val="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六、验收要求：</w:t>
      </w:r>
    </w:p>
    <w:p>
      <w:pPr>
        <w:keepNext w:val="0"/>
        <w:keepLines w:val="0"/>
        <w:pageBreakBefore w:val="0"/>
        <w:widowControl w:val="0"/>
        <w:kinsoku/>
        <w:wordWrap/>
        <w:overflowPunct/>
        <w:topLinePunct w:val="0"/>
        <w:autoSpaceDE/>
        <w:autoSpaceDN/>
        <w:bidi w:val="0"/>
        <w:snapToGrid/>
        <w:spacing w:line="420" w:lineRule="exact"/>
        <w:ind w:firstLine="420" w:firstLineChars="200"/>
        <w:jc w:val="both"/>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w:t>
      </w:r>
      <w:r>
        <w:rPr>
          <w:rFonts w:hint="eastAsia" w:ascii="宋体" w:hAnsi="宋体" w:cs="宋体"/>
          <w:bCs/>
          <w:color w:val="auto"/>
          <w:sz w:val="21"/>
          <w:szCs w:val="21"/>
          <w:highlight w:val="none"/>
          <w:lang w:eastAsia="zh-CN"/>
        </w:rPr>
        <w:t>中标响应人</w:t>
      </w:r>
      <w:r>
        <w:rPr>
          <w:rFonts w:hint="eastAsia" w:ascii="宋体" w:hAnsi="宋体" w:eastAsia="宋体" w:cs="宋体"/>
          <w:bCs/>
          <w:color w:val="auto"/>
          <w:sz w:val="21"/>
          <w:szCs w:val="21"/>
          <w:highlight w:val="none"/>
        </w:rPr>
        <w:t>必须严格按照</w:t>
      </w:r>
      <w:r>
        <w:rPr>
          <w:rFonts w:hint="eastAsia" w:ascii="宋体" w:hAnsi="宋体" w:cs="宋体"/>
          <w:bCs/>
          <w:color w:val="auto"/>
          <w:sz w:val="21"/>
          <w:szCs w:val="21"/>
          <w:highlight w:val="none"/>
          <w:lang w:eastAsia="zh-CN"/>
        </w:rPr>
        <w:t>磋商时</w:t>
      </w:r>
      <w:r>
        <w:rPr>
          <w:rFonts w:hint="eastAsia" w:ascii="宋体" w:hAnsi="宋体" w:eastAsia="宋体" w:cs="宋体"/>
          <w:bCs/>
          <w:color w:val="auto"/>
          <w:sz w:val="21"/>
          <w:szCs w:val="21"/>
          <w:highlight w:val="none"/>
        </w:rPr>
        <w:t>所投原材料产品品牌进行供货，提供货物绝不低于</w:t>
      </w:r>
      <w:r>
        <w:rPr>
          <w:rFonts w:hint="eastAsia" w:ascii="宋体" w:hAnsi="宋体" w:cs="宋体"/>
          <w:bCs/>
          <w:color w:val="auto"/>
          <w:sz w:val="21"/>
          <w:szCs w:val="21"/>
          <w:highlight w:val="none"/>
          <w:lang w:eastAsia="zh-CN"/>
        </w:rPr>
        <w:t>采购文件</w:t>
      </w:r>
      <w:r>
        <w:rPr>
          <w:rFonts w:hint="eastAsia" w:ascii="宋体" w:hAnsi="宋体" w:eastAsia="宋体" w:cs="宋体"/>
          <w:bCs/>
          <w:color w:val="auto"/>
          <w:sz w:val="21"/>
          <w:szCs w:val="21"/>
          <w:highlight w:val="none"/>
        </w:rPr>
        <w:t>规定的规格和材质要求，如果采购人发现一件产品不符合国家标准及采购文件要求，</w:t>
      </w:r>
      <w:r>
        <w:rPr>
          <w:rFonts w:hint="eastAsia" w:ascii="宋体" w:hAnsi="宋体" w:cs="宋体"/>
          <w:bCs/>
          <w:color w:val="auto"/>
          <w:sz w:val="21"/>
          <w:szCs w:val="21"/>
          <w:highlight w:val="none"/>
          <w:lang w:eastAsia="zh-CN"/>
        </w:rPr>
        <w:t>中标响应人</w:t>
      </w:r>
      <w:r>
        <w:rPr>
          <w:rFonts w:hint="eastAsia" w:ascii="宋体" w:hAnsi="宋体" w:eastAsia="宋体" w:cs="宋体"/>
          <w:bCs/>
          <w:color w:val="auto"/>
          <w:sz w:val="21"/>
          <w:szCs w:val="21"/>
          <w:highlight w:val="none"/>
        </w:rPr>
        <w:t>需无条件退货，并按照合同无条件支付违约金给采购人，违约金从</w:t>
      </w:r>
      <w:r>
        <w:rPr>
          <w:rFonts w:hint="eastAsia" w:ascii="宋体" w:hAnsi="宋体" w:cs="宋体"/>
          <w:bCs/>
          <w:color w:val="auto"/>
          <w:sz w:val="21"/>
          <w:szCs w:val="21"/>
          <w:highlight w:val="none"/>
          <w:lang w:eastAsia="zh-CN"/>
        </w:rPr>
        <w:t>中标响应人</w:t>
      </w:r>
      <w:r>
        <w:rPr>
          <w:rFonts w:hint="eastAsia" w:ascii="宋体" w:hAnsi="宋体" w:eastAsia="宋体" w:cs="宋体"/>
          <w:bCs/>
          <w:color w:val="auto"/>
          <w:sz w:val="21"/>
          <w:szCs w:val="21"/>
          <w:highlight w:val="none"/>
        </w:rPr>
        <w:t>提交的履约保证金或采购人应付</w:t>
      </w:r>
      <w:r>
        <w:rPr>
          <w:rFonts w:hint="eastAsia" w:ascii="宋体" w:hAnsi="宋体" w:cs="宋体"/>
          <w:bCs/>
          <w:color w:val="auto"/>
          <w:sz w:val="21"/>
          <w:szCs w:val="21"/>
          <w:highlight w:val="none"/>
          <w:lang w:eastAsia="zh-CN"/>
        </w:rPr>
        <w:t>中标响应人</w:t>
      </w:r>
      <w:r>
        <w:rPr>
          <w:rFonts w:hint="eastAsia" w:ascii="宋体" w:hAnsi="宋体" w:eastAsia="宋体" w:cs="宋体"/>
          <w:bCs/>
          <w:color w:val="auto"/>
          <w:sz w:val="21"/>
          <w:szCs w:val="21"/>
          <w:highlight w:val="none"/>
        </w:rPr>
        <w:t>的任何款项中支付。同时</w:t>
      </w:r>
      <w:r>
        <w:rPr>
          <w:rFonts w:hint="eastAsia" w:ascii="宋体" w:hAnsi="宋体" w:cs="宋体"/>
          <w:bCs/>
          <w:color w:val="auto"/>
          <w:sz w:val="21"/>
          <w:szCs w:val="21"/>
          <w:highlight w:val="none"/>
          <w:lang w:eastAsia="zh-CN"/>
        </w:rPr>
        <w:t>采购人</w:t>
      </w:r>
      <w:r>
        <w:rPr>
          <w:rFonts w:hint="eastAsia" w:ascii="宋体" w:hAnsi="宋体" w:eastAsia="宋体" w:cs="宋体"/>
          <w:bCs/>
          <w:color w:val="auto"/>
          <w:sz w:val="21"/>
          <w:szCs w:val="21"/>
          <w:highlight w:val="none"/>
        </w:rPr>
        <w:t>有权终止合同，并保留追究</w:t>
      </w:r>
      <w:r>
        <w:rPr>
          <w:rFonts w:hint="eastAsia" w:ascii="宋体" w:hAnsi="宋体" w:cs="宋体"/>
          <w:bCs/>
          <w:color w:val="auto"/>
          <w:sz w:val="21"/>
          <w:szCs w:val="21"/>
          <w:highlight w:val="none"/>
          <w:lang w:eastAsia="zh-CN"/>
        </w:rPr>
        <w:t>中标响应人</w:t>
      </w:r>
      <w:r>
        <w:rPr>
          <w:rFonts w:hint="eastAsia" w:ascii="宋体" w:hAnsi="宋体" w:eastAsia="宋体" w:cs="宋体"/>
          <w:bCs/>
          <w:color w:val="auto"/>
          <w:sz w:val="21"/>
          <w:szCs w:val="21"/>
          <w:highlight w:val="none"/>
        </w:rPr>
        <w:t>责任的权利。</w:t>
      </w:r>
    </w:p>
    <w:p>
      <w:pPr>
        <w:keepNext w:val="0"/>
        <w:keepLines w:val="0"/>
        <w:pageBreakBefore w:val="0"/>
        <w:widowControl w:val="0"/>
        <w:kinsoku/>
        <w:wordWrap/>
        <w:overflowPunct/>
        <w:topLinePunct w:val="0"/>
        <w:autoSpaceDE/>
        <w:autoSpaceDN/>
        <w:bidi w:val="0"/>
        <w:snapToGrid/>
        <w:spacing w:line="420" w:lineRule="exact"/>
        <w:ind w:firstLine="420" w:firstLineChars="200"/>
        <w:jc w:val="both"/>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2、在交货时必须原包装现场拆封验收。</w:t>
      </w:r>
      <w:r>
        <w:rPr>
          <w:rFonts w:hint="eastAsia" w:ascii="宋体" w:hAnsi="宋体" w:cs="宋体"/>
          <w:bCs/>
          <w:color w:val="auto"/>
          <w:sz w:val="21"/>
          <w:szCs w:val="21"/>
          <w:highlight w:val="none"/>
          <w:lang w:eastAsia="zh-CN"/>
        </w:rPr>
        <w:t>采购人</w:t>
      </w:r>
      <w:r>
        <w:rPr>
          <w:rFonts w:hint="eastAsia" w:ascii="宋体" w:hAnsi="宋体" w:eastAsia="宋体" w:cs="宋体"/>
          <w:bCs/>
          <w:color w:val="auto"/>
          <w:sz w:val="21"/>
          <w:szCs w:val="21"/>
          <w:highlight w:val="none"/>
        </w:rPr>
        <w:t>有权邀请相关质检部门和专家进行现场抽检（对</w:t>
      </w:r>
      <w:r>
        <w:rPr>
          <w:rFonts w:hint="eastAsia" w:ascii="宋体" w:hAnsi="宋体" w:cs="宋体"/>
          <w:bCs/>
          <w:color w:val="auto"/>
          <w:sz w:val="21"/>
          <w:szCs w:val="21"/>
          <w:highlight w:val="none"/>
          <w:lang w:eastAsia="zh-CN"/>
        </w:rPr>
        <w:t>中标响应人</w:t>
      </w:r>
      <w:r>
        <w:rPr>
          <w:rFonts w:hint="eastAsia" w:ascii="宋体" w:hAnsi="宋体" w:eastAsia="宋体" w:cs="宋体"/>
          <w:bCs/>
          <w:color w:val="auto"/>
          <w:sz w:val="21"/>
          <w:szCs w:val="21"/>
          <w:highlight w:val="none"/>
        </w:rPr>
        <w:t>的产品按不超过合同总金额5%的比例进行随机抽检），并出具书面检验报告，相关检测费用及专家费用等由</w:t>
      </w:r>
      <w:r>
        <w:rPr>
          <w:rFonts w:hint="eastAsia" w:ascii="宋体" w:hAnsi="宋体" w:cs="宋体"/>
          <w:bCs/>
          <w:color w:val="auto"/>
          <w:sz w:val="21"/>
          <w:szCs w:val="21"/>
          <w:highlight w:val="none"/>
          <w:lang w:eastAsia="zh-CN"/>
        </w:rPr>
        <w:t>中标响应人</w:t>
      </w:r>
      <w:r>
        <w:rPr>
          <w:rFonts w:hint="eastAsia" w:ascii="宋体" w:hAnsi="宋体" w:eastAsia="宋体" w:cs="宋体"/>
          <w:bCs/>
          <w:color w:val="auto"/>
          <w:sz w:val="21"/>
          <w:szCs w:val="21"/>
          <w:highlight w:val="none"/>
        </w:rPr>
        <w:t>承担，</w:t>
      </w:r>
      <w:r>
        <w:rPr>
          <w:rFonts w:hint="eastAsia" w:ascii="宋体" w:hAnsi="宋体" w:cs="宋体"/>
          <w:bCs/>
          <w:color w:val="auto"/>
          <w:sz w:val="21"/>
          <w:szCs w:val="21"/>
          <w:highlight w:val="none"/>
          <w:lang w:eastAsia="zh-CN"/>
        </w:rPr>
        <w:t>采购人</w:t>
      </w:r>
      <w:r>
        <w:rPr>
          <w:rFonts w:hint="eastAsia" w:ascii="宋体" w:hAnsi="宋体" w:eastAsia="宋体" w:cs="宋体"/>
          <w:bCs/>
          <w:color w:val="auto"/>
          <w:sz w:val="21"/>
          <w:szCs w:val="21"/>
          <w:highlight w:val="none"/>
        </w:rPr>
        <w:t>不再另行支付，若</w:t>
      </w:r>
      <w:r>
        <w:rPr>
          <w:rFonts w:hint="eastAsia" w:ascii="宋体" w:hAnsi="宋体" w:cs="宋体"/>
          <w:bCs/>
          <w:color w:val="auto"/>
          <w:sz w:val="21"/>
          <w:szCs w:val="21"/>
          <w:highlight w:val="none"/>
          <w:lang w:eastAsia="zh-CN"/>
        </w:rPr>
        <w:t>中标响应人</w:t>
      </w:r>
      <w:r>
        <w:rPr>
          <w:rFonts w:hint="eastAsia" w:ascii="宋体" w:hAnsi="宋体" w:eastAsia="宋体" w:cs="宋体"/>
          <w:bCs/>
          <w:color w:val="auto"/>
          <w:sz w:val="21"/>
          <w:szCs w:val="21"/>
          <w:highlight w:val="none"/>
        </w:rPr>
        <w:t>未予支付的，将在成交金额中扣除。若检验检测合格，</w:t>
      </w:r>
      <w:r>
        <w:rPr>
          <w:rFonts w:hint="eastAsia" w:ascii="宋体" w:hAnsi="宋体" w:cs="宋体"/>
          <w:bCs/>
          <w:color w:val="auto"/>
          <w:sz w:val="21"/>
          <w:szCs w:val="21"/>
          <w:highlight w:val="none"/>
          <w:lang w:eastAsia="zh-CN"/>
        </w:rPr>
        <w:t>采购人</w:t>
      </w:r>
      <w:r>
        <w:rPr>
          <w:rFonts w:hint="eastAsia" w:ascii="宋体" w:hAnsi="宋体" w:eastAsia="宋体" w:cs="宋体"/>
          <w:bCs/>
          <w:color w:val="auto"/>
          <w:sz w:val="21"/>
          <w:szCs w:val="21"/>
          <w:highlight w:val="none"/>
        </w:rPr>
        <w:t>组织整个项目的验收，由</w:t>
      </w:r>
      <w:r>
        <w:rPr>
          <w:rFonts w:hint="eastAsia" w:ascii="宋体" w:hAnsi="宋体" w:cs="宋体"/>
          <w:bCs/>
          <w:color w:val="auto"/>
          <w:sz w:val="21"/>
          <w:szCs w:val="21"/>
          <w:highlight w:val="none"/>
          <w:lang w:eastAsia="zh-CN"/>
        </w:rPr>
        <w:t>采购人</w:t>
      </w:r>
      <w:r>
        <w:rPr>
          <w:rFonts w:hint="eastAsia" w:ascii="宋体" w:hAnsi="宋体" w:eastAsia="宋体" w:cs="宋体"/>
          <w:bCs/>
          <w:color w:val="auto"/>
          <w:sz w:val="21"/>
          <w:szCs w:val="21"/>
          <w:highlight w:val="none"/>
        </w:rPr>
        <w:t>与</w:t>
      </w:r>
      <w:r>
        <w:rPr>
          <w:rFonts w:hint="eastAsia" w:ascii="宋体" w:hAnsi="宋体" w:cs="宋体"/>
          <w:bCs/>
          <w:color w:val="auto"/>
          <w:sz w:val="21"/>
          <w:szCs w:val="21"/>
          <w:highlight w:val="none"/>
          <w:lang w:eastAsia="zh-CN"/>
        </w:rPr>
        <w:t>中标响应人</w:t>
      </w:r>
      <w:r>
        <w:rPr>
          <w:rFonts w:hint="eastAsia" w:ascii="宋体" w:hAnsi="宋体" w:eastAsia="宋体" w:cs="宋体"/>
          <w:bCs/>
          <w:color w:val="auto"/>
          <w:sz w:val="21"/>
          <w:szCs w:val="21"/>
          <w:highlight w:val="none"/>
        </w:rPr>
        <w:t>双方共同对标的物的数量、规格、外观、质量、性能、随机备件备品、装箱单、随机资料、包装等进行详细而全面的检验。</w:t>
      </w:r>
    </w:p>
    <w:p>
      <w:pPr>
        <w:keepNext w:val="0"/>
        <w:keepLines w:val="0"/>
        <w:pageBreakBefore w:val="0"/>
        <w:widowControl w:val="0"/>
        <w:kinsoku/>
        <w:wordWrap/>
        <w:overflowPunct/>
        <w:topLinePunct w:val="0"/>
        <w:autoSpaceDE/>
        <w:autoSpaceDN/>
        <w:bidi w:val="0"/>
        <w:snapToGrid/>
        <w:spacing w:line="420" w:lineRule="exact"/>
        <w:ind w:firstLine="420" w:firstLineChars="200"/>
        <w:jc w:val="both"/>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3、验收标准：</w:t>
      </w:r>
      <w:r>
        <w:rPr>
          <w:rFonts w:hint="eastAsia" w:ascii="宋体" w:hAnsi="宋体" w:cs="宋体"/>
          <w:bCs/>
          <w:color w:val="auto"/>
          <w:sz w:val="21"/>
          <w:szCs w:val="21"/>
          <w:highlight w:val="none"/>
          <w:lang w:eastAsia="zh-CN"/>
        </w:rPr>
        <w:t>中标响应人</w:t>
      </w:r>
      <w:r>
        <w:rPr>
          <w:rFonts w:hint="eastAsia" w:ascii="宋体" w:hAnsi="宋体" w:eastAsia="宋体" w:cs="宋体"/>
          <w:bCs/>
          <w:color w:val="auto"/>
          <w:sz w:val="21"/>
          <w:szCs w:val="21"/>
          <w:highlight w:val="none"/>
        </w:rPr>
        <w:t>提供的货物必须符合我国最新颁布的与之相关的技术规范与标准，同时必须满足</w:t>
      </w:r>
      <w:r>
        <w:rPr>
          <w:rFonts w:hint="eastAsia" w:ascii="宋体" w:hAnsi="宋体" w:eastAsia="宋体" w:cs="宋体"/>
          <w:bCs/>
          <w:color w:val="auto"/>
          <w:sz w:val="21"/>
          <w:szCs w:val="21"/>
          <w:highlight w:val="none"/>
          <w:lang w:eastAsia="zh-CN"/>
        </w:rPr>
        <w:t>采购文件</w:t>
      </w:r>
      <w:r>
        <w:rPr>
          <w:rFonts w:hint="eastAsia" w:ascii="宋体" w:hAnsi="宋体" w:eastAsia="宋体" w:cs="宋体"/>
          <w:bCs/>
          <w:color w:val="auto"/>
          <w:sz w:val="21"/>
          <w:szCs w:val="21"/>
          <w:highlight w:val="none"/>
        </w:rPr>
        <w:t>中所列规格、具体配置、技术条件及功能要求和乙方承诺的其它指标及有关规定由</w:t>
      </w:r>
      <w:r>
        <w:rPr>
          <w:rFonts w:hint="eastAsia" w:ascii="宋体" w:hAnsi="宋体" w:cs="宋体"/>
          <w:bCs/>
          <w:color w:val="auto"/>
          <w:sz w:val="21"/>
          <w:szCs w:val="21"/>
          <w:highlight w:val="none"/>
          <w:lang w:eastAsia="zh-CN"/>
        </w:rPr>
        <w:t>采购人</w:t>
      </w:r>
      <w:r>
        <w:rPr>
          <w:rFonts w:hint="eastAsia" w:ascii="宋体" w:hAnsi="宋体" w:eastAsia="宋体" w:cs="宋体"/>
          <w:bCs/>
          <w:color w:val="auto"/>
          <w:sz w:val="21"/>
          <w:szCs w:val="21"/>
          <w:highlight w:val="none"/>
        </w:rPr>
        <w:t>验收通过。</w:t>
      </w:r>
    </w:p>
    <w:p>
      <w:pPr>
        <w:keepNext w:val="0"/>
        <w:keepLines w:val="0"/>
        <w:pageBreakBefore w:val="0"/>
        <w:widowControl w:val="0"/>
        <w:kinsoku/>
        <w:wordWrap/>
        <w:overflowPunct/>
        <w:topLinePunct w:val="0"/>
        <w:autoSpaceDE/>
        <w:autoSpaceDN/>
        <w:bidi w:val="0"/>
        <w:snapToGrid/>
        <w:spacing w:line="420" w:lineRule="exact"/>
        <w:ind w:firstLine="420" w:firstLineChars="200"/>
        <w:jc w:val="both"/>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4、在质保期内，如果标的物的数量、质量或规格与合同不符或证实标的物是具有缺陷的，包括潜在缺陷或使用不符合要求的材料等，</w:t>
      </w:r>
      <w:r>
        <w:rPr>
          <w:rFonts w:hint="eastAsia" w:ascii="宋体" w:hAnsi="宋体" w:cs="宋体"/>
          <w:bCs/>
          <w:color w:val="auto"/>
          <w:sz w:val="21"/>
          <w:szCs w:val="21"/>
          <w:highlight w:val="none"/>
          <w:lang w:eastAsia="zh-CN"/>
        </w:rPr>
        <w:t>采购人</w:t>
      </w:r>
      <w:r>
        <w:rPr>
          <w:rFonts w:hint="eastAsia" w:ascii="宋体" w:hAnsi="宋体" w:eastAsia="宋体" w:cs="宋体"/>
          <w:bCs/>
          <w:color w:val="auto"/>
          <w:sz w:val="21"/>
          <w:szCs w:val="21"/>
          <w:highlight w:val="none"/>
        </w:rPr>
        <w:t>将以书面形式通知</w:t>
      </w:r>
      <w:r>
        <w:rPr>
          <w:rFonts w:hint="eastAsia" w:ascii="宋体" w:hAnsi="宋体" w:cs="宋体"/>
          <w:bCs/>
          <w:color w:val="auto"/>
          <w:sz w:val="21"/>
          <w:szCs w:val="21"/>
          <w:highlight w:val="none"/>
          <w:lang w:eastAsia="zh-CN"/>
        </w:rPr>
        <w:t>中标响应人</w:t>
      </w:r>
      <w:r>
        <w:rPr>
          <w:rFonts w:hint="eastAsia" w:ascii="宋体" w:hAnsi="宋体" w:eastAsia="宋体" w:cs="宋体"/>
          <w:bCs/>
          <w:color w:val="auto"/>
          <w:sz w:val="21"/>
          <w:szCs w:val="21"/>
          <w:highlight w:val="none"/>
        </w:rPr>
        <w:t>并提出索赔。</w:t>
      </w:r>
    </w:p>
    <w:p>
      <w:pPr>
        <w:keepNext w:val="0"/>
        <w:keepLines w:val="0"/>
        <w:pageBreakBefore w:val="0"/>
        <w:widowControl w:val="0"/>
        <w:kinsoku/>
        <w:wordWrap/>
        <w:overflowPunct/>
        <w:topLinePunct w:val="0"/>
        <w:autoSpaceDE/>
        <w:autoSpaceDN/>
        <w:bidi w:val="0"/>
        <w:snapToGrid/>
        <w:spacing w:line="420" w:lineRule="exact"/>
        <w:ind w:firstLine="422" w:firstLineChars="200"/>
        <w:jc w:val="both"/>
        <w:rPr>
          <w:rFonts w:hint="eastAsia" w:ascii="宋体" w:hAnsi="宋体" w:eastAsia="宋体" w:cs="宋体"/>
          <w:b/>
          <w:bCs w:val="0"/>
          <w:color w:val="auto"/>
          <w:sz w:val="21"/>
          <w:szCs w:val="21"/>
          <w:highlight w:val="none"/>
        </w:rPr>
      </w:pPr>
      <w:r>
        <w:rPr>
          <w:rFonts w:hint="eastAsia" w:ascii="宋体" w:hAnsi="宋体" w:cs="宋体"/>
          <w:b/>
          <w:bCs w:val="0"/>
          <w:color w:val="auto"/>
          <w:sz w:val="21"/>
          <w:szCs w:val="21"/>
          <w:highlight w:val="none"/>
          <w:lang w:val="en-US" w:eastAsia="zh-CN"/>
        </w:rPr>
        <w:t>5</w:t>
      </w:r>
      <w:r>
        <w:rPr>
          <w:rFonts w:hint="eastAsia" w:ascii="宋体" w:hAnsi="宋体" w:eastAsia="宋体" w:cs="宋体"/>
          <w:b/>
          <w:bCs w:val="0"/>
          <w:color w:val="auto"/>
          <w:sz w:val="21"/>
          <w:szCs w:val="21"/>
          <w:highlight w:val="none"/>
          <w:lang w:val="en-US" w:eastAsia="zh-CN"/>
        </w:rPr>
        <w:t>、</w:t>
      </w:r>
      <w:r>
        <w:rPr>
          <w:rFonts w:hint="eastAsia" w:ascii="宋体" w:hAnsi="宋体" w:cs="宋体"/>
          <w:b/>
          <w:bCs w:val="0"/>
          <w:color w:val="auto"/>
          <w:sz w:val="21"/>
          <w:szCs w:val="21"/>
          <w:highlight w:val="none"/>
          <w:lang w:val="en-US" w:eastAsia="zh-CN"/>
        </w:rPr>
        <w:t>响应人</w:t>
      </w:r>
      <w:r>
        <w:rPr>
          <w:rFonts w:hint="eastAsia" w:ascii="宋体" w:hAnsi="宋体" w:eastAsia="宋体" w:cs="宋体"/>
          <w:b/>
          <w:bCs w:val="0"/>
          <w:color w:val="auto"/>
          <w:sz w:val="21"/>
          <w:szCs w:val="21"/>
          <w:highlight w:val="none"/>
        </w:rPr>
        <w:t>中标后，</w:t>
      </w:r>
      <w:r>
        <w:rPr>
          <w:rFonts w:hint="eastAsia" w:ascii="宋体" w:hAnsi="宋体" w:eastAsia="宋体" w:cs="宋体"/>
          <w:b/>
          <w:bCs w:val="0"/>
          <w:color w:val="auto"/>
          <w:sz w:val="21"/>
          <w:szCs w:val="21"/>
          <w:highlight w:val="none"/>
          <w:lang w:eastAsia="zh-CN"/>
        </w:rPr>
        <w:t>需提供大班家具的样板</w:t>
      </w:r>
      <w:r>
        <w:rPr>
          <w:rFonts w:hint="eastAsia" w:ascii="宋体" w:hAnsi="宋体" w:eastAsia="宋体" w:cs="宋体"/>
          <w:b/>
          <w:bCs w:val="0"/>
          <w:color w:val="auto"/>
          <w:sz w:val="21"/>
          <w:szCs w:val="21"/>
          <w:highlight w:val="none"/>
          <w:lang w:val="en-US" w:eastAsia="zh-CN"/>
        </w:rPr>
        <w:t>间（教室、寝室），</w:t>
      </w:r>
      <w:r>
        <w:rPr>
          <w:rFonts w:hint="eastAsia" w:ascii="宋体" w:hAnsi="宋体" w:eastAsia="宋体" w:cs="宋体"/>
          <w:b/>
          <w:bCs w:val="0"/>
          <w:color w:val="auto"/>
          <w:sz w:val="21"/>
          <w:szCs w:val="21"/>
          <w:highlight w:val="none"/>
          <w:lang w:eastAsia="zh-CN"/>
        </w:rPr>
        <w:t>经</w:t>
      </w:r>
      <w:r>
        <w:rPr>
          <w:rFonts w:hint="eastAsia" w:ascii="宋体" w:hAnsi="宋体" w:eastAsia="宋体" w:cs="宋体"/>
          <w:b/>
          <w:bCs w:val="0"/>
          <w:color w:val="auto"/>
          <w:sz w:val="21"/>
          <w:szCs w:val="21"/>
          <w:highlight w:val="none"/>
          <w:lang w:val="en-US" w:eastAsia="zh-CN"/>
        </w:rPr>
        <w:t>采购人</w:t>
      </w:r>
      <w:r>
        <w:rPr>
          <w:rFonts w:hint="eastAsia" w:ascii="宋体" w:hAnsi="宋体" w:eastAsia="宋体" w:cs="宋体"/>
          <w:b/>
          <w:bCs w:val="0"/>
          <w:color w:val="auto"/>
          <w:sz w:val="21"/>
          <w:szCs w:val="21"/>
          <w:highlight w:val="none"/>
          <w:lang w:eastAsia="zh-CN"/>
        </w:rPr>
        <w:t>验收合格后，方可</w:t>
      </w:r>
      <w:r>
        <w:rPr>
          <w:rFonts w:hint="eastAsia" w:ascii="宋体" w:hAnsi="宋体" w:eastAsia="宋体" w:cs="宋体"/>
          <w:b/>
          <w:bCs w:val="0"/>
          <w:color w:val="auto"/>
          <w:sz w:val="21"/>
          <w:szCs w:val="21"/>
          <w:highlight w:val="none"/>
          <w:lang w:val="en-US" w:eastAsia="zh-CN"/>
        </w:rPr>
        <w:t>按样品进行供货且</w:t>
      </w:r>
      <w:r>
        <w:rPr>
          <w:rFonts w:hint="eastAsia" w:ascii="宋体" w:hAnsi="宋体" w:eastAsia="宋体" w:cs="宋体"/>
          <w:b/>
          <w:bCs w:val="0"/>
          <w:color w:val="auto"/>
          <w:sz w:val="21"/>
          <w:szCs w:val="21"/>
          <w:highlight w:val="none"/>
        </w:rPr>
        <w:t>标的物材质不得改变</w:t>
      </w:r>
      <w:r>
        <w:rPr>
          <w:rFonts w:hint="eastAsia" w:ascii="宋体" w:hAnsi="宋体" w:eastAsia="宋体" w:cs="宋体"/>
          <w:b/>
          <w:bCs w:val="0"/>
          <w:color w:val="auto"/>
          <w:sz w:val="21"/>
          <w:szCs w:val="21"/>
          <w:highlight w:val="none"/>
          <w:lang w:eastAsia="zh-CN"/>
        </w:rPr>
        <w:t>，</w:t>
      </w:r>
      <w:r>
        <w:rPr>
          <w:rFonts w:hint="eastAsia" w:ascii="宋体" w:hAnsi="宋体" w:eastAsia="宋体" w:cs="宋体"/>
          <w:b/>
          <w:bCs w:val="0"/>
          <w:color w:val="auto"/>
          <w:sz w:val="21"/>
          <w:szCs w:val="21"/>
          <w:highlight w:val="none"/>
          <w:lang w:val="en-US" w:eastAsia="zh-CN"/>
        </w:rPr>
        <w:t>否则采购人有权拒绝其货物</w:t>
      </w:r>
      <w:r>
        <w:rPr>
          <w:rFonts w:hint="eastAsia" w:ascii="宋体" w:hAnsi="宋体" w:eastAsia="宋体" w:cs="宋体"/>
          <w:b/>
          <w:bCs w:val="0"/>
          <w:color w:val="auto"/>
          <w:sz w:val="21"/>
          <w:szCs w:val="21"/>
          <w:highlight w:val="none"/>
          <w:lang w:eastAsia="zh-CN"/>
        </w:rPr>
        <w:t>。</w:t>
      </w:r>
    </w:p>
    <w:p>
      <w:pPr>
        <w:keepNext w:val="0"/>
        <w:keepLines w:val="0"/>
        <w:pageBreakBefore w:val="0"/>
        <w:widowControl w:val="0"/>
        <w:kinsoku/>
        <w:wordWrap/>
        <w:overflowPunct/>
        <w:topLinePunct w:val="0"/>
        <w:autoSpaceDE/>
        <w:autoSpaceDN/>
        <w:bidi w:val="0"/>
        <w:snapToGrid/>
        <w:spacing w:line="420" w:lineRule="exact"/>
        <w:ind w:firstLine="420" w:firstLineChars="200"/>
        <w:jc w:val="both"/>
        <w:rPr>
          <w:color w:val="auto"/>
          <w:highlight w:val="none"/>
        </w:rPr>
      </w:pPr>
      <w:r>
        <w:rPr>
          <w:rFonts w:hint="eastAsia" w:ascii="宋体" w:hAnsi="宋体" w:eastAsia="宋体" w:cs="宋体"/>
          <w:bCs/>
          <w:color w:val="auto"/>
          <w:sz w:val="21"/>
          <w:szCs w:val="21"/>
          <w:highlight w:val="none"/>
        </w:rPr>
        <w:br w:type="page"/>
      </w:r>
    </w:p>
    <w:p>
      <w:pPr>
        <w:snapToGrid w:val="0"/>
        <w:spacing w:line="400" w:lineRule="exact"/>
        <w:jc w:val="center"/>
        <w:outlineLvl w:val="0"/>
        <w:rPr>
          <w:rFonts w:ascii="宋体" w:hAnsi="宋体" w:cs="宋体"/>
          <w:b/>
          <w:bCs/>
          <w:color w:val="auto"/>
          <w:sz w:val="32"/>
          <w:szCs w:val="32"/>
          <w:highlight w:val="none"/>
          <w:u w:color="000000"/>
        </w:rPr>
      </w:pPr>
      <w:r>
        <w:rPr>
          <w:color w:val="auto"/>
          <w:highlight w:val="none"/>
        </w:rPr>
        <w:fldChar w:fldCharType="begin"/>
      </w:r>
      <w:r>
        <w:rPr>
          <w:color w:val="auto"/>
          <w:highlight w:val="none"/>
        </w:rPr>
        <w:instrText xml:space="preserve"> HYPERLINK \l "_Toc214163640" </w:instrText>
      </w:r>
      <w:r>
        <w:rPr>
          <w:color w:val="auto"/>
          <w:highlight w:val="none"/>
        </w:rPr>
        <w:fldChar w:fldCharType="separate"/>
      </w:r>
      <w:r>
        <w:rPr>
          <w:rFonts w:hint="eastAsia" w:ascii="宋体" w:hAnsi="宋体" w:cs="宋体"/>
          <w:b/>
          <w:bCs/>
          <w:color w:val="auto"/>
          <w:sz w:val="32"/>
          <w:szCs w:val="32"/>
          <w:highlight w:val="none"/>
          <w:u w:color="000000"/>
        </w:rPr>
        <w:t>第五部分 评审办法和</w:t>
      </w:r>
      <w:r>
        <w:rPr>
          <w:rFonts w:hint="eastAsia" w:ascii="宋体" w:hAnsi="宋体" w:cs="宋体"/>
          <w:b/>
          <w:bCs/>
          <w:color w:val="auto"/>
          <w:sz w:val="32"/>
          <w:szCs w:val="32"/>
          <w:highlight w:val="none"/>
          <w:u w:color="000000"/>
        </w:rPr>
        <w:fldChar w:fldCharType="end"/>
      </w:r>
      <w:r>
        <w:rPr>
          <w:rFonts w:hint="eastAsia" w:ascii="宋体" w:hAnsi="宋体" w:cs="宋体"/>
          <w:b/>
          <w:bCs/>
          <w:color w:val="auto"/>
          <w:sz w:val="32"/>
          <w:szCs w:val="32"/>
          <w:highlight w:val="none"/>
          <w:u w:color="000000"/>
        </w:rPr>
        <w:t>评审细则</w:t>
      </w:r>
    </w:p>
    <w:p>
      <w:pPr>
        <w:pStyle w:val="4"/>
        <w:pageBreakBefore w:val="0"/>
        <w:widowControl w:val="0"/>
        <w:kinsoku/>
        <w:wordWrap/>
        <w:overflowPunct/>
        <w:topLinePunct w:val="0"/>
        <w:autoSpaceDE/>
        <w:autoSpaceDN/>
        <w:bidi w:val="0"/>
        <w:adjustRightInd/>
        <w:snapToGrid/>
        <w:spacing w:before="0" w:after="0" w:line="370" w:lineRule="exact"/>
        <w:textAlignment w:val="auto"/>
        <w:rPr>
          <w:rFonts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rPr>
        <w:t>一、评审办法</w:t>
      </w:r>
    </w:p>
    <w:p>
      <w:pPr>
        <w:pageBreakBefore w:val="0"/>
        <w:widowControl w:val="0"/>
        <w:kinsoku/>
        <w:wordWrap/>
        <w:overflowPunct/>
        <w:topLinePunct w:val="0"/>
        <w:autoSpaceDE/>
        <w:autoSpaceDN/>
        <w:bidi w:val="0"/>
        <w:adjustRightInd/>
        <w:snapToGrid/>
        <w:spacing w:line="370" w:lineRule="exact"/>
        <w:ind w:firstLine="420" w:firstLineChars="200"/>
        <w:textAlignment w:val="auto"/>
        <w:rPr>
          <w:rFonts w:ascii="宋体" w:hAnsi="宋体" w:cs="宋体"/>
          <w:b/>
          <w:bCs/>
          <w:color w:val="auto"/>
          <w:sz w:val="21"/>
          <w:szCs w:val="21"/>
          <w:highlight w:val="none"/>
        </w:rPr>
      </w:pPr>
      <w:r>
        <w:rPr>
          <w:rFonts w:hint="eastAsia" w:ascii="宋体" w:hAnsi="宋体" w:cs="宋体"/>
          <w:color w:val="auto"/>
          <w:sz w:val="21"/>
          <w:szCs w:val="21"/>
          <w:highlight w:val="none"/>
        </w:rPr>
        <w:t>本次磋商采用综合评分法，将响应人各项因素作为评价的基础，综合评选出最佳响应方案。每一响应人的最终得分为所有磋商小组成员给其评分的算</w:t>
      </w:r>
      <w:r>
        <w:rPr>
          <w:rFonts w:hint="eastAsia" w:ascii="宋体" w:hAnsi="宋体" w:cs="宋体"/>
          <w:color w:val="auto"/>
          <w:sz w:val="21"/>
          <w:szCs w:val="21"/>
          <w:highlight w:val="none"/>
          <w:lang w:val="en-US" w:eastAsia="zh-CN"/>
        </w:rPr>
        <w:t>术</w:t>
      </w:r>
      <w:r>
        <w:rPr>
          <w:rFonts w:hint="eastAsia" w:ascii="宋体" w:hAnsi="宋体" w:cs="宋体"/>
          <w:color w:val="auto"/>
          <w:sz w:val="21"/>
          <w:szCs w:val="21"/>
          <w:highlight w:val="none"/>
        </w:rPr>
        <w:t>平均值（保留2位小数）。</w:t>
      </w:r>
      <w:r>
        <w:rPr>
          <w:rFonts w:hint="eastAsia" w:ascii="宋体" w:hAnsi="宋体" w:cs="宋体"/>
          <w:color w:val="auto"/>
          <w:sz w:val="21"/>
          <w:szCs w:val="21"/>
          <w:highlight w:val="none"/>
          <w:lang w:val="en-US" w:eastAsia="zh-CN"/>
        </w:rPr>
        <w:t>磋商小组</w:t>
      </w:r>
      <w:r>
        <w:rPr>
          <w:rFonts w:hint="eastAsia" w:ascii="宋体" w:hAnsi="宋体" w:cs="宋体"/>
          <w:color w:val="auto"/>
          <w:sz w:val="21"/>
          <w:szCs w:val="21"/>
          <w:highlight w:val="none"/>
        </w:rPr>
        <w:t>按照评分标准评定响应单位的分值,按最终评审分由高到低顺序排列。得分最高者为第一中标候选人。得分相同的，按</w:t>
      </w:r>
      <w:r>
        <w:rPr>
          <w:rFonts w:hint="eastAsia" w:ascii="宋体" w:hAnsi="宋体" w:cs="宋体"/>
          <w:color w:val="auto"/>
          <w:sz w:val="21"/>
          <w:szCs w:val="21"/>
          <w:highlight w:val="none"/>
          <w:lang w:val="en-US" w:eastAsia="zh-CN"/>
        </w:rPr>
        <w:t>磋商</w:t>
      </w:r>
      <w:r>
        <w:rPr>
          <w:rFonts w:hint="eastAsia" w:ascii="宋体" w:hAnsi="宋体" w:cs="宋体"/>
          <w:color w:val="auto"/>
          <w:kern w:val="0"/>
          <w:sz w:val="21"/>
          <w:szCs w:val="21"/>
          <w:highlight w:val="none"/>
        </w:rPr>
        <w:t>最</w:t>
      </w:r>
      <w:r>
        <w:rPr>
          <w:rFonts w:hint="eastAsia" w:ascii="宋体" w:hAnsi="宋体" w:cs="宋体"/>
          <w:color w:val="auto"/>
          <w:kern w:val="0"/>
          <w:sz w:val="21"/>
          <w:szCs w:val="21"/>
          <w:highlight w:val="none"/>
          <w:lang w:val="en-US" w:eastAsia="zh-CN"/>
        </w:rPr>
        <w:t>终</w:t>
      </w:r>
      <w:r>
        <w:rPr>
          <w:rFonts w:hint="eastAsia" w:ascii="宋体" w:hAnsi="宋体" w:cs="宋体"/>
          <w:color w:val="auto"/>
          <w:kern w:val="0"/>
          <w:sz w:val="21"/>
          <w:szCs w:val="21"/>
          <w:highlight w:val="none"/>
        </w:rPr>
        <w:t>报价</w:t>
      </w:r>
      <w:r>
        <w:rPr>
          <w:rFonts w:hint="eastAsia" w:ascii="宋体" w:hAnsi="宋体" w:cs="宋体"/>
          <w:color w:val="auto"/>
          <w:sz w:val="21"/>
          <w:szCs w:val="21"/>
          <w:highlight w:val="none"/>
        </w:rPr>
        <w:t>由低到高顺序排列。得分且报价相同的，由采购人现场抽签决定第一中标候选人。磋商小组共同认定的客观分评审部分，需磋商小组成员共同讨论、独立打分，存在不同意见的，磋商小组成员分别作出书面说明。</w:t>
      </w:r>
    </w:p>
    <w:p>
      <w:pPr>
        <w:pageBreakBefore w:val="0"/>
        <w:widowControl w:val="0"/>
        <w:kinsoku/>
        <w:wordWrap/>
        <w:overflowPunct/>
        <w:topLinePunct w:val="0"/>
        <w:autoSpaceDE/>
        <w:autoSpaceDN/>
        <w:bidi w:val="0"/>
        <w:adjustRightInd/>
        <w:snapToGrid/>
        <w:spacing w:line="370" w:lineRule="exact"/>
        <w:textAlignment w:val="auto"/>
        <w:outlineLvl w:val="1"/>
        <w:rPr>
          <w:rFonts w:ascii="宋体" w:hAnsi="宋体" w:cs="宋体"/>
          <w:b/>
          <w:bCs/>
          <w:color w:val="auto"/>
          <w:sz w:val="21"/>
          <w:szCs w:val="21"/>
          <w:highlight w:val="none"/>
        </w:rPr>
      </w:pPr>
      <w:r>
        <w:rPr>
          <w:rFonts w:hint="eastAsia" w:ascii="宋体" w:hAnsi="宋体" w:cs="宋体"/>
          <w:b/>
          <w:bCs/>
          <w:color w:val="auto"/>
          <w:sz w:val="21"/>
          <w:szCs w:val="21"/>
          <w:highlight w:val="none"/>
        </w:rPr>
        <w:t>二、评分细则</w:t>
      </w:r>
    </w:p>
    <w:tbl>
      <w:tblPr>
        <w:tblStyle w:val="24"/>
        <w:tblW w:w="92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2"/>
        <w:gridCol w:w="999"/>
        <w:gridCol w:w="795"/>
        <w:gridCol w:w="6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92" w:type="dxa"/>
            <w:noWrap w:val="0"/>
            <w:vAlign w:val="center"/>
          </w:tcPr>
          <w:p>
            <w:pPr>
              <w:keepNext w:val="0"/>
              <w:keepLines w:val="0"/>
              <w:pageBreakBefore w:val="0"/>
              <w:widowControl w:val="0"/>
              <w:kinsoku/>
              <w:wordWrap/>
              <w:overflowPunct/>
              <w:topLinePunct w:val="0"/>
              <w:autoSpaceDE/>
              <w:autoSpaceDN/>
              <w:bidi w:val="0"/>
              <w:adjustRightInd/>
              <w:snapToGrid/>
              <w:spacing w:line="390" w:lineRule="atLeast"/>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序号</w:t>
            </w:r>
          </w:p>
        </w:tc>
        <w:tc>
          <w:tcPr>
            <w:tcW w:w="999" w:type="dxa"/>
            <w:noWrap w:val="0"/>
            <w:vAlign w:val="center"/>
          </w:tcPr>
          <w:p>
            <w:pPr>
              <w:keepNext w:val="0"/>
              <w:keepLines w:val="0"/>
              <w:pageBreakBefore w:val="0"/>
              <w:widowControl w:val="0"/>
              <w:kinsoku/>
              <w:wordWrap/>
              <w:overflowPunct/>
              <w:topLinePunct w:val="0"/>
              <w:autoSpaceDE/>
              <w:autoSpaceDN/>
              <w:bidi w:val="0"/>
              <w:adjustRightInd/>
              <w:snapToGrid/>
              <w:spacing w:line="390" w:lineRule="atLeast"/>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评分</w:t>
            </w:r>
          </w:p>
          <w:p>
            <w:pPr>
              <w:keepNext w:val="0"/>
              <w:keepLines w:val="0"/>
              <w:pageBreakBefore w:val="0"/>
              <w:widowControl w:val="0"/>
              <w:kinsoku/>
              <w:wordWrap/>
              <w:overflowPunct/>
              <w:topLinePunct w:val="0"/>
              <w:autoSpaceDE/>
              <w:autoSpaceDN/>
              <w:bidi w:val="0"/>
              <w:adjustRightInd/>
              <w:snapToGrid/>
              <w:spacing w:line="390" w:lineRule="atLeast"/>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因素</w:t>
            </w:r>
          </w:p>
        </w:tc>
        <w:tc>
          <w:tcPr>
            <w:tcW w:w="795" w:type="dxa"/>
            <w:noWrap w:val="0"/>
            <w:vAlign w:val="center"/>
          </w:tcPr>
          <w:p>
            <w:pPr>
              <w:keepNext w:val="0"/>
              <w:keepLines w:val="0"/>
              <w:pageBreakBefore w:val="0"/>
              <w:widowControl w:val="0"/>
              <w:kinsoku/>
              <w:wordWrap/>
              <w:overflowPunct/>
              <w:topLinePunct w:val="0"/>
              <w:autoSpaceDE/>
              <w:autoSpaceDN/>
              <w:bidi w:val="0"/>
              <w:adjustRightInd/>
              <w:snapToGrid/>
              <w:spacing w:line="390" w:lineRule="atLeast"/>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分值</w:t>
            </w:r>
          </w:p>
        </w:tc>
        <w:tc>
          <w:tcPr>
            <w:tcW w:w="6876" w:type="dxa"/>
            <w:noWrap w:val="0"/>
            <w:vAlign w:val="center"/>
          </w:tcPr>
          <w:p>
            <w:pPr>
              <w:keepNext w:val="0"/>
              <w:keepLines w:val="0"/>
              <w:pageBreakBefore w:val="0"/>
              <w:widowControl w:val="0"/>
              <w:kinsoku/>
              <w:wordWrap/>
              <w:overflowPunct/>
              <w:topLinePunct w:val="0"/>
              <w:autoSpaceDE/>
              <w:autoSpaceDN/>
              <w:bidi w:val="0"/>
              <w:adjustRightInd/>
              <w:snapToGrid/>
              <w:spacing w:line="390" w:lineRule="atLeast"/>
              <w:jc w:val="center"/>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262" w:type="dxa"/>
            <w:gridSpan w:val="4"/>
            <w:noWrap w:val="0"/>
            <w:vAlign w:val="center"/>
          </w:tcPr>
          <w:p>
            <w:pPr>
              <w:keepNext w:val="0"/>
              <w:keepLines w:val="0"/>
              <w:pageBreakBefore w:val="0"/>
              <w:widowControl w:val="0"/>
              <w:kinsoku/>
              <w:wordWrap/>
              <w:overflowPunct/>
              <w:topLinePunct w:val="0"/>
              <w:autoSpaceDE/>
              <w:autoSpaceDN/>
              <w:bidi w:val="0"/>
              <w:adjustRightInd/>
              <w:snapToGrid/>
              <w:spacing w:line="390" w:lineRule="atLeast"/>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报价分（</w:t>
            </w:r>
            <w:r>
              <w:rPr>
                <w:rFonts w:hint="eastAsia" w:ascii="宋体" w:hAnsi="宋体" w:eastAsia="宋体" w:cs="宋体"/>
                <w:b/>
                <w:bCs/>
                <w:color w:val="auto"/>
                <w:sz w:val="21"/>
                <w:szCs w:val="21"/>
                <w:highlight w:val="none"/>
                <w:lang w:val="en-US" w:eastAsia="zh-CN"/>
              </w:rPr>
              <w:t>60</w:t>
            </w:r>
            <w:r>
              <w:rPr>
                <w:rFonts w:hint="eastAsia" w:ascii="宋体" w:hAnsi="宋体" w:eastAsia="宋体" w:cs="宋体"/>
                <w:b/>
                <w:bCs/>
                <w:color w:val="auto"/>
                <w:sz w:val="21"/>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92" w:type="dxa"/>
            <w:noWrap w:val="0"/>
            <w:vAlign w:val="center"/>
          </w:tcPr>
          <w:p>
            <w:pPr>
              <w:keepNext w:val="0"/>
              <w:keepLines w:val="0"/>
              <w:pageBreakBefore w:val="0"/>
              <w:widowControl w:val="0"/>
              <w:kinsoku/>
              <w:wordWrap/>
              <w:overflowPunct/>
              <w:topLinePunct w:val="0"/>
              <w:autoSpaceDE/>
              <w:autoSpaceDN/>
              <w:bidi w:val="0"/>
              <w:adjustRightInd/>
              <w:snapToGrid/>
              <w:spacing w:line="390" w:lineRule="atLeas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999" w:type="dxa"/>
            <w:noWrap w:val="0"/>
            <w:vAlign w:val="center"/>
          </w:tcPr>
          <w:p>
            <w:pPr>
              <w:keepNext w:val="0"/>
              <w:keepLines w:val="0"/>
              <w:pageBreakBefore w:val="0"/>
              <w:widowControl w:val="0"/>
              <w:kinsoku/>
              <w:wordWrap/>
              <w:overflowPunct/>
              <w:topLinePunct w:val="0"/>
              <w:autoSpaceDE/>
              <w:autoSpaceDN/>
              <w:bidi w:val="0"/>
              <w:adjustRightInd/>
              <w:snapToGrid/>
              <w:spacing w:line="390" w:lineRule="atLeas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报价分</w:t>
            </w:r>
          </w:p>
        </w:tc>
        <w:tc>
          <w:tcPr>
            <w:tcW w:w="795" w:type="dxa"/>
            <w:noWrap w:val="0"/>
            <w:vAlign w:val="center"/>
          </w:tcPr>
          <w:p>
            <w:pPr>
              <w:keepNext w:val="0"/>
              <w:keepLines w:val="0"/>
              <w:pageBreakBefore w:val="0"/>
              <w:widowControl w:val="0"/>
              <w:kinsoku/>
              <w:wordWrap/>
              <w:overflowPunct/>
              <w:topLinePunct w:val="0"/>
              <w:autoSpaceDE/>
              <w:autoSpaceDN/>
              <w:bidi w:val="0"/>
              <w:adjustRightInd/>
              <w:snapToGrid/>
              <w:spacing w:line="390" w:lineRule="atLeast"/>
              <w:jc w:val="center"/>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0</w:t>
            </w:r>
          </w:p>
        </w:tc>
        <w:tc>
          <w:tcPr>
            <w:tcW w:w="6876" w:type="dxa"/>
            <w:noWrap w:val="0"/>
            <w:vAlign w:val="center"/>
          </w:tcPr>
          <w:p>
            <w:pPr>
              <w:keepNext w:val="0"/>
              <w:keepLines w:val="0"/>
              <w:pageBreakBefore w:val="0"/>
              <w:widowControl w:val="0"/>
              <w:kinsoku/>
              <w:wordWrap/>
              <w:overflowPunct/>
              <w:topLinePunct w:val="0"/>
              <w:autoSpaceDE/>
              <w:autoSpaceDN/>
              <w:bidi w:val="0"/>
              <w:adjustRightInd/>
              <w:snapToGrid/>
              <w:spacing w:line="390" w:lineRule="atLeas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满足磋商文件要求且最终报价最低的</w:t>
            </w:r>
            <w:r>
              <w:rPr>
                <w:rFonts w:hint="eastAsia" w:ascii="宋体" w:hAnsi="宋体" w:cs="宋体"/>
                <w:color w:val="auto"/>
                <w:sz w:val="21"/>
                <w:szCs w:val="21"/>
                <w:highlight w:val="none"/>
                <w:lang w:eastAsia="zh-CN"/>
              </w:rPr>
              <w:t>响应人</w:t>
            </w:r>
            <w:r>
              <w:rPr>
                <w:rFonts w:hint="eastAsia" w:ascii="宋体" w:hAnsi="宋体" w:eastAsia="宋体" w:cs="宋体"/>
                <w:color w:val="auto"/>
                <w:sz w:val="21"/>
                <w:szCs w:val="21"/>
                <w:highlight w:val="none"/>
              </w:rPr>
              <w:t>的价格为磋商基准价，其价格分为满分,其他</w:t>
            </w:r>
            <w:r>
              <w:rPr>
                <w:rFonts w:hint="eastAsia" w:ascii="宋体" w:hAnsi="宋体" w:cs="宋体"/>
                <w:color w:val="auto"/>
                <w:sz w:val="21"/>
                <w:szCs w:val="21"/>
                <w:highlight w:val="none"/>
                <w:lang w:eastAsia="zh-CN"/>
              </w:rPr>
              <w:t>响应人</w:t>
            </w:r>
            <w:r>
              <w:rPr>
                <w:rFonts w:hint="eastAsia" w:ascii="宋体" w:hAnsi="宋体" w:eastAsia="宋体" w:cs="宋体"/>
                <w:color w:val="auto"/>
                <w:sz w:val="21"/>
                <w:szCs w:val="21"/>
                <w:highlight w:val="none"/>
              </w:rPr>
              <w:t>最终报价得分＝（磋商基准价/其他</w:t>
            </w:r>
            <w:r>
              <w:rPr>
                <w:rFonts w:hint="eastAsia" w:ascii="宋体" w:hAnsi="宋体" w:cs="宋体"/>
                <w:color w:val="auto"/>
                <w:sz w:val="21"/>
                <w:szCs w:val="21"/>
                <w:highlight w:val="none"/>
                <w:lang w:eastAsia="zh-CN"/>
              </w:rPr>
              <w:t>响应人</w:t>
            </w:r>
            <w:r>
              <w:rPr>
                <w:rFonts w:hint="eastAsia" w:ascii="宋体" w:hAnsi="宋体" w:eastAsia="宋体" w:cs="宋体"/>
                <w:color w:val="auto"/>
                <w:sz w:val="21"/>
                <w:szCs w:val="21"/>
                <w:highlight w:val="none"/>
              </w:rPr>
              <w:t>最终报价）×</w:t>
            </w:r>
            <w:r>
              <w:rPr>
                <w:rFonts w:hint="eastAsia" w:ascii="宋体" w:hAnsi="宋体" w:eastAsia="宋体" w:cs="宋体"/>
                <w:color w:val="auto"/>
                <w:sz w:val="21"/>
                <w:szCs w:val="21"/>
                <w:highlight w:val="none"/>
                <w:lang w:val="en-US" w:eastAsia="zh-CN"/>
              </w:rPr>
              <w:t>60</w:t>
            </w:r>
            <w:r>
              <w:rPr>
                <w:rFonts w:hint="eastAsia" w:ascii="宋体" w:hAnsi="宋体" w:eastAsia="宋体" w:cs="宋体"/>
                <w:color w:val="auto"/>
                <w:sz w:val="21"/>
                <w:szCs w:val="21"/>
                <w:highlight w:val="none"/>
              </w:rPr>
              <w:t>%×100，计算结果精确到小数点后两位，小数点后第三位四舍五入。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262" w:type="dxa"/>
            <w:gridSpan w:val="4"/>
            <w:noWrap w:val="0"/>
            <w:vAlign w:val="center"/>
          </w:tcPr>
          <w:p>
            <w:pPr>
              <w:keepNext w:val="0"/>
              <w:keepLines w:val="0"/>
              <w:pageBreakBefore w:val="0"/>
              <w:widowControl w:val="0"/>
              <w:kinsoku/>
              <w:wordWrap/>
              <w:overflowPunct/>
              <w:topLinePunct w:val="0"/>
              <w:autoSpaceDE/>
              <w:autoSpaceDN/>
              <w:bidi w:val="0"/>
              <w:adjustRightInd/>
              <w:snapToGrid/>
              <w:spacing w:line="390" w:lineRule="atLeast"/>
              <w:jc w:val="center"/>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客观分（30分）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92" w:type="dxa"/>
            <w:noWrap w:val="0"/>
            <w:vAlign w:val="center"/>
          </w:tcPr>
          <w:p>
            <w:pPr>
              <w:keepNext w:val="0"/>
              <w:keepLines w:val="0"/>
              <w:pageBreakBefore w:val="0"/>
              <w:widowControl w:val="0"/>
              <w:kinsoku/>
              <w:wordWrap/>
              <w:overflowPunct/>
              <w:topLinePunct w:val="0"/>
              <w:autoSpaceDE/>
              <w:autoSpaceDN/>
              <w:bidi w:val="0"/>
              <w:adjustRightInd/>
              <w:snapToGrid/>
              <w:spacing w:line="390" w:lineRule="atLeas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2</w:t>
            </w:r>
          </w:p>
        </w:tc>
        <w:tc>
          <w:tcPr>
            <w:tcW w:w="999" w:type="dxa"/>
            <w:noWrap w:val="0"/>
            <w:vAlign w:val="center"/>
          </w:tcPr>
          <w:p>
            <w:pPr>
              <w:keepNext w:val="0"/>
              <w:keepLines w:val="0"/>
              <w:pageBreakBefore w:val="0"/>
              <w:widowControl w:val="0"/>
              <w:kinsoku/>
              <w:wordWrap/>
              <w:overflowPunct/>
              <w:topLinePunct w:val="0"/>
              <w:autoSpaceDE/>
              <w:autoSpaceDN/>
              <w:bidi w:val="0"/>
              <w:adjustRightInd/>
              <w:snapToGrid/>
              <w:spacing w:line="390" w:lineRule="atLeas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val="0"/>
                <w:bCs w:val="0"/>
                <w:color w:val="auto"/>
                <w:sz w:val="21"/>
                <w:szCs w:val="21"/>
                <w:highlight w:val="none"/>
              </w:rPr>
              <w:t>产品配置性能</w:t>
            </w:r>
          </w:p>
        </w:tc>
        <w:tc>
          <w:tcPr>
            <w:tcW w:w="795" w:type="dxa"/>
            <w:noWrap w:val="0"/>
            <w:vAlign w:val="center"/>
          </w:tcPr>
          <w:p>
            <w:pPr>
              <w:keepNext w:val="0"/>
              <w:keepLines w:val="0"/>
              <w:pageBreakBefore w:val="0"/>
              <w:widowControl w:val="0"/>
              <w:kinsoku/>
              <w:wordWrap/>
              <w:overflowPunct/>
              <w:topLinePunct w:val="0"/>
              <w:autoSpaceDE/>
              <w:autoSpaceDN/>
              <w:bidi w:val="0"/>
              <w:adjustRightInd/>
              <w:snapToGrid/>
              <w:spacing w:line="390" w:lineRule="atLeas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5</w:t>
            </w:r>
          </w:p>
        </w:tc>
        <w:tc>
          <w:tcPr>
            <w:tcW w:w="6876" w:type="dxa"/>
            <w:noWrap w:val="0"/>
            <w:vAlign w:val="top"/>
          </w:tcPr>
          <w:p>
            <w:pPr>
              <w:keepNext w:val="0"/>
              <w:keepLines w:val="0"/>
              <w:pageBreakBefore w:val="0"/>
              <w:widowControl w:val="0"/>
              <w:kinsoku/>
              <w:wordWrap/>
              <w:overflowPunct/>
              <w:topLinePunct w:val="0"/>
              <w:autoSpaceDE/>
              <w:autoSpaceDN/>
              <w:bidi w:val="0"/>
              <w:adjustRightInd/>
              <w:snapToGrid/>
              <w:spacing w:line="390" w:lineRule="atLeas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投标产品主要原材料（检验）检测报</w:t>
            </w:r>
            <w:r>
              <w:rPr>
                <w:rFonts w:hint="eastAsia" w:ascii="宋体" w:hAnsi="宋体" w:eastAsia="宋体" w:cs="宋体"/>
                <w:b w:val="0"/>
                <w:bCs w:val="0"/>
                <w:color w:val="auto"/>
                <w:sz w:val="21"/>
                <w:szCs w:val="21"/>
                <w:highlight w:val="none"/>
                <w:lang w:eastAsia="zh-CN"/>
              </w:rPr>
              <w:t>告须包含如下检测数据：</w:t>
            </w:r>
          </w:p>
          <w:p>
            <w:pPr>
              <w:keepNext w:val="0"/>
              <w:keepLines w:val="0"/>
              <w:pageBreakBefore w:val="0"/>
              <w:widowControl w:val="0"/>
              <w:kinsoku/>
              <w:wordWrap/>
              <w:overflowPunct/>
              <w:topLinePunct w:val="0"/>
              <w:autoSpaceDE/>
              <w:autoSpaceDN/>
              <w:bidi w:val="0"/>
              <w:adjustRightInd/>
              <w:snapToGrid/>
              <w:spacing w:line="390" w:lineRule="atLeast"/>
              <w:ind w:firstLine="420" w:firstLineChars="200"/>
              <w:textAlignment w:val="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①</w:t>
            </w:r>
            <w:r>
              <w:rPr>
                <w:rFonts w:hint="eastAsia" w:ascii="宋体" w:hAnsi="宋体" w:eastAsia="宋体" w:cs="宋体"/>
                <w:b w:val="0"/>
                <w:bCs w:val="0"/>
                <w:color w:val="auto"/>
                <w:kern w:val="2"/>
                <w:sz w:val="21"/>
                <w:szCs w:val="21"/>
                <w:highlight w:val="none"/>
                <w:lang w:val="en-US" w:eastAsia="zh-CN" w:bidi="ar-SA"/>
              </w:rPr>
              <w:t>橡胶木拼板：【外观质量、尺寸偏差、理化性能、甲醛释放量】</w:t>
            </w:r>
          </w:p>
          <w:p>
            <w:pPr>
              <w:keepNext w:val="0"/>
              <w:keepLines w:val="0"/>
              <w:pageBreakBefore w:val="0"/>
              <w:widowControl w:val="0"/>
              <w:kinsoku/>
              <w:wordWrap/>
              <w:overflowPunct/>
              <w:topLinePunct w:val="0"/>
              <w:autoSpaceDE/>
              <w:autoSpaceDN/>
              <w:bidi w:val="0"/>
              <w:adjustRightInd/>
              <w:snapToGrid/>
              <w:spacing w:line="390" w:lineRule="atLeast"/>
              <w:ind w:firstLine="420" w:firstLineChars="200"/>
              <w:textAlignment w:val="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②三聚氰胺板：【外观质量，理化性能（表面胶合强度、2h吸水厚度膨胀率(%)、含水率(%)、密度），甲醛释放限量。】</w:t>
            </w:r>
          </w:p>
          <w:p>
            <w:pPr>
              <w:keepNext w:val="0"/>
              <w:keepLines w:val="0"/>
              <w:pageBreakBefore w:val="0"/>
              <w:widowControl w:val="0"/>
              <w:kinsoku/>
              <w:wordWrap/>
              <w:overflowPunct/>
              <w:topLinePunct w:val="0"/>
              <w:autoSpaceDE/>
              <w:autoSpaceDN/>
              <w:bidi w:val="0"/>
              <w:adjustRightInd/>
              <w:snapToGrid/>
              <w:spacing w:line="390" w:lineRule="atLeast"/>
              <w:ind w:firstLine="420" w:firstLineChars="200"/>
              <w:textAlignment w:val="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③无黑芯桦木实木多层板：【含水率(%) 、胶合强度(MPa)、表面胶合强度(MPa)、表面耐划痕、表面耐磨、表面耐香烟灼烧(级)、表面耐干热(级)、表面耐冷热循环、表面耐龟裂(级)、表面耐水蒸气(级)、表面耐污染腐蚀(级)、甲醛释放量(mg/m³)】</w:t>
            </w:r>
          </w:p>
          <w:p>
            <w:pPr>
              <w:keepNext w:val="0"/>
              <w:keepLines w:val="0"/>
              <w:pageBreakBefore w:val="0"/>
              <w:widowControl w:val="0"/>
              <w:kinsoku/>
              <w:wordWrap/>
              <w:overflowPunct/>
              <w:topLinePunct w:val="0"/>
              <w:autoSpaceDE/>
              <w:autoSpaceDN/>
              <w:bidi w:val="0"/>
              <w:adjustRightInd/>
              <w:snapToGrid/>
              <w:spacing w:line="390" w:lineRule="atLeast"/>
              <w:ind w:firstLine="420" w:firstLineChars="200"/>
              <w:textAlignment w:val="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④密度板：【甲醛释放量、含水率、密度、板内密度偏差、静曲强度、内结合强度、吸水厚度膨胀率、弹性模量、表面结合强度】</w:t>
            </w:r>
          </w:p>
          <w:p>
            <w:pPr>
              <w:keepNext w:val="0"/>
              <w:keepLines w:val="0"/>
              <w:pageBreakBefore w:val="0"/>
              <w:widowControl w:val="0"/>
              <w:kinsoku/>
              <w:wordWrap/>
              <w:overflowPunct/>
              <w:topLinePunct w:val="0"/>
              <w:autoSpaceDE/>
              <w:autoSpaceDN/>
              <w:bidi w:val="0"/>
              <w:adjustRightInd/>
              <w:snapToGrid/>
              <w:spacing w:line="390" w:lineRule="atLeast"/>
              <w:ind w:firstLine="420" w:firstLineChars="200"/>
              <w:textAlignment w:val="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⑤水性环保漆：【Voc含量(g/L)，甲醛含量(mg/kg)，总铅(Pb)含量(mg/kg)，可溶性重金属：镉(Cd)含量、铬(Cr)含量、汞(Hg)含量，乙二醉醚及醚酯总和含量(mg/kg) (限乙二醇甲醚、 乙二醇甲醚醋酸酯、乙二醇乙醚、乙二醇乙醚醋酸酯、乙二醇二甲醚、乙二醇二乙醚、二乙二醇二甲醚、三乙二醇二甲醚)，苯系物总和含量(mg/kg)(限苯、甲苯、二甲苯(含乙苯))，烷基酚聚氧乙烯醚总和含量(mg/kg)，附着力(划格间距2mm) (级)、耐划伤性(100g)】</w:t>
            </w:r>
          </w:p>
          <w:p>
            <w:pPr>
              <w:keepNext w:val="0"/>
              <w:keepLines w:val="0"/>
              <w:pageBreakBefore w:val="0"/>
              <w:widowControl w:val="0"/>
              <w:kinsoku/>
              <w:wordWrap/>
              <w:overflowPunct/>
              <w:topLinePunct w:val="0"/>
              <w:autoSpaceDE/>
              <w:autoSpaceDN/>
              <w:bidi w:val="0"/>
              <w:adjustRightInd/>
              <w:snapToGrid/>
              <w:spacing w:line="390" w:lineRule="atLeast"/>
              <w:ind w:firstLine="420" w:firstLineChars="200"/>
              <w:textAlignment w:val="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⑥阻尼铰链：【垂直静载荷(30kg, 10次) 、水平静载荷(70N, 10次)、操作力-打开力(N)、操作力-关闭力(N)、垂直静载荷(20kg, 10次)、水平静载荷(40N, 10次)、耐久性(80000次)、下沉量、耐腐蚀】</w:t>
            </w:r>
          </w:p>
          <w:p>
            <w:pPr>
              <w:keepNext w:val="0"/>
              <w:keepLines w:val="0"/>
              <w:pageBreakBefore w:val="0"/>
              <w:widowControl w:val="0"/>
              <w:kinsoku/>
              <w:wordWrap/>
              <w:overflowPunct/>
              <w:topLinePunct w:val="0"/>
              <w:autoSpaceDE/>
              <w:autoSpaceDN/>
              <w:bidi w:val="0"/>
              <w:adjustRightInd/>
              <w:snapToGrid/>
              <w:spacing w:line="390" w:lineRule="atLeast"/>
              <w:ind w:firstLine="420" w:firstLineChars="200"/>
              <w:textAlignment w:val="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⑦三节阻尼导轨：【中性盐雾、乙酸盐雾、过载要求、功能试验】</w:t>
            </w:r>
          </w:p>
          <w:p>
            <w:pPr>
              <w:keepNext w:val="0"/>
              <w:keepLines w:val="0"/>
              <w:pageBreakBefore w:val="0"/>
              <w:widowControl w:val="0"/>
              <w:kinsoku/>
              <w:wordWrap/>
              <w:overflowPunct/>
              <w:topLinePunct w:val="0"/>
              <w:autoSpaceDE/>
              <w:autoSpaceDN/>
              <w:bidi w:val="0"/>
              <w:adjustRightInd/>
              <w:snapToGrid/>
              <w:spacing w:line="390" w:lineRule="atLeast"/>
              <w:ind w:firstLine="420" w:firstLineChars="200"/>
              <w:textAlignment w:val="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⑧直排钉：【抗盐雾、金属外观、特定元素的迁移、领苯二甲酸酯】</w:t>
            </w:r>
          </w:p>
          <w:p>
            <w:pPr>
              <w:keepNext w:val="0"/>
              <w:keepLines w:val="0"/>
              <w:pageBreakBefore w:val="0"/>
              <w:widowControl w:val="0"/>
              <w:kinsoku/>
              <w:wordWrap/>
              <w:overflowPunct/>
              <w:topLinePunct w:val="0"/>
              <w:autoSpaceDE/>
              <w:autoSpaceDN/>
              <w:bidi w:val="0"/>
              <w:adjustRightInd/>
              <w:snapToGrid/>
              <w:spacing w:line="390" w:lineRule="atLeast"/>
              <w:ind w:firstLine="420" w:firstLineChars="200"/>
              <w:textAlignment w:val="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⑨阻燃海绵：【污染、气味、75%压缩永久变形，%、拉伸强度、撕裂强度】</w:t>
            </w:r>
          </w:p>
          <w:p>
            <w:pPr>
              <w:keepNext w:val="0"/>
              <w:keepLines w:val="0"/>
              <w:pageBreakBefore w:val="0"/>
              <w:widowControl w:val="0"/>
              <w:kinsoku/>
              <w:wordWrap/>
              <w:overflowPunct/>
              <w:topLinePunct w:val="0"/>
              <w:autoSpaceDE/>
              <w:autoSpaceDN/>
              <w:bidi w:val="0"/>
              <w:adjustRightInd/>
              <w:snapToGrid/>
              <w:spacing w:line="390" w:lineRule="atLeast"/>
              <w:ind w:firstLine="420" w:firstLineChars="200"/>
              <w:textAlignment w:val="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⑩冷轧钢板：【八大重金属（可溶性铅、可溶性锑、可溶性砷、可溶性钡、可溶性镉、可溶性铬、可溶性汞、可溶性硒）】</w:t>
            </w:r>
          </w:p>
          <w:p>
            <w:pPr>
              <w:keepNext w:val="0"/>
              <w:keepLines w:val="0"/>
              <w:pageBreakBefore w:val="0"/>
              <w:widowControl w:val="0"/>
              <w:kinsoku/>
              <w:wordWrap/>
              <w:overflowPunct/>
              <w:topLinePunct w:val="0"/>
              <w:autoSpaceDE/>
              <w:autoSpaceDN/>
              <w:bidi w:val="0"/>
              <w:adjustRightInd/>
              <w:snapToGrid/>
              <w:spacing w:line="390" w:lineRule="atLeast"/>
              <w:ind w:firstLine="422"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备注：以上检测报告</w:t>
            </w:r>
            <w:r>
              <w:rPr>
                <w:rFonts w:hint="eastAsia" w:ascii="宋体" w:hAnsi="宋体" w:cs="宋体"/>
                <w:b/>
                <w:bCs/>
                <w:color w:val="auto"/>
                <w:kern w:val="2"/>
                <w:sz w:val="21"/>
                <w:szCs w:val="21"/>
                <w:highlight w:val="none"/>
                <w:lang w:val="en-US" w:eastAsia="zh-CN" w:bidi="ar-SA"/>
              </w:rPr>
              <w:t>有一份得0.5分，最高得5分；</w:t>
            </w:r>
            <w:r>
              <w:rPr>
                <w:rFonts w:hint="eastAsia" w:ascii="宋体" w:hAnsi="宋体" w:eastAsia="宋体" w:cs="宋体"/>
                <w:b/>
                <w:bCs/>
                <w:color w:val="auto"/>
                <w:kern w:val="2"/>
                <w:sz w:val="21"/>
                <w:szCs w:val="21"/>
                <w:highlight w:val="none"/>
                <w:lang w:val="en-US" w:eastAsia="zh-CN" w:bidi="ar-SA"/>
              </w:rPr>
              <w:t>缺检测项或有一项不合格、不符合或无判定视同未提供,</w:t>
            </w:r>
            <w:r>
              <w:rPr>
                <w:rFonts w:hint="eastAsia" w:ascii="宋体" w:hAnsi="宋体" w:cs="宋体"/>
                <w:b/>
                <w:bCs/>
                <w:color w:val="auto"/>
                <w:kern w:val="2"/>
                <w:sz w:val="21"/>
                <w:szCs w:val="21"/>
                <w:highlight w:val="none"/>
                <w:lang w:val="en-US" w:eastAsia="zh-CN" w:bidi="ar-SA"/>
              </w:rPr>
              <w:t>该项不得分。</w:t>
            </w:r>
            <w:r>
              <w:rPr>
                <w:rFonts w:hint="eastAsia" w:ascii="宋体" w:hAnsi="宋体" w:eastAsia="宋体" w:cs="宋体"/>
                <w:b/>
                <w:bCs/>
                <w:color w:val="auto"/>
                <w:kern w:val="2"/>
                <w:sz w:val="21"/>
                <w:szCs w:val="21"/>
                <w:highlight w:val="none"/>
                <w:lang w:val="en-US" w:eastAsia="zh-CN" w:bidi="ar-SA"/>
              </w:rPr>
              <w:t>所有检测报告必须由具有CMA标志或CNAS标志，检测结果必须满足国家标准及采购文件要求。提供完整检测报告复印件，检测报告须含封</w:t>
            </w:r>
            <w:r>
              <w:rPr>
                <w:rFonts w:hint="eastAsia" w:ascii="宋体" w:hAnsi="宋体" w:eastAsia="宋体" w:cs="宋体"/>
                <w:b/>
                <w:bCs/>
                <w:color w:val="auto"/>
                <w:kern w:val="0"/>
                <w:sz w:val="21"/>
                <w:szCs w:val="21"/>
                <w:highlight w:val="none"/>
              </w:rPr>
              <w:t>底及封面，有电话可查询真伪，必须复印完整，复印局部内容及缩放后导致无法识别的均不得分。</w:t>
            </w:r>
            <w:r>
              <w:rPr>
                <w:rFonts w:hint="eastAsia" w:ascii="宋体" w:hAnsi="宋体" w:eastAsia="宋体" w:cs="宋体"/>
                <w:b/>
                <w:bCs/>
                <w:color w:val="auto"/>
                <w:sz w:val="21"/>
                <w:szCs w:val="21"/>
                <w:highlight w:val="none"/>
                <w:lang w:eastAsia="zh-CN"/>
              </w:rPr>
              <w:t>磋商时</w:t>
            </w:r>
            <w:r>
              <w:rPr>
                <w:rFonts w:hint="eastAsia" w:ascii="宋体" w:hAnsi="宋体" w:eastAsia="宋体" w:cs="宋体"/>
                <w:b/>
                <w:bCs/>
                <w:color w:val="auto"/>
                <w:sz w:val="21"/>
                <w:szCs w:val="21"/>
                <w:highlight w:val="none"/>
              </w:rPr>
              <w:t>提交原件</w:t>
            </w:r>
            <w:r>
              <w:rPr>
                <w:rFonts w:hint="eastAsia" w:ascii="宋体" w:hAnsi="宋体" w:eastAsia="宋体" w:cs="宋体"/>
                <w:b/>
                <w:bCs/>
                <w:color w:val="auto"/>
                <w:kern w:val="0"/>
                <w:sz w:val="21"/>
                <w:szCs w:val="21"/>
                <w:highlight w:val="none"/>
              </w:rPr>
              <w:t>，无原件可用公证件替代，不提供不得分。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92" w:type="dxa"/>
            <w:noWrap w:val="0"/>
            <w:vAlign w:val="center"/>
          </w:tcPr>
          <w:p>
            <w:pPr>
              <w:keepNext w:val="0"/>
              <w:keepLines w:val="0"/>
              <w:pageBreakBefore w:val="0"/>
              <w:widowControl w:val="0"/>
              <w:kinsoku/>
              <w:wordWrap/>
              <w:overflowPunct/>
              <w:topLinePunct w:val="0"/>
              <w:autoSpaceDE/>
              <w:autoSpaceDN/>
              <w:bidi w:val="0"/>
              <w:adjustRightInd/>
              <w:snapToGrid/>
              <w:spacing w:line="390" w:lineRule="atLeast"/>
              <w:jc w:val="center"/>
              <w:textAlignment w:val="auto"/>
              <w:rPr>
                <w:rFonts w:hint="default" w:ascii="Times New Roman" w:hAnsi="Times New Roman" w:cs="Times New Roman"/>
                <w:color w:val="auto"/>
                <w:sz w:val="21"/>
                <w:szCs w:val="21"/>
                <w:highlight w:val="none"/>
                <w:lang w:val="en-US" w:eastAsia="zh-CN"/>
              </w:rPr>
            </w:pPr>
            <w:r>
              <w:rPr>
                <w:rFonts w:hint="eastAsia" w:cs="Times New Roman"/>
                <w:color w:val="auto"/>
                <w:sz w:val="21"/>
                <w:szCs w:val="21"/>
                <w:highlight w:val="none"/>
                <w:lang w:val="en-US" w:eastAsia="zh-CN"/>
              </w:rPr>
              <w:t>3</w:t>
            </w:r>
          </w:p>
        </w:tc>
        <w:tc>
          <w:tcPr>
            <w:tcW w:w="999" w:type="dxa"/>
            <w:noWrap w:val="0"/>
            <w:vAlign w:val="center"/>
          </w:tcPr>
          <w:p>
            <w:pPr>
              <w:keepNext w:val="0"/>
              <w:keepLines w:val="0"/>
              <w:pageBreakBefore w:val="0"/>
              <w:widowControl w:val="0"/>
              <w:kinsoku/>
              <w:wordWrap/>
              <w:overflowPunct/>
              <w:topLinePunct w:val="0"/>
              <w:autoSpaceDE/>
              <w:autoSpaceDN/>
              <w:bidi w:val="0"/>
              <w:adjustRightInd/>
              <w:snapToGrid/>
              <w:spacing w:line="390" w:lineRule="atLeast"/>
              <w:jc w:val="center"/>
              <w:textAlignment w:val="auto"/>
              <w:rPr>
                <w:rFonts w:hint="eastAsia"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rPr>
              <w:t>综合情况</w:t>
            </w:r>
          </w:p>
        </w:tc>
        <w:tc>
          <w:tcPr>
            <w:tcW w:w="795" w:type="dxa"/>
            <w:noWrap w:val="0"/>
            <w:vAlign w:val="center"/>
          </w:tcPr>
          <w:p>
            <w:pPr>
              <w:keepNext w:val="0"/>
              <w:keepLines w:val="0"/>
              <w:pageBreakBefore w:val="0"/>
              <w:widowControl w:val="0"/>
              <w:kinsoku/>
              <w:wordWrap/>
              <w:overflowPunct/>
              <w:topLinePunct w:val="0"/>
              <w:autoSpaceDE/>
              <w:autoSpaceDN/>
              <w:bidi w:val="0"/>
              <w:adjustRightInd/>
              <w:snapToGrid/>
              <w:spacing w:line="390" w:lineRule="atLeast"/>
              <w:jc w:val="center"/>
              <w:textAlignment w:val="auto"/>
              <w:rPr>
                <w:rFonts w:hint="default" w:ascii="Times New Roman" w:hAnsi="Times New Roman" w:cs="Times New Roman"/>
                <w:color w:val="auto"/>
                <w:sz w:val="21"/>
                <w:szCs w:val="21"/>
                <w:highlight w:val="none"/>
                <w:lang w:val="en-US" w:eastAsia="zh-CN"/>
              </w:rPr>
            </w:pPr>
            <w:r>
              <w:rPr>
                <w:rFonts w:hint="eastAsia" w:cs="Times New Roman"/>
                <w:color w:val="auto"/>
                <w:sz w:val="21"/>
                <w:szCs w:val="21"/>
                <w:highlight w:val="none"/>
                <w:lang w:val="en-US" w:eastAsia="zh-CN"/>
              </w:rPr>
              <w:t>9</w:t>
            </w:r>
          </w:p>
        </w:tc>
        <w:tc>
          <w:tcPr>
            <w:tcW w:w="6876" w:type="dxa"/>
            <w:noWrap w:val="0"/>
            <w:vAlign w:val="top"/>
          </w:tcPr>
          <w:p>
            <w:pPr>
              <w:keepNext w:val="0"/>
              <w:keepLines w:val="0"/>
              <w:pageBreakBefore w:val="0"/>
              <w:widowControl w:val="0"/>
              <w:kinsoku/>
              <w:wordWrap/>
              <w:overflowPunct/>
              <w:topLinePunct w:val="0"/>
              <w:autoSpaceDE/>
              <w:autoSpaceDN/>
              <w:bidi w:val="0"/>
              <w:adjustRightInd/>
              <w:snapToGrid/>
              <w:spacing w:line="390" w:lineRule="atLeast"/>
              <w:ind w:firstLine="420" w:firstLineChars="200"/>
              <w:textAlignment w:val="auto"/>
              <w:rPr>
                <w:rFonts w:hint="eastAsia"/>
                <w:color w:val="auto"/>
                <w:sz w:val="21"/>
                <w:szCs w:val="21"/>
                <w:highlight w:val="none"/>
              </w:rPr>
            </w:pPr>
            <w:r>
              <w:rPr>
                <w:rFonts w:hint="eastAsia"/>
                <w:color w:val="auto"/>
                <w:sz w:val="21"/>
                <w:szCs w:val="21"/>
                <w:highlight w:val="none"/>
                <w:lang w:val="en-US" w:eastAsia="zh-CN"/>
              </w:rPr>
              <w:t>①</w:t>
            </w:r>
            <w:r>
              <w:rPr>
                <w:rFonts w:hint="eastAsia"/>
                <w:color w:val="auto"/>
                <w:sz w:val="21"/>
                <w:szCs w:val="21"/>
                <w:highlight w:val="none"/>
              </w:rPr>
              <w:t>业绩（</w:t>
            </w:r>
            <w:r>
              <w:rPr>
                <w:rFonts w:hint="eastAsia"/>
                <w:color w:val="auto"/>
                <w:sz w:val="21"/>
                <w:szCs w:val="21"/>
                <w:highlight w:val="none"/>
                <w:lang w:val="en-US" w:eastAsia="zh-CN"/>
              </w:rPr>
              <w:t>2</w:t>
            </w:r>
            <w:r>
              <w:rPr>
                <w:rFonts w:hint="eastAsia"/>
                <w:color w:val="auto"/>
                <w:sz w:val="21"/>
                <w:szCs w:val="21"/>
                <w:highlight w:val="none"/>
              </w:rPr>
              <w:t>分）：响应人提供近三年来（从响应文件递交截止之日往前推算）完成的类似项目业绩，每有一份合同得1分，最高得</w:t>
            </w:r>
            <w:r>
              <w:rPr>
                <w:rFonts w:hint="eastAsia"/>
                <w:color w:val="auto"/>
                <w:sz w:val="21"/>
                <w:szCs w:val="21"/>
                <w:highlight w:val="none"/>
                <w:lang w:val="en-US" w:eastAsia="zh-CN"/>
              </w:rPr>
              <w:t>2</w:t>
            </w:r>
            <w:r>
              <w:rPr>
                <w:rFonts w:hint="eastAsia"/>
                <w:color w:val="auto"/>
                <w:sz w:val="21"/>
                <w:szCs w:val="21"/>
                <w:highlight w:val="none"/>
              </w:rPr>
              <w:t>分；</w:t>
            </w:r>
          </w:p>
          <w:p>
            <w:pPr>
              <w:keepNext w:val="0"/>
              <w:keepLines w:val="0"/>
              <w:pageBreakBefore w:val="0"/>
              <w:widowControl w:val="0"/>
              <w:kinsoku/>
              <w:wordWrap/>
              <w:overflowPunct/>
              <w:topLinePunct w:val="0"/>
              <w:autoSpaceDE/>
              <w:autoSpaceDN/>
              <w:bidi w:val="0"/>
              <w:adjustRightInd/>
              <w:snapToGrid/>
              <w:spacing w:line="390" w:lineRule="atLeast"/>
              <w:ind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②响应人</w:t>
            </w:r>
            <w:r>
              <w:rPr>
                <w:rFonts w:hint="eastAsia"/>
                <w:color w:val="auto"/>
                <w:sz w:val="21"/>
                <w:szCs w:val="21"/>
                <w:highlight w:val="none"/>
              </w:rPr>
              <w:t>或其产品制造商具有有效期内的绿色产品认证证书</w:t>
            </w:r>
            <w:r>
              <w:rPr>
                <w:rFonts w:hint="eastAsia"/>
                <w:color w:val="auto"/>
                <w:sz w:val="21"/>
                <w:szCs w:val="21"/>
                <w:highlight w:val="none"/>
                <w:lang w:val="en-US" w:eastAsia="en-US"/>
              </w:rPr>
              <w:t>（认证产品</w:t>
            </w:r>
            <w:r>
              <w:rPr>
                <w:rFonts w:hint="eastAsia"/>
                <w:color w:val="auto"/>
                <w:sz w:val="21"/>
                <w:szCs w:val="21"/>
                <w:highlight w:val="none"/>
                <w:lang w:val="en-US" w:eastAsia="zh-CN"/>
              </w:rPr>
              <w:t>单元须</w:t>
            </w:r>
            <w:r>
              <w:rPr>
                <w:rFonts w:hint="eastAsia"/>
                <w:color w:val="auto"/>
                <w:sz w:val="21"/>
                <w:szCs w:val="21"/>
                <w:highlight w:val="none"/>
                <w:lang w:val="en-US" w:eastAsia="en-US"/>
              </w:rPr>
              <w:t>包</w:t>
            </w:r>
            <w:r>
              <w:rPr>
                <w:rFonts w:hint="eastAsia"/>
                <w:color w:val="auto"/>
                <w:sz w:val="21"/>
                <w:szCs w:val="21"/>
                <w:highlight w:val="none"/>
                <w:lang w:val="en-US" w:eastAsia="zh-CN"/>
              </w:rPr>
              <w:t>含：人造板家具</w:t>
            </w:r>
            <w:r>
              <w:rPr>
                <w:rFonts w:hint="eastAsia"/>
                <w:color w:val="auto"/>
                <w:sz w:val="21"/>
                <w:szCs w:val="21"/>
                <w:highlight w:val="none"/>
                <w:lang w:val="en-US" w:eastAsia="en-US"/>
              </w:rPr>
              <w:t>、</w:t>
            </w:r>
            <w:r>
              <w:rPr>
                <w:rFonts w:hint="eastAsia"/>
                <w:color w:val="auto"/>
                <w:sz w:val="21"/>
                <w:szCs w:val="21"/>
                <w:highlight w:val="none"/>
                <w:lang w:val="en-US" w:eastAsia="zh-CN"/>
              </w:rPr>
              <w:t>实木</w:t>
            </w:r>
            <w:r>
              <w:rPr>
                <w:rFonts w:hint="eastAsia"/>
                <w:color w:val="auto"/>
                <w:sz w:val="21"/>
                <w:szCs w:val="21"/>
                <w:highlight w:val="none"/>
                <w:lang w:val="en-US" w:eastAsia="en-US"/>
              </w:rPr>
              <w:t>家具、</w:t>
            </w:r>
            <w:r>
              <w:rPr>
                <w:rFonts w:hint="eastAsia"/>
                <w:color w:val="auto"/>
                <w:sz w:val="21"/>
                <w:szCs w:val="21"/>
                <w:highlight w:val="none"/>
                <w:lang w:val="en-US" w:eastAsia="zh-CN"/>
              </w:rPr>
              <w:t>板木家具、</w:t>
            </w:r>
            <w:r>
              <w:rPr>
                <w:rFonts w:hint="eastAsia"/>
                <w:color w:val="auto"/>
                <w:sz w:val="21"/>
                <w:szCs w:val="21"/>
                <w:highlight w:val="none"/>
                <w:lang w:val="en-US" w:eastAsia="en-US"/>
              </w:rPr>
              <w:t>金属家具、软体家具）</w:t>
            </w:r>
            <w:r>
              <w:rPr>
                <w:rFonts w:hint="eastAsia"/>
                <w:color w:val="auto"/>
                <w:sz w:val="21"/>
                <w:szCs w:val="21"/>
                <w:highlight w:val="none"/>
                <w:lang w:val="en-US" w:eastAsia="zh-CN"/>
              </w:rPr>
              <w:t>全部提供</w:t>
            </w:r>
            <w:r>
              <w:rPr>
                <w:rFonts w:hint="eastAsia"/>
                <w:color w:val="auto"/>
                <w:sz w:val="21"/>
                <w:szCs w:val="21"/>
                <w:highlight w:val="none"/>
              </w:rPr>
              <w:t>得</w:t>
            </w:r>
            <w:r>
              <w:rPr>
                <w:rFonts w:hint="eastAsia"/>
                <w:color w:val="auto"/>
                <w:sz w:val="21"/>
                <w:szCs w:val="21"/>
                <w:highlight w:val="none"/>
                <w:lang w:val="en-US" w:eastAsia="zh-CN"/>
              </w:rPr>
              <w:t>1</w:t>
            </w:r>
            <w:r>
              <w:rPr>
                <w:rFonts w:hint="eastAsia"/>
                <w:color w:val="auto"/>
                <w:sz w:val="21"/>
                <w:szCs w:val="21"/>
                <w:highlight w:val="none"/>
              </w:rPr>
              <w:t>分</w:t>
            </w:r>
            <w:r>
              <w:rPr>
                <w:rFonts w:hint="eastAsia"/>
                <w:color w:val="auto"/>
                <w:sz w:val="21"/>
                <w:szCs w:val="21"/>
                <w:highlight w:val="none"/>
                <w:lang w:eastAsia="zh-CN"/>
              </w:rPr>
              <w:t>，</w:t>
            </w:r>
            <w:r>
              <w:rPr>
                <w:rFonts w:hint="eastAsia"/>
                <w:color w:val="auto"/>
                <w:sz w:val="21"/>
                <w:szCs w:val="21"/>
                <w:highlight w:val="none"/>
                <w:lang w:val="en-US" w:eastAsia="zh-CN"/>
              </w:rPr>
              <w:t>少一项认证单元扣0.5分</w:t>
            </w:r>
            <w:r>
              <w:rPr>
                <w:rFonts w:hint="eastAsia"/>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90" w:lineRule="atLeast"/>
              <w:ind w:firstLine="420" w:firstLineChars="200"/>
              <w:textAlignment w:val="auto"/>
              <w:rPr>
                <w:rFonts w:hint="eastAsia"/>
                <w:color w:val="auto"/>
                <w:sz w:val="21"/>
                <w:szCs w:val="21"/>
                <w:highlight w:val="none"/>
              </w:rPr>
            </w:pPr>
            <w:r>
              <w:rPr>
                <w:rFonts w:hint="eastAsia"/>
                <w:color w:val="auto"/>
                <w:sz w:val="21"/>
                <w:szCs w:val="21"/>
                <w:highlight w:val="none"/>
                <w:lang w:eastAsia="zh-CN"/>
              </w:rPr>
              <w:t>③响应人</w:t>
            </w:r>
            <w:r>
              <w:rPr>
                <w:rFonts w:hint="eastAsia"/>
                <w:color w:val="auto"/>
                <w:sz w:val="21"/>
                <w:szCs w:val="21"/>
                <w:highlight w:val="none"/>
              </w:rPr>
              <w:t>或其产品制造商具有中国环境标志产品认证证书（认证单元包含：实木类家具、人造板类家具、钢木家具</w:t>
            </w:r>
            <w:r>
              <w:rPr>
                <w:rFonts w:hint="eastAsia"/>
                <w:color w:val="auto"/>
                <w:sz w:val="21"/>
                <w:szCs w:val="21"/>
                <w:highlight w:val="none"/>
                <w:lang w:eastAsia="zh-CN"/>
              </w:rPr>
              <w:t>、软体家具、综合类木家具、金属家具、</w:t>
            </w:r>
            <w:r>
              <w:rPr>
                <w:rFonts w:hint="eastAsia"/>
                <w:color w:val="auto"/>
                <w:sz w:val="21"/>
                <w:szCs w:val="21"/>
                <w:highlight w:val="none"/>
                <w:lang w:val="en-US" w:eastAsia="zh-CN"/>
              </w:rPr>
              <w:t>塑料家具</w:t>
            </w:r>
            <w:r>
              <w:rPr>
                <w:rFonts w:hint="eastAsia"/>
                <w:color w:val="auto"/>
                <w:sz w:val="21"/>
                <w:szCs w:val="21"/>
                <w:highlight w:val="none"/>
              </w:rPr>
              <w:t>）</w:t>
            </w:r>
            <w:r>
              <w:rPr>
                <w:rFonts w:hint="eastAsia"/>
                <w:color w:val="auto"/>
                <w:sz w:val="21"/>
                <w:szCs w:val="21"/>
                <w:highlight w:val="none"/>
                <w:lang w:val="en-US" w:eastAsia="zh-CN"/>
              </w:rPr>
              <w:t>全部提供</w:t>
            </w:r>
            <w:r>
              <w:rPr>
                <w:rFonts w:hint="eastAsia"/>
                <w:color w:val="auto"/>
                <w:sz w:val="21"/>
                <w:szCs w:val="21"/>
                <w:highlight w:val="none"/>
              </w:rPr>
              <w:t>得</w:t>
            </w:r>
            <w:r>
              <w:rPr>
                <w:rFonts w:hint="eastAsia"/>
                <w:color w:val="auto"/>
                <w:sz w:val="21"/>
                <w:szCs w:val="21"/>
                <w:highlight w:val="none"/>
                <w:lang w:val="en-US" w:eastAsia="zh-CN"/>
              </w:rPr>
              <w:t>1</w:t>
            </w:r>
            <w:r>
              <w:rPr>
                <w:rFonts w:hint="eastAsia"/>
                <w:color w:val="auto"/>
                <w:sz w:val="21"/>
                <w:szCs w:val="21"/>
                <w:highlight w:val="none"/>
              </w:rPr>
              <w:t>分</w:t>
            </w:r>
            <w:r>
              <w:rPr>
                <w:rFonts w:hint="eastAsia"/>
                <w:color w:val="auto"/>
                <w:sz w:val="21"/>
                <w:szCs w:val="21"/>
                <w:highlight w:val="none"/>
                <w:lang w:eastAsia="zh-CN"/>
              </w:rPr>
              <w:t>，</w:t>
            </w:r>
            <w:r>
              <w:rPr>
                <w:rFonts w:hint="eastAsia"/>
                <w:color w:val="auto"/>
                <w:sz w:val="21"/>
                <w:szCs w:val="21"/>
                <w:highlight w:val="none"/>
                <w:lang w:val="en-US" w:eastAsia="zh-CN"/>
              </w:rPr>
              <w:t>少一项认证单元扣0.5分</w:t>
            </w:r>
            <w:r>
              <w:rPr>
                <w:rFonts w:hint="eastAsia"/>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90" w:lineRule="atLeast"/>
              <w:ind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④响应人</w:t>
            </w:r>
            <w:r>
              <w:rPr>
                <w:rFonts w:hint="eastAsia"/>
                <w:color w:val="auto"/>
                <w:sz w:val="21"/>
                <w:szCs w:val="21"/>
                <w:highlight w:val="none"/>
              </w:rPr>
              <w:t>或其产品制造商具有中国环保产品认证证书（认证单元包含：木制</w:t>
            </w:r>
            <w:r>
              <w:rPr>
                <w:rFonts w:hint="eastAsia"/>
                <w:color w:val="auto"/>
                <w:sz w:val="21"/>
                <w:szCs w:val="21"/>
                <w:highlight w:val="none"/>
                <w:lang w:val="en-US" w:eastAsia="zh-CN"/>
              </w:rPr>
              <w:t>教学</w:t>
            </w:r>
            <w:r>
              <w:rPr>
                <w:rFonts w:hint="eastAsia"/>
                <w:color w:val="auto"/>
                <w:sz w:val="21"/>
                <w:szCs w:val="21"/>
                <w:highlight w:val="none"/>
              </w:rPr>
              <w:t>家具、木制办公家具、</w:t>
            </w:r>
            <w:r>
              <w:rPr>
                <w:rFonts w:hint="eastAsia"/>
                <w:color w:val="auto"/>
                <w:sz w:val="21"/>
                <w:szCs w:val="21"/>
                <w:highlight w:val="none"/>
                <w:lang w:eastAsia="zh-CN"/>
              </w:rPr>
              <w:t>木制家具、</w:t>
            </w:r>
            <w:r>
              <w:rPr>
                <w:rFonts w:hint="eastAsia"/>
                <w:color w:val="auto"/>
                <w:sz w:val="21"/>
                <w:szCs w:val="21"/>
                <w:highlight w:val="none"/>
              </w:rPr>
              <w:t>金属办公家具</w:t>
            </w:r>
            <w:r>
              <w:rPr>
                <w:rFonts w:hint="eastAsia"/>
                <w:color w:val="auto"/>
                <w:sz w:val="21"/>
                <w:szCs w:val="21"/>
                <w:highlight w:val="none"/>
                <w:lang w:eastAsia="zh-CN"/>
              </w:rPr>
              <w:t>、沙发</w:t>
            </w:r>
            <w:r>
              <w:rPr>
                <w:rFonts w:hint="eastAsia"/>
                <w:color w:val="auto"/>
                <w:sz w:val="21"/>
                <w:szCs w:val="21"/>
                <w:highlight w:val="none"/>
              </w:rPr>
              <w:t>）</w:t>
            </w:r>
            <w:r>
              <w:rPr>
                <w:rFonts w:hint="eastAsia"/>
                <w:color w:val="auto"/>
                <w:sz w:val="21"/>
                <w:szCs w:val="21"/>
                <w:highlight w:val="none"/>
                <w:lang w:val="en-US" w:eastAsia="zh-CN"/>
              </w:rPr>
              <w:t>全部提供</w:t>
            </w:r>
            <w:r>
              <w:rPr>
                <w:rFonts w:hint="eastAsia"/>
                <w:color w:val="auto"/>
                <w:sz w:val="21"/>
                <w:szCs w:val="21"/>
                <w:highlight w:val="none"/>
              </w:rPr>
              <w:t>得</w:t>
            </w:r>
            <w:r>
              <w:rPr>
                <w:rFonts w:hint="eastAsia"/>
                <w:color w:val="auto"/>
                <w:sz w:val="21"/>
                <w:szCs w:val="21"/>
                <w:highlight w:val="none"/>
                <w:lang w:val="en-US" w:eastAsia="zh-CN"/>
              </w:rPr>
              <w:t>1</w:t>
            </w:r>
            <w:r>
              <w:rPr>
                <w:rFonts w:hint="eastAsia"/>
                <w:color w:val="auto"/>
                <w:sz w:val="21"/>
                <w:szCs w:val="21"/>
                <w:highlight w:val="none"/>
              </w:rPr>
              <w:t>分</w:t>
            </w:r>
            <w:r>
              <w:rPr>
                <w:rFonts w:hint="eastAsia"/>
                <w:color w:val="auto"/>
                <w:sz w:val="21"/>
                <w:szCs w:val="21"/>
                <w:highlight w:val="none"/>
                <w:lang w:eastAsia="zh-CN"/>
              </w:rPr>
              <w:t>，</w:t>
            </w:r>
            <w:r>
              <w:rPr>
                <w:rFonts w:hint="eastAsia"/>
                <w:color w:val="auto"/>
                <w:sz w:val="21"/>
                <w:szCs w:val="21"/>
                <w:highlight w:val="none"/>
                <w:lang w:val="en-US" w:eastAsia="zh-CN"/>
              </w:rPr>
              <w:t>少一项认证单元扣0.5分</w:t>
            </w:r>
            <w:r>
              <w:rPr>
                <w:rFonts w:hint="eastAsia"/>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90" w:lineRule="atLeast"/>
              <w:ind w:firstLine="420" w:firstLineChars="200"/>
              <w:textAlignment w:val="auto"/>
              <w:rPr>
                <w:rFonts w:hint="eastAsia"/>
                <w:color w:val="auto"/>
                <w:sz w:val="21"/>
                <w:szCs w:val="21"/>
                <w:highlight w:val="none"/>
                <w:lang w:val="en-US" w:eastAsia="zh-CN"/>
              </w:rPr>
            </w:pPr>
            <w:r>
              <w:rPr>
                <w:rFonts w:hint="eastAsia"/>
                <w:color w:val="auto"/>
                <w:sz w:val="21"/>
                <w:szCs w:val="21"/>
                <w:highlight w:val="none"/>
                <w:lang w:eastAsia="zh-CN"/>
              </w:rPr>
              <w:t>⑤响应人</w:t>
            </w:r>
            <w:r>
              <w:rPr>
                <w:rFonts w:hint="eastAsia"/>
                <w:color w:val="auto"/>
                <w:sz w:val="21"/>
                <w:szCs w:val="21"/>
                <w:highlight w:val="none"/>
              </w:rPr>
              <w:t>或其产品制造商</w:t>
            </w:r>
            <w:r>
              <w:rPr>
                <w:rFonts w:hint="eastAsia"/>
                <w:color w:val="auto"/>
                <w:sz w:val="21"/>
                <w:szCs w:val="21"/>
                <w:highlight w:val="none"/>
                <w:lang w:eastAsia="zh-CN"/>
              </w:rPr>
              <w:t>提供本次采购中主要家具具备</w:t>
            </w:r>
            <w:r>
              <w:rPr>
                <w:rFonts w:hint="eastAsia"/>
                <w:color w:val="auto"/>
                <w:sz w:val="21"/>
                <w:szCs w:val="21"/>
                <w:highlight w:val="none"/>
              </w:rPr>
              <w:t>有害物质限量认证证书，产品</w:t>
            </w:r>
            <w:r>
              <w:rPr>
                <w:rFonts w:hint="eastAsia"/>
                <w:color w:val="auto"/>
                <w:sz w:val="21"/>
                <w:szCs w:val="21"/>
                <w:highlight w:val="none"/>
                <w:lang w:eastAsia="zh-CN"/>
              </w:rPr>
              <w:t>认证单元</w:t>
            </w:r>
            <w:r>
              <w:rPr>
                <w:rFonts w:hint="eastAsia"/>
                <w:color w:val="auto"/>
                <w:sz w:val="21"/>
                <w:szCs w:val="21"/>
                <w:highlight w:val="none"/>
              </w:rPr>
              <w:t>包含</w:t>
            </w:r>
            <w:r>
              <w:rPr>
                <w:rFonts w:hint="eastAsia"/>
                <w:color w:val="auto"/>
                <w:sz w:val="21"/>
                <w:szCs w:val="21"/>
                <w:highlight w:val="none"/>
                <w:lang w:val="en-US" w:eastAsia="zh-CN"/>
              </w:rPr>
              <w:t>：木质家具、金属家具、软体家具，全部提供</w:t>
            </w:r>
            <w:r>
              <w:rPr>
                <w:rFonts w:hint="eastAsia"/>
                <w:color w:val="auto"/>
                <w:sz w:val="21"/>
                <w:szCs w:val="21"/>
                <w:highlight w:val="none"/>
              </w:rPr>
              <w:t>得</w:t>
            </w:r>
            <w:r>
              <w:rPr>
                <w:rFonts w:hint="eastAsia"/>
                <w:color w:val="auto"/>
                <w:sz w:val="21"/>
                <w:szCs w:val="21"/>
                <w:highlight w:val="none"/>
                <w:lang w:val="en-US" w:eastAsia="zh-CN"/>
              </w:rPr>
              <w:t>1</w:t>
            </w:r>
            <w:r>
              <w:rPr>
                <w:rFonts w:hint="eastAsia"/>
                <w:color w:val="auto"/>
                <w:sz w:val="21"/>
                <w:szCs w:val="21"/>
                <w:highlight w:val="none"/>
              </w:rPr>
              <w:t>分</w:t>
            </w:r>
            <w:r>
              <w:rPr>
                <w:rFonts w:hint="eastAsia"/>
                <w:color w:val="auto"/>
                <w:sz w:val="21"/>
                <w:szCs w:val="21"/>
                <w:highlight w:val="none"/>
                <w:lang w:eastAsia="zh-CN"/>
              </w:rPr>
              <w:t>，</w:t>
            </w:r>
            <w:r>
              <w:rPr>
                <w:rFonts w:hint="eastAsia"/>
                <w:color w:val="auto"/>
                <w:sz w:val="21"/>
                <w:szCs w:val="21"/>
                <w:highlight w:val="none"/>
                <w:lang w:val="en-US" w:eastAsia="zh-CN"/>
              </w:rPr>
              <w:t>少一项扣0.5分</w:t>
            </w:r>
            <w:r>
              <w:rPr>
                <w:rFonts w:hint="eastAsia"/>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90" w:lineRule="atLeast"/>
              <w:ind w:firstLine="420" w:firstLineChars="200"/>
              <w:textAlignment w:val="auto"/>
              <w:rPr>
                <w:rFonts w:hint="default"/>
                <w:color w:val="auto"/>
                <w:sz w:val="21"/>
                <w:szCs w:val="21"/>
                <w:highlight w:val="none"/>
                <w:lang w:val="en-US"/>
              </w:rPr>
            </w:pPr>
            <w:r>
              <w:rPr>
                <w:rFonts w:hint="eastAsia"/>
                <w:color w:val="auto"/>
                <w:sz w:val="21"/>
                <w:szCs w:val="21"/>
                <w:highlight w:val="none"/>
                <w:lang w:val="en-US" w:eastAsia="zh-CN"/>
              </w:rPr>
              <w:t>⑥响应人或其产品制造商提供本次采购中主要家具具备中国合格评定国家认可委员CNAS标志人类功效学认证证书的，得1分。</w:t>
            </w:r>
          </w:p>
          <w:p>
            <w:pPr>
              <w:pStyle w:val="2"/>
              <w:keepNext w:val="0"/>
              <w:keepLines w:val="0"/>
              <w:pageBreakBefore w:val="0"/>
              <w:widowControl w:val="0"/>
              <w:kinsoku/>
              <w:wordWrap/>
              <w:overflowPunct/>
              <w:topLinePunct w:val="0"/>
              <w:autoSpaceDE/>
              <w:autoSpaceDN/>
              <w:bidi w:val="0"/>
              <w:adjustRightInd/>
              <w:spacing w:line="390" w:lineRule="atLeast"/>
              <w:ind w:firstLine="420" w:firstLineChars="200"/>
              <w:textAlignment w:val="auto"/>
              <w:rPr>
                <w:rFonts w:hint="eastAsia"/>
                <w:color w:val="auto"/>
                <w:sz w:val="21"/>
                <w:szCs w:val="21"/>
                <w:highlight w:val="none"/>
              </w:rPr>
            </w:pPr>
            <w:r>
              <w:rPr>
                <w:rFonts w:hint="eastAsia"/>
                <w:color w:val="auto"/>
                <w:sz w:val="21"/>
                <w:szCs w:val="21"/>
                <w:highlight w:val="none"/>
              </w:rPr>
              <w:t>⑦投标产品有家具产品具备经市场监督管理局备案的企业标准，通过执行标准包含《木家具通用技术条件》及《金属家具通用技术条件》，有一份得1分，最高得2分；</w:t>
            </w:r>
          </w:p>
          <w:p>
            <w:pPr>
              <w:pStyle w:val="2"/>
              <w:keepNext w:val="0"/>
              <w:keepLines w:val="0"/>
              <w:pageBreakBefore w:val="0"/>
              <w:widowControl w:val="0"/>
              <w:kinsoku/>
              <w:wordWrap/>
              <w:overflowPunct/>
              <w:topLinePunct w:val="0"/>
              <w:autoSpaceDE/>
              <w:autoSpaceDN/>
              <w:bidi w:val="0"/>
              <w:adjustRightInd/>
              <w:spacing w:line="390" w:lineRule="atLeast"/>
              <w:ind w:firstLine="422" w:firstLineChars="200"/>
              <w:textAlignment w:val="auto"/>
              <w:rPr>
                <w:rFonts w:hint="eastAsia"/>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备注：以上①-⑦须提供有效期内的</w:t>
            </w:r>
            <w:r>
              <w:rPr>
                <w:rFonts w:hint="eastAsia" w:ascii="宋体" w:hAnsi="宋体" w:eastAsia="宋体" w:cs="宋体"/>
                <w:b/>
                <w:bCs/>
                <w:color w:val="auto"/>
                <w:sz w:val="21"/>
                <w:szCs w:val="21"/>
                <w:highlight w:val="none"/>
              </w:rPr>
              <w:t>证书复印件，且</w:t>
            </w:r>
            <w:r>
              <w:rPr>
                <w:rFonts w:hint="eastAsia" w:ascii="宋体" w:hAnsi="宋体" w:eastAsia="宋体" w:cs="宋体"/>
                <w:b/>
                <w:bCs/>
                <w:color w:val="auto"/>
                <w:sz w:val="21"/>
                <w:szCs w:val="21"/>
                <w:highlight w:val="none"/>
                <w:lang w:eastAsia="zh-CN"/>
              </w:rPr>
              <w:t>磋商时</w:t>
            </w:r>
            <w:r>
              <w:rPr>
                <w:rFonts w:hint="eastAsia" w:ascii="宋体" w:hAnsi="宋体" w:eastAsia="宋体" w:cs="宋体"/>
                <w:b/>
                <w:bCs/>
                <w:color w:val="auto"/>
                <w:sz w:val="21"/>
                <w:szCs w:val="21"/>
                <w:highlight w:val="none"/>
              </w:rPr>
              <w:t>须提交相应证书原件，否则不得分。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92" w:type="dxa"/>
            <w:noWrap w:val="0"/>
            <w:vAlign w:val="center"/>
          </w:tcPr>
          <w:p>
            <w:pPr>
              <w:keepNext w:val="0"/>
              <w:keepLines w:val="0"/>
              <w:pageBreakBefore w:val="0"/>
              <w:widowControl w:val="0"/>
              <w:numPr>
                <w:ilvl w:val="0"/>
                <w:numId w:val="0"/>
              </w:numPr>
              <w:tabs>
                <w:tab w:val="left" w:pos="945"/>
                <w:tab w:val="left" w:pos="1155"/>
              </w:tabs>
              <w:kinsoku/>
              <w:wordWrap/>
              <w:overflowPunct/>
              <w:topLinePunct w:val="0"/>
              <w:autoSpaceDE/>
              <w:autoSpaceDN/>
              <w:bidi w:val="0"/>
              <w:adjustRightInd/>
              <w:snapToGrid/>
              <w:spacing w:line="390" w:lineRule="atLeast"/>
              <w:jc w:val="center"/>
              <w:textAlignment w:val="auto"/>
              <w:rPr>
                <w:rFonts w:hint="default" w:ascii="Times New Roman" w:hAnsi="Times New Roman" w:cs="Times New Roman"/>
                <w:color w:val="auto"/>
                <w:sz w:val="21"/>
                <w:szCs w:val="21"/>
                <w:highlight w:val="none"/>
                <w:lang w:val="en-US" w:eastAsia="zh-CN"/>
              </w:rPr>
            </w:pPr>
            <w:r>
              <w:rPr>
                <w:rFonts w:hint="eastAsia" w:cs="Times New Roman"/>
                <w:color w:val="auto"/>
                <w:sz w:val="21"/>
                <w:szCs w:val="21"/>
                <w:highlight w:val="none"/>
                <w:lang w:val="en-US" w:eastAsia="zh-CN"/>
              </w:rPr>
              <w:t>4</w:t>
            </w:r>
          </w:p>
        </w:tc>
        <w:tc>
          <w:tcPr>
            <w:tcW w:w="999" w:type="dxa"/>
            <w:noWrap w:val="0"/>
            <w:vAlign w:val="center"/>
          </w:tcPr>
          <w:p>
            <w:pPr>
              <w:keepNext w:val="0"/>
              <w:keepLines w:val="0"/>
              <w:pageBreakBefore w:val="0"/>
              <w:widowControl w:val="0"/>
              <w:numPr>
                <w:ilvl w:val="0"/>
                <w:numId w:val="0"/>
              </w:numPr>
              <w:tabs>
                <w:tab w:val="left" w:pos="945"/>
                <w:tab w:val="left" w:pos="1155"/>
              </w:tabs>
              <w:kinsoku/>
              <w:wordWrap/>
              <w:overflowPunct/>
              <w:topLinePunct w:val="0"/>
              <w:autoSpaceDE/>
              <w:autoSpaceDN/>
              <w:bidi w:val="0"/>
              <w:adjustRightInd/>
              <w:snapToGrid/>
              <w:spacing w:line="390" w:lineRule="atLeast"/>
              <w:jc w:val="center"/>
              <w:textAlignment w:val="auto"/>
              <w:rPr>
                <w:rFonts w:hint="eastAsia"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rPr>
              <w:t>环境布置</w:t>
            </w:r>
          </w:p>
        </w:tc>
        <w:tc>
          <w:tcPr>
            <w:tcW w:w="795" w:type="dxa"/>
            <w:noWrap w:val="0"/>
            <w:vAlign w:val="center"/>
          </w:tcPr>
          <w:p>
            <w:pPr>
              <w:keepNext w:val="0"/>
              <w:keepLines w:val="0"/>
              <w:pageBreakBefore w:val="0"/>
              <w:widowControl w:val="0"/>
              <w:numPr>
                <w:ilvl w:val="0"/>
                <w:numId w:val="0"/>
              </w:numPr>
              <w:tabs>
                <w:tab w:val="left" w:pos="945"/>
                <w:tab w:val="left" w:pos="1155"/>
              </w:tabs>
              <w:kinsoku/>
              <w:wordWrap/>
              <w:overflowPunct/>
              <w:topLinePunct w:val="0"/>
              <w:autoSpaceDE/>
              <w:autoSpaceDN/>
              <w:bidi w:val="0"/>
              <w:adjustRightInd/>
              <w:snapToGrid/>
              <w:spacing w:line="390" w:lineRule="atLeast"/>
              <w:jc w:val="center"/>
              <w:textAlignment w:val="auto"/>
              <w:rPr>
                <w:rFonts w:hint="default" w:ascii="Times New Roman" w:hAnsi="Times New Roman" w:cs="Times New Roman"/>
                <w:color w:val="auto"/>
                <w:sz w:val="21"/>
                <w:szCs w:val="21"/>
                <w:highlight w:val="none"/>
                <w:lang w:val="en-US" w:eastAsia="zh-CN"/>
              </w:rPr>
            </w:pPr>
            <w:r>
              <w:rPr>
                <w:rFonts w:hint="eastAsia" w:cs="Times New Roman"/>
                <w:color w:val="auto"/>
                <w:sz w:val="21"/>
                <w:szCs w:val="21"/>
                <w:highlight w:val="none"/>
                <w:lang w:val="en-US" w:eastAsia="zh-CN"/>
              </w:rPr>
              <w:t>7</w:t>
            </w:r>
          </w:p>
        </w:tc>
        <w:tc>
          <w:tcPr>
            <w:tcW w:w="6876" w:type="dxa"/>
            <w:noWrap w:val="0"/>
            <w:vAlign w:val="top"/>
          </w:tcPr>
          <w:p>
            <w:pPr>
              <w:keepNext w:val="0"/>
              <w:keepLines w:val="0"/>
              <w:pageBreakBefore w:val="0"/>
              <w:widowControl w:val="0"/>
              <w:numPr>
                <w:ilvl w:val="0"/>
                <w:numId w:val="0"/>
              </w:numPr>
              <w:tabs>
                <w:tab w:val="left" w:pos="945"/>
                <w:tab w:val="left" w:pos="1155"/>
              </w:tabs>
              <w:kinsoku/>
              <w:wordWrap/>
              <w:overflowPunct/>
              <w:topLinePunct w:val="0"/>
              <w:autoSpaceDE/>
              <w:autoSpaceDN/>
              <w:bidi w:val="0"/>
              <w:adjustRightInd/>
              <w:snapToGrid/>
              <w:spacing w:line="390" w:lineRule="atLeast"/>
              <w:ind w:firstLine="420" w:firstLineChars="200"/>
              <w:textAlignment w:val="auto"/>
              <w:rPr>
                <w:rFonts w:hint="eastAsia" w:cs="Times New Roman"/>
                <w:color w:val="auto"/>
                <w:sz w:val="21"/>
                <w:szCs w:val="21"/>
                <w:highlight w:val="none"/>
                <w:lang w:eastAsia="zh-CN"/>
              </w:rPr>
            </w:pPr>
            <w:r>
              <w:rPr>
                <w:rFonts w:hint="eastAsia" w:ascii="Times New Roman" w:hAnsi="Times New Roman" w:cs="Times New Roman"/>
                <w:color w:val="auto"/>
                <w:sz w:val="21"/>
                <w:szCs w:val="21"/>
                <w:highlight w:val="none"/>
                <w:lang w:eastAsia="zh-CN"/>
              </w:rPr>
              <w:t>响应人</w:t>
            </w:r>
            <w:r>
              <w:rPr>
                <w:rFonts w:hint="eastAsia" w:ascii="Times New Roman" w:hAnsi="Times New Roman" w:cs="Times New Roman"/>
                <w:color w:val="auto"/>
                <w:sz w:val="21"/>
                <w:szCs w:val="21"/>
                <w:highlight w:val="none"/>
              </w:rPr>
              <w:t>针对本项目提供满足</w:t>
            </w:r>
            <w:r>
              <w:rPr>
                <w:rFonts w:hint="eastAsia" w:ascii="Times New Roman" w:hAnsi="Times New Roman" w:cs="Times New Roman"/>
                <w:color w:val="auto"/>
                <w:sz w:val="21"/>
                <w:szCs w:val="21"/>
                <w:highlight w:val="none"/>
                <w:lang w:eastAsia="zh-CN"/>
              </w:rPr>
              <w:t>采购文件</w:t>
            </w:r>
            <w:r>
              <w:rPr>
                <w:rFonts w:hint="eastAsia" w:ascii="Times New Roman" w:hAnsi="Times New Roman" w:cs="Times New Roman"/>
                <w:color w:val="auto"/>
                <w:sz w:val="21"/>
                <w:szCs w:val="21"/>
                <w:highlight w:val="none"/>
              </w:rPr>
              <w:t>要求的</w:t>
            </w:r>
            <w:r>
              <w:rPr>
                <w:rFonts w:hint="eastAsia" w:ascii="Times New Roman" w:hAnsi="Times New Roman" w:cs="Times New Roman"/>
                <w:color w:val="auto"/>
                <w:sz w:val="21"/>
                <w:szCs w:val="21"/>
                <w:highlight w:val="none"/>
                <w:lang w:eastAsia="zh-CN"/>
              </w:rPr>
              <w:t>大</w:t>
            </w:r>
            <w:r>
              <w:rPr>
                <w:rFonts w:hint="eastAsia" w:ascii="Times New Roman" w:hAnsi="Times New Roman" w:cs="Times New Roman"/>
                <w:color w:val="auto"/>
                <w:sz w:val="21"/>
                <w:szCs w:val="21"/>
                <w:highlight w:val="none"/>
              </w:rPr>
              <w:t>班</w:t>
            </w:r>
            <w:r>
              <w:rPr>
                <w:rFonts w:hint="eastAsia" w:ascii="Times New Roman" w:hAnsi="Times New Roman" w:cs="Times New Roman"/>
                <w:color w:val="auto"/>
                <w:sz w:val="21"/>
                <w:szCs w:val="21"/>
                <w:highlight w:val="none"/>
                <w:lang w:eastAsia="zh-CN"/>
              </w:rPr>
              <w:t>班级、</w:t>
            </w:r>
            <w:r>
              <w:rPr>
                <w:rFonts w:hint="eastAsia" w:ascii="Times New Roman" w:hAnsi="Times New Roman" w:cs="Times New Roman"/>
                <w:color w:val="auto"/>
                <w:sz w:val="21"/>
                <w:szCs w:val="21"/>
                <w:highlight w:val="none"/>
              </w:rPr>
              <w:t>美</w:t>
            </w:r>
            <w:r>
              <w:rPr>
                <w:rFonts w:hint="eastAsia" w:ascii="Times New Roman" w:hAnsi="Times New Roman" w:cs="Times New Roman"/>
                <w:color w:val="auto"/>
                <w:sz w:val="21"/>
                <w:szCs w:val="21"/>
                <w:highlight w:val="none"/>
                <w:lang w:val="en-US" w:eastAsia="zh-CN"/>
              </w:rPr>
              <w:t>工</w:t>
            </w:r>
            <w:r>
              <w:rPr>
                <w:rFonts w:hint="eastAsia" w:ascii="Times New Roman" w:hAnsi="Times New Roman" w:cs="Times New Roman"/>
                <w:color w:val="auto"/>
                <w:sz w:val="21"/>
                <w:szCs w:val="21"/>
                <w:highlight w:val="none"/>
              </w:rPr>
              <w:t>室、</w:t>
            </w:r>
            <w:r>
              <w:rPr>
                <w:rFonts w:hint="eastAsia" w:ascii="Times New Roman" w:hAnsi="Times New Roman" w:cs="Times New Roman"/>
                <w:color w:val="auto"/>
                <w:sz w:val="21"/>
                <w:szCs w:val="21"/>
                <w:highlight w:val="none"/>
                <w:lang w:eastAsia="zh-CN"/>
              </w:rPr>
              <w:t>儿童阅览室</w:t>
            </w:r>
            <w:r>
              <w:rPr>
                <w:rFonts w:hint="eastAsia" w:ascii="Times New Roman" w:hAnsi="Times New Roman" w:cs="Times New Roman"/>
                <w:color w:val="auto"/>
                <w:sz w:val="21"/>
                <w:szCs w:val="21"/>
                <w:highlight w:val="none"/>
                <w:lang w:val="en-US" w:eastAsia="zh-CN"/>
              </w:rPr>
              <w:t>的平面布置图与</w:t>
            </w:r>
            <w:r>
              <w:rPr>
                <w:rFonts w:hint="eastAsia" w:ascii="Times New Roman" w:hAnsi="Times New Roman" w:cs="Times New Roman"/>
                <w:color w:val="auto"/>
                <w:sz w:val="21"/>
                <w:szCs w:val="21"/>
                <w:highlight w:val="none"/>
              </w:rPr>
              <w:t>效果</w:t>
            </w:r>
            <w:r>
              <w:rPr>
                <w:rFonts w:hint="eastAsia" w:ascii="Times New Roman" w:hAnsi="Times New Roman" w:cs="Times New Roman"/>
                <w:color w:val="auto"/>
                <w:sz w:val="21"/>
                <w:szCs w:val="21"/>
                <w:highlight w:val="none"/>
                <w:lang w:eastAsia="zh-CN"/>
              </w:rPr>
              <w:t>图</w:t>
            </w:r>
            <w:r>
              <w:rPr>
                <w:rFonts w:hint="eastAsia" w:ascii="Times New Roman" w:hAnsi="Times New Roman" w:cs="Times New Roman"/>
                <w:color w:val="auto"/>
                <w:sz w:val="21"/>
                <w:szCs w:val="21"/>
                <w:highlight w:val="none"/>
              </w:rPr>
              <w:t>，根据所投产品与现场空间利用合理，布置符合幼儿心理特点和活动特点，从安全性、便利性以及色彩、空间布局与整体环境融合协调，适合幼儿的审美情趣</w:t>
            </w:r>
            <w:r>
              <w:rPr>
                <w:rFonts w:hint="eastAsia" w:ascii="Times New Roman" w:hAnsi="Times New Roman" w:cs="Times New Roman"/>
                <w:color w:val="auto"/>
                <w:sz w:val="21"/>
                <w:szCs w:val="21"/>
                <w:highlight w:val="none"/>
                <w:lang w:eastAsia="zh-CN"/>
              </w:rPr>
              <w:t>，数量符合</w:t>
            </w:r>
            <w:r>
              <w:rPr>
                <w:rFonts w:hint="eastAsia" w:ascii="Times New Roman" w:hAnsi="Times New Roman" w:cs="Times New Roman"/>
                <w:color w:val="auto"/>
                <w:sz w:val="21"/>
                <w:szCs w:val="21"/>
                <w:highlight w:val="none"/>
              </w:rPr>
              <w:t>等方面进行评审</w:t>
            </w:r>
            <w:r>
              <w:rPr>
                <w:rFonts w:hint="eastAsia" w:cs="Times New Roman"/>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90" w:lineRule="atLeast"/>
              <w:ind w:firstLine="420" w:firstLineChars="200"/>
              <w:textAlignment w:val="auto"/>
              <w:rPr>
                <w:rFonts w:hint="eastAsia" w:asciiTheme="majorEastAsia" w:hAnsiTheme="majorEastAsia" w:eastAsiaTheme="majorEastAsia" w:cstheme="majorEastAsia"/>
                <w:color w:val="auto"/>
                <w:kern w:val="2"/>
                <w:sz w:val="21"/>
                <w:szCs w:val="21"/>
                <w:highlight w:val="none"/>
                <w:lang w:val="en-US" w:eastAsia="zh-CN" w:bidi="ar-SA"/>
              </w:rPr>
            </w:pPr>
            <w:r>
              <w:rPr>
                <w:rFonts w:hint="eastAsia" w:asciiTheme="majorEastAsia" w:hAnsiTheme="majorEastAsia" w:eastAsiaTheme="majorEastAsia" w:cstheme="majorEastAsia"/>
                <w:color w:val="auto"/>
                <w:kern w:val="2"/>
                <w:sz w:val="21"/>
                <w:szCs w:val="21"/>
                <w:highlight w:val="none"/>
                <w:lang w:val="en-US" w:eastAsia="zh-CN" w:bidi="ar-SA"/>
              </w:rPr>
              <w:t>布置效果与环境协调性高的，得7分；</w:t>
            </w:r>
          </w:p>
          <w:p>
            <w:pPr>
              <w:keepNext w:val="0"/>
              <w:keepLines w:val="0"/>
              <w:pageBreakBefore w:val="0"/>
              <w:widowControl w:val="0"/>
              <w:kinsoku/>
              <w:wordWrap/>
              <w:overflowPunct/>
              <w:topLinePunct w:val="0"/>
              <w:autoSpaceDE/>
              <w:autoSpaceDN/>
              <w:bidi w:val="0"/>
              <w:adjustRightInd/>
              <w:snapToGrid/>
              <w:spacing w:line="390" w:lineRule="atLeast"/>
              <w:ind w:firstLine="420" w:firstLineChars="200"/>
              <w:textAlignment w:val="auto"/>
              <w:rPr>
                <w:rFonts w:hint="eastAsia" w:asciiTheme="majorEastAsia" w:hAnsiTheme="majorEastAsia" w:eastAsiaTheme="majorEastAsia" w:cstheme="majorEastAsia"/>
                <w:color w:val="auto"/>
                <w:kern w:val="2"/>
                <w:sz w:val="21"/>
                <w:szCs w:val="21"/>
                <w:highlight w:val="none"/>
                <w:lang w:val="en-US" w:eastAsia="zh-CN" w:bidi="ar-SA"/>
              </w:rPr>
            </w:pPr>
            <w:r>
              <w:rPr>
                <w:rFonts w:hint="eastAsia" w:asciiTheme="majorEastAsia" w:hAnsiTheme="majorEastAsia" w:eastAsiaTheme="majorEastAsia" w:cstheme="majorEastAsia"/>
                <w:color w:val="auto"/>
                <w:kern w:val="2"/>
                <w:sz w:val="21"/>
                <w:szCs w:val="21"/>
                <w:highlight w:val="none"/>
                <w:lang w:val="en-US" w:eastAsia="zh-CN" w:bidi="ar-SA"/>
              </w:rPr>
              <w:t>布置效果与环境协调性基本一致的，得4分；</w:t>
            </w:r>
          </w:p>
          <w:p>
            <w:pPr>
              <w:keepNext w:val="0"/>
              <w:keepLines w:val="0"/>
              <w:pageBreakBefore w:val="0"/>
              <w:widowControl w:val="0"/>
              <w:kinsoku/>
              <w:wordWrap/>
              <w:overflowPunct/>
              <w:topLinePunct w:val="0"/>
              <w:autoSpaceDE/>
              <w:autoSpaceDN/>
              <w:bidi w:val="0"/>
              <w:adjustRightInd/>
              <w:snapToGrid/>
              <w:spacing w:line="390" w:lineRule="atLeast"/>
              <w:ind w:firstLine="420" w:firstLineChars="200"/>
              <w:textAlignment w:val="auto"/>
              <w:rPr>
                <w:rFonts w:hint="eastAsia" w:asciiTheme="majorEastAsia" w:hAnsiTheme="majorEastAsia" w:eastAsiaTheme="majorEastAsia" w:cstheme="majorEastAsia"/>
                <w:color w:val="auto"/>
                <w:kern w:val="2"/>
                <w:sz w:val="21"/>
                <w:szCs w:val="21"/>
                <w:highlight w:val="none"/>
                <w:lang w:val="en-US" w:eastAsia="zh-CN" w:bidi="ar-SA"/>
              </w:rPr>
            </w:pPr>
            <w:r>
              <w:rPr>
                <w:rFonts w:hint="eastAsia" w:asciiTheme="majorEastAsia" w:hAnsiTheme="majorEastAsia" w:eastAsiaTheme="majorEastAsia" w:cstheme="majorEastAsia"/>
                <w:color w:val="auto"/>
                <w:kern w:val="2"/>
                <w:sz w:val="21"/>
                <w:szCs w:val="21"/>
                <w:highlight w:val="none"/>
                <w:lang w:val="en-US" w:eastAsia="zh-CN" w:bidi="ar-SA"/>
              </w:rPr>
              <w:t>布置效果与环境协调性一般的，得2分；</w:t>
            </w:r>
          </w:p>
          <w:p>
            <w:pPr>
              <w:keepNext w:val="0"/>
              <w:keepLines w:val="0"/>
              <w:pageBreakBefore w:val="0"/>
              <w:widowControl w:val="0"/>
              <w:numPr>
                <w:ilvl w:val="0"/>
                <w:numId w:val="0"/>
              </w:numPr>
              <w:tabs>
                <w:tab w:val="left" w:pos="945"/>
                <w:tab w:val="left" w:pos="1155"/>
              </w:tabs>
              <w:kinsoku/>
              <w:wordWrap/>
              <w:overflowPunct/>
              <w:topLinePunct w:val="0"/>
              <w:autoSpaceDE/>
              <w:autoSpaceDN/>
              <w:bidi w:val="0"/>
              <w:adjustRightInd/>
              <w:snapToGrid/>
              <w:spacing w:line="390" w:lineRule="atLeast"/>
              <w:ind w:firstLine="420" w:firstLineChars="200"/>
              <w:textAlignment w:val="auto"/>
              <w:rPr>
                <w:rFonts w:hint="eastAsia"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rPr>
              <w:t>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592" w:type="dxa"/>
            <w:noWrap w:val="0"/>
            <w:vAlign w:val="center"/>
          </w:tcPr>
          <w:p>
            <w:pPr>
              <w:keepNext w:val="0"/>
              <w:keepLines w:val="0"/>
              <w:pageBreakBefore w:val="0"/>
              <w:widowControl w:val="0"/>
              <w:numPr>
                <w:ilvl w:val="0"/>
                <w:numId w:val="0"/>
              </w:numPr>
              <w:tabs>
                <w:tab w:val="left" w:pos="945"/>
                <w:tab w:val="left" w:pos="1155"/>
              </w:tabs>
              <w:kinsoku/>
              <w:wordWrap/>
              <w:overflowPunct/>
              <w:topLinePunct w:val="0"/>
              <w:autoSpaceDE/>
              <w:autoSpaceDN/>
              <w:bidi w:val="0"/>
              <w:adjustRightInd/>
              <w:snapToGrid/>
              <w:spacing w:line="390" w:lineRule="atLeast"/>
              <w:jc w:val="center"/>
              <w:textAlignment w:val="auto"/>
              <w:rPr>
                <w:rFonts w:hint="default" w:ascii="Times New Roman" w:hAnsi="Times New Roman" w:cs="Times New Roman"/>
                <w:color w:val="auto"/>
                <w:sz w:val="21"/>
                <w:szCs w:val="21"/>
                <w:highlight w:val="none"/>
                <w:lang w:val="en-US" w:eastAsia="zh-CN"/>
              </w:rPr>
            </w:pPr>
            <w:r>
              <w:rPr>
                <w:rFonts w:hint="eastAsia" w:cs="Times New Roman"/>
                <w:color w:val="auto"/>
                <w:sz w:val="21"/>
                <w:szCs w:val="21"/>
                <w:highlight w:val="none"/>
                <w:lang w:val="en-US" w:eastAsia="zh-CN"/>
              </w:rPr>
              <w:t>5</w:t>
            </w:r>
          </w:p>
        </w:tc>
        <w:tc>
          <w:tcPr>
            <w:tcW w:w="999" w:type="dxa"/>
            <w:noWrap w:val="0"/>
            <w:vAlign w:val="center"/>
          </w:tcPr>
          <w:p>
            <w:pPr>
              <w:keepNext w:val="0"/>
              <w:keepLines w:val="0"/>
              <w:pageBreakBefore w:val="0"/>
              <w:widowControl w:val="0"/>
              <w:numPr>
                <w:ilvl w:val="0"/>
                <w:numId w:val="0"/>
              </w:numPr>
              <w:tabs>
                <w:tab w:val="left" w:pos="945"/>
                <w:tab w:val="left" w:pos="1155"/>
              </w:tabs>
              <w:kinsoku/>
              <w:wordWrap/>
              <w:overflowPunct/>
              <w:topLinePunct w:val="0"/>
              <w:autoSpaceDE/>
              <w:autoSpaceDN/>
              <w:bidi w:val="0"/>
              <w:adjustRightInd/>
              <w:snapToGrid/>
              <w:spacing w:line="390" w:lineRule="atLeast"/>
              <w:jc w:val="center"/>
              <w:textAlignment w:val="auto"/>
              <w:rPr>
                <w:rFonts w:hint="eastAsia"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样品</w:t>
            </w:r>
          </w:p>
        </w:tc>
        <w:tc>
          <w:tcPr>
            <w:tcW w:w="795" w:type="dxa"/>
            <w:noWrap w:val="0"/>
            <w:vAlign w:val="center"/>
          </w:tcPr>
          <w:p>
            <w:pPr>
              <w:keepNext w:val="0"/>
              <w:keepLines w:val="0"/>
              <w:pageBreakBefore w:val="0"/>
              <w:widowControl w:val="0"/>
              <w:numPr>
                <w:ilvl w:val="0"/>
                <w:numId w:val="0"/>
              </w:numPr>
              <w:tabs>
                <w:tab w:val="left" w:pos="945"/>
                <w:tab w:val="left" w:pos="1155"/>
              </w:tabs>
              <w:kinsoku/>
              <w:wordWrap/>
              <w:overflowPunct/>
              <w:topLinePunct w:val="0"/>
              <w:autoSpaceDE/>
              <w:autoSpaceDN/>
              <w:bidi w:val="0"/>
              <w:adjustRightInd/>
              <w:snapToGrid/>
              <w:spacing w:line="390" w:lineRule="atLeast"/>
              <w:jc w:val="center"/>
              <w:textAlignment w:val="auto"/>
              <w:rPr>
                <w:rFonts w:hint="default" w:cs="Times New Roman"/>
                <w:color w:val="auto"/>
                <w:sz w:val="21"/>
                <w:szCs w:val="21"/>
                <w:highlight w:val="none"/>
                <w:lang w:val="en-US" w:eastAsia="zh-CN"/>
              </w:rPr>
            </w:pPr>
            <w:r>
              <w:rPr>
                <w:rFonts w:hint="eastAsia" w:cs="Times New Roman"/>
                <w:color w:val="auto"/>
                <w:sz w:val="21"/>
                <w:szCs w:val="21"/>
                <w:highlight w:val="none"/>
                <w:lang w:val="en-US" w:eastAsia="zh-CN"/>
              </w:rPr>
              <w:t>9</w:t>
            </w:r>
          </w:p>
        </w:tc>
        <w:tc>
          <w:tcPr>
            <w:tcW w:w="6876" w:type="dxa"/>
            <w:noWrap w:val="0"/>
            <w:vAlign w:val="top"/>
          </w:tcPr>
          <w:p>
            <w:pPr>
              <w:keepNext w:val="0"/>
              <w:keepLines w:val="0"/>
              <w:pageBreakBefore w:val="0"/>
              <w:widowControl w:val="0"/>
              <w:numPr>
                <w:ilvl w:val="0"/>
                <w:numId w:val="0"/>
              </w:numPr>
              <w:tabs>
                <w:tab w:val="left" w:pos="945"/>
                <w:tab w:val="left" w:pos="1155"/>
              </w:tabs>
              <w:kinsoku/>
              <w:wordWrap/>
              <w:overflowPunct/>
              <w:topLinePunct w:val="0"/>
              <w:autoSpaceDE/>
              <w:autoSpaceDN/>
              <w:bidi w:val="0"/>
              <w:adjustRightInd/>
              <w:snapToGrid/>
              <w:spacing w:line="390" w:lineRule="atLeast"/>
              <w:textAlignment w:val="auto"/>
              <w:rPr>
                <w:rFonts w:hint="eastAsia" w:ascii="Times New Roman" w:hAnsi="Times New Roman" w:cs="Times New Roman"/>
                <w:b/>
                <w:bCs/>
                <w:color w:val="auto"/>
                <w:sz w:val="21"/>
                <w:szCs w:val="21"/>
                <w:highlight w:val="none"/>
                <w:lang w:val="en-US" w:eastAsia="zh-CN"/>
              </w:rPr>
            </w:pPr>
            <w:r>
              <w:rPr>
                <w:rFonts w:hint="eastAsia" w:ascii="Times New Roman" w:hAnsi="Times New Roman" w:cs="Times New Roman"/>
                <w:b/>
                <w:bCs/>
                <w:color w:val="auto"/>
                <w:sz w:val="21"/>
                <w:szCs w:val="21"/>
                <w:highlight w:val="none"/>
                <w:lang w:val="en-US" w:eastAsia="zh-CN"/>
              </w:rPr>
              <w:t>1</w:t>
            </w:r>
            <w:r>
              <w:rPr>
                <w:rFonts w:hint="eastAsia" w:cs="Times New Roman"/>
                <w:b/>
                <w:bCs/>
                <w:color w:val="auto"/>
                <w:sz w:val="21"/>
                <w:szCs w:val="21"/>
                <w:highlight w:val="none"/>
                <w:lang w:val="en-US" w:eastAsia="zh-CN"/>
              </w:rPr>
              <w:t>）</w:t>
            </w:r>
            <w:r>
              <w:rPr>
                <w:rFonts w:hint="eastAsia" w:ascii="Times New Roman" w:hAnsi="Times New Roman" w:eastAsia="宋体" w:cs="Times New Roman"/>
                <w:b/>
                <w:bCs/>
                <w:color w:val="auto"/>
                <w:sz w:val="21"/>
                <w:szCs w:val="21"/>
                <w:highlight w:val="none"/>
                <w:lang w:val="en-US" w:eastAsia="zh-CN"/>
              </w:rPr>
              <w:t>儿童</w:t>
            </w:r>
            <w:r>
              <w:rPr>
                <w:rFonts w:hint="eastAsia" w:ascii="Times New Roman" w:hAnsi="Times New Roman" w:cs="Times New Roman"/>
                <w:b/>
                <w:bCs/>
                <w:color w:val="auto"/>
                <w:sz w:val="21"/>
                <w:szCs w:val="21"/>
                <w:highlight w:val="none"/>
                <w:lang w:val="en-US" w:eastAsia="zh-CN"/>
              </w:rPr>
              <w:t>课椅</w:t>
            </w:r>
            <w:r>
              <w:rPr>
                <w:rFonts w:hint="eastAsia" w:cs="Times New Roman"/>
                <w:b/>
                <w:bCs/>
                <w:color w:val="auto"/>
                <w:sz w:val="21"/>
                <w:szCs w:val="21"/>
                <w:highlight w:val="none"/>
                <w:lang w:val="en-US" w:eastAsia="zh-CN"/>
              </w:rPr>
              <w:t>（</w:t>
            </w:r>
            <w:r>
              <w:rPr>
                <w:rFonts w:hint="eastAsia" w:ascii="Times New Roman" w:hAnsi="Times New Roman" w:cs="Times New Roman"/>
                <w:b/>
                <w:bCs/>
                <w:color w:val="auto"/>
                <w:sz w:val="21"/>
                <w:szCs w:val="21"/>
                <w:highlight w:val="none"/>
                <w:lang w:val="en-US" w:eastAsia="zh-CN"/>
              </w:rPr>
              <w:t>大班</w:t>
            </w:r>
            <w:r>
              <w:rPr>
                <w:rFonts w:hint="eastAsia" w:cs="Times New Roman"/>
                <w:b/>
                <w:bCs/>
                <w:color w:val="auto"/>
                <w:sz w:val="21"/>
                <w:szCs w:val="21"/>
                <w:highlight w:val="none"/>
                <w:lang w:val="en-US" w:eastAsia="zh-CN"/>
              </w:rPr>
              <w:t>）一张</w:t>
            </w:r>
          </w:p>
          <w:p>
            <w:pPr>
              <w:keepNext w:val="0"/>
              <w:keepLines w:val="0"/>
              <w:pageBreakBefore w:val="0"/>
              <w:widowControl w:val="0"/>
              <w:numPr>
                <w:ilvl w:val="0"/>
                <w:numId w:val="0"/>
              </w:numPr>
              <w:tabs>
                <w:tab w:val="left" w:pos="945"/>
                <w:tab w:val="left" w:pos="1155"/>
              </w:tabs>
              <w:kinsoku/>
              <w:wordWrap/>
              <w:overflowPunct/>
              <w:topLinePunct w:val="0"/>
              <w:autoSpaceDE/>
              <w:autoSpaceDN/>
              <w:bidi w:val="0"/>
              <w:adjustRightInd/>
              <w:snapToGrid/>
              <w:spacing w:line="390" w:lineRule="atLeast"/>
              <w:ind w:firstLine="420" w:firstLineChars="200"/>
              <w:textAlignment w:val="auto"/>
              <w:rPr>
                <w:rFonts w:hint="eastAsia"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A工艺水平高，加工精度高，装配质量好，感观度好；（</w:t>
            </w:r>
            <w:r>
              <w:rPr>
                <w:rFonts w:hint="eastAsia" w:cs="Times New Roman"/>
                <w:color w:val="auto"/>
                <w:sz w:val="21"/>
                <w:szCs w:val="21"/>
                <w:highlight w:val="none"/>
                <w:lang w:val="en-US" w:eastAsia="zh-CN"/>
              </w:rPr>
              <w:t>3</w:t>
            </w:r>
            <w:r>
              <w:rPr>
                <w:rFonts w:hint="eastAsia" w:ascii="Times New Roman" w:hAnsi="Times New Roman" w:cs="Times New Roman"/>
                <w:color w:val="auto"/>
                <w:sz w:val="21"/>
                <w:szCs w:val="21"/>
                <w:highlight w:val="none"/>
                <w:lang w:val="en-US" w:eastAsia="zh-CN"/>
              </w:rPr>
              <w:t>分）</w:t>
            </w:r>
          </w:p>
          <w:p>
            <w:pPr>
              <w:keepNext w:val="0"/>
              <w:keepLines w:val="0"/>
              <w:pageBreakBefore w:val="0"/>
              <w:widowControl w:val="0"/>
              <w:numPr>
                <w:ilvl w:val="0"/>
                <w:numId w:val="0"/>
              </w:numPr>
              <w:tabs>
                <w:tab w:val="left" w:pos="945"/>
                <w:tab w:val="left" w:pos="1155"/>
              </w:tabs>
              <w:kinsoku/>
              <w:wordWrap/>
              <w:overflowPunct/>
              <w:topLinePunct w:val="0"/>
              <w:autoSpaceDE/>
              <w:autoSpaceDN/>
              <w:bidi w:val="0"/>
              <w:adjustRightInd/>
              <w:snapToGrid/>
              <w:spacing w:line="390" w:lineRule="atLeast"/>
              <w:ind w:firstLine="420" w:firstLineChars="200"/>
              <w:textAlignment w:val="auto"/>
              <w:rPr>
                <w:rFonts w:hint="eastAsia"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B工艺水平较高，加工精度较高，装配质量较好，感观度较好；（</w:t>
            </w:r>
            <w:r>
              <w:rPr>
                <w:rFonts w:hint="eastAsia" w:cs="Times New Roman"/>
                <w:color w:val="auto"/>
                <w:sz w:val="21"/>
                <w:szCs w:val="21"/>
                <w:highlight w:val="none"/>
                <w:lang w:val="en-US" w:eastAsia="zh-CN"/>
              </w:rPr>
              <w:t>2</w:t>
            </w:r>
            <w:r>
              <w:rPr>
                <w:rFonts w:hint="eastAsia" w:ascii="Times New Roman" w:hAnsi="Times New Roman" w:cs="Times New Roman"/>
                <w:color w:val="auto"/>
                <w:sz w:val="21"/>
                <w:szCs w:val="21"/>
                <w:highlight w:val="none"/>
                <w:lang w:val="en-US" w:eastAsia="zh-CN"/>
              </w:rPr>
              <w:t>分）</w:t>
            </w:r>
          </w:p>
          <w:p>
            <w:pPr>
              <w:keepNext w:val="0"/>
              <w:keepLines w:val="0"/>
              <w:pageBreakBefore w:val="0"/>
              <w:widowControl w:val="0"/>
              <w:numPr>
                <w:ilvl w:val="0"/>
                <w:numId w:val="0"/>
              </w:numPr>
              <w:tabs>
                <w:tab w:val="left" w:pos="945"/>
                <w:tab w:val="left" w:pos="1155"/>
              </w:tabs>
              <w:kinsoku/>
              <w:wordWrap/>
              <w:overflowPunct/>
              <w:topLinePunct w:val="0"/>
              <w:autoSpaceDE/>
              <w:autoSpaceDN/>
              <w:bidi w:val="0"/>
              <w:adjustRightInd/>
              <w:snapToGrid/>
              <w:spacing w:line="390" w:lineRule="atLeast"/>
              <w:ind w:firstLine="420" w:firstLineChars="200"/>
              <w:textAlignment w:val="auto"/>
              <w:rPr>
                <w:rFonts w:hint="eastAsia"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C工艺水平一般，加工精度一般，装配质量一般，感观度一般；（</w:t>
            </w:r>
            <w:r>
              <w:rPr>
                <w:rFonts w:hint="eastAsia" w:cs="Times New Roman"/>
                <w:color w:val="auto"/>
                <w:sz w:val="21"/>
                <w:szCs w:val="21"/>
                <w:highlight w:val="none"/>
                <w:lang w:val="en-US" w:eastAsia="zh-CN"/>
              </w:rPr>
              <w:t>1</w:t>
            </w:r>
            <w:r>
              <w:rPr>
                <w:rFonts w:hint="eastAsia" w:ascii="Times New Roman" w:hAnsi="Times New Roman" w:cs="Times New Roman"/>
                <w:color w:val="auto"/>
                <w:sz w:val="21"/>
                <w:szCs w:val="21"/>
                <w:highlight w:val="none"/>
                <w:lang w:val="en-US" w:eastAsia="zh-CN"/>
              </w:rPr>
              <w:t>分）</w:t>
            </w:r>
          </w:p>
          <w:p>
            <w:pPr>
              <w:keepNext w:val="0"/>
              <w:keepLines w:val="0"/>
              <w:pageBreakBefore w:val="0"/>
              <w:widowControl w:val="0"/>
              <w:numPr>
                <w:ilvl w:val="0"/>
                <w:numId w:val="0"/>
              </w:numPr>
              <w:tabs>
                <w:tab w:val="left" w:pos="945"/>
                <w:tab w:val="left" w:pos="1155"/>
              </w:tabs>
              <w:kinsoku/>
              <w:wordWrap/>
              <w:overflowPunct/>
              <w:topLinePunct w:val="0"/>
              <w:autoSpaceDE/>
              <w:autoSpaceDN/>
              <w:bidi w:val="0"/>
              <w:adjustRightInd/>
              <w:snapToGrid/>
              <w:spacing w:line="390" w:lineRule="atLeast"/>
              <w:ind w:firstLine="420" w:firstLineChars="200"/>
              <w:textAlignment w:val="auto"/>
              <w:rPr>
                <w:rFonts w:hint="eastAsia"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D工艺水平较差，加工精度较差，装配质量较差，感观度较差。（</w:t>
            </w:r>
            <w:r>
              <w:rPr>
                <w:rFonts w:hint="eastAsia" w:cs="Times New Roman"/>
                <w:color w:val="auto"/>
                <w:sz w:val="21"/>
                <w:szCs w:val="21"/>
                <w:highlight w:val="none"/>
                <w:lang w:val="en-US" w:eastAsia="zh-CN"/>
              </w:rPr>
              <w:t>0.5</w:t>
            </w:r>
            <w:r>
              <w:rPr>
                <w:rFonts w:hint="eastAsia" w:ascii="Times New Roman" w:hAnsi="Times New Roman" w:cs="Times New Roman"/>
                <w:color w:val="auto"/>
                <w:sz w:val="21"/>
                <w:szCs w:val="21"/>
                <w:highlight w:val="none"/>
                <w:lang w:val="en-US" w:eastAsia="zh-CN"/>
              </w:rPr>
              <w:t>分）</w:t>
            </w:r>
          </w:p>
          <w:p>
            <w:pPr>
              <w:keepNext w:val="0"/>
              <w:keepLines w:val="0"/>
              <w:pageBreakBefore w:val="0"/>
              <w:widowControl w:val="0"/>
              <w:numPr>
                <w:ilvl w:val="0"/>
                <w:numId w:val="0"/>
              </w:numPr>
              <w:tabs>
                <w:tab w:val="left" w:pos="945"/>
                <w:tab w:val="left" w:pos="1155"/>
              </w:tabs>
              <w:kinsoku/>
              <w:wordWrap/>
              <w:overflowPunct/>
              <w:topLinePunct w:val="0"/>
              <w:autoSpaceDE/>
              <w:autoSpaceDN/>
              <w:bidi w:val="0"/>
              <w:adjustRightInd/>
              <w:snapToGrid/>
              <w:spacing w:line="390" w:lineRule="atLeast"/>
              <w:textAlignment w:val="auto"/>
              <w:rPr>
                <w:rFonts w:hint="eastAsia" w:ascii="Times New Roman" w:hAnsi="Times New Roman" w:cs="Times New Roman"/>
                <w:b/>
                <w:bCs/>
                <w:color w:val="auto"/>
                <w:sz w:val="21"/>
                <w:szCs w:val="21"/>
                <w:highlight w:val="none"/>
                <w:lang w:val="en-US" w:eastAsia="zh-CN"/>
              </w:rPr>
            </w:pPr>
            <w:r>
              <w:rPr>
                <w:rFonts w:hint="eastAsia" w:ascii="Times New Roman" w:hAnsi="Times New Roman" w:cs="Times New Roman"/>
                <w:b/>
                <w:bCs/>
                <w:color w:val="auto"/>
                <w:sz w:val="21"/>
                <w:szCs w:val="21"/>
                <w:highlight w:val="none"/>
                <w:lang w:val="en-US" w:eastAsia="zh-CN"/>
              </w:rPr>
              <w:t>2）儿童课桌</w:t>
            </w:r>
            <w:r>
              <w:rPr>
                <w:rFonts w:hint="eastAsia" w:cs="Times New Roman"/>
                <w:b/>
                <w:bCs/>
                <w:color w:val="auto"/>
                <w:sz w:val="21"/>
                <w:szCs w:val="21"/>
                <w:highlight w:val="none"/>
                <w:lang w:val="en-US" w:eastAsia="zh-CN"/>
              </w:rPr>
              <w:t>（</w:t>
            </w:r>
            <w:r>
              <w:rPr>
                <w:rFonts w:hint="eastAsia" w:ascii="Times New Roman" w:hAnsi="Times New Roman" w:cs="Times New Roman"/>
                <w:b/>
                <w:bCs/>
                <w:color w:val="auto"/>
                <w:sz w:val="21"/>
                <w:szCs w:val="21"/>
                <w:highlight w:val="none"/>
                <w:lang w:val="en-US" w:eastAsia="zh-CN"/>
              </w:rPr>
              <w:t>大班</w:t>
            </w:r>
            <w:r>
              <w:rPr>
                <w:rFonts w:hint="eastAsia" w:cs="Times New Roman"/>
                <w:b/>
                <w:bCs/>
                <w:color w:val="auto"/>
                <w:sz w:val="21"/>
                <w:szCs w:val="21"/>
                <w:highlight w:val="none"/>
                <w:lang w:val="en-US" w:eastAsia="zh-CN"/>
              </w:rPr>
              <w:t>）一张</w:t>
            </w:r>
          </w:p>
          <w:p>
            <w:pPr>
              <w:keepNext w:val="0"/>
              <w:keepLines w:val="0"/>
              <w:pageBreakBefore w:val="0"/>
              <w:widowControl w:val="0"/>
              <w:numPr>
                <w:ilvl w:val="0"/>
                <w:numId w:val="0"/>
              </w:numPr>
              <w:tabs>
                <w:tab w:val="left" w:pos="945"/>
                <w:tab w:val="left" w:pos="1155"/>
              </w:tabs>
              <w:kinsoku/>
              <w:wordWrap/>
              <w:overflowPunct/>
              <w:topLinePunct w:val="0"/>
              <w:autoSpaceDE/>
              <w:autoSpaceDN/>
              <w:bidi w:val="0"/>
              <w:adjustRightInd/>
              <w:snapToGrid/>
              <w:spacing w:line="390" w:lineRule="atLeast"/>
              <w:ind w:firstLine="420" w:firstLineChars="200"/>
              <w:textAlignment w:val="auto"/>
              <w:rPr>
                <w:rFonts w:hint="eastAsia"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A工艺水平高，加工精度高，装配质量好，感观度好；（</w:t>
            </w:r>
            <w:r>
              <w:rPr>
                <w:rFonts w:hint="eastAsia" w:cs="Times New Roman"/>
                <w:color w:val="auto"/>
                <w:sz w:val="21"/>
                <w:szCs w:val="21"/>
                <w:highlight w:val="none"/>
                <w:lang w:val="en-US" w:eastAsia="zh-CN"/>
              </w:rPr>
              <w:t>3</w:t>
            </w:r>
            <w:r>
              <w:rPr>
                <w:rFonts w:hint="eastAsia" w:ascii="Times New Roman" w:hAnsi="Times New Roman" w:cs="Times New Roman"/>
                <w:color w:val="auto"/>
                <w:sz w:val="21"/>
                <w:szCs w:val="21"/>
                <w:highlight w:val="none"/>
                <w:lang w:val="en-US" w:eastAsia="zh-CN"/>
              </w:rPr>
              <w:t>分）</w:t>
            </w:r>
          </w:p>
          <w:p>
            <w:pPr>
              <w:keepNext w:val="0"/>
              <w:keepLines w:val="0"/>
              <w:pageBreakBefore w:val="0"/>
              <w:widowControl w:val="0"/>
              <w:numPr>
                <w:ilvl w:val="0"/>
                <w:numId w:val="0"/>
              </w:numPr>
              <w:tabs>
                <w:tab w:val="left" w:pos="945"/>
                <w:tab w:val="left" w:pos="1155"/>
              </w:tabs>
              <w:kinsoku/>
              <w:wordWrap/>
              <w:overflowPunct/>
              <w:topLinePunct w:val="0"/>
              <w:autoSpaceDE/>
              <w:autoSpaceDN/>
              <w:bidi w:val="0"/>
              <w:adjustRightInd/>
              <w:snapToGrid/>
              <w:spacing w:line="390" w:lineRule="atLeast"/>
              <w:ind w:firstLine="420" w:firstLineChars="200"/>
              <w:textAlignment w:val="auto"/>
              <w:rPr>
                <w:rFonts w:hint="eastAsia"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B工艺水平较高，加工精度较高，装配质量较好，感观度较好；（</w:t>
            </w:r>
            <w:r>
              <w:rPr>
                <w:rFonts w:hint="eastAsia" w:cs="Times New Roman"/>
                <w:color w:val="auto"/>
                <w:sz w:val="21"/>
                <w:szCs w:val="21"/>
                <w:highlight w:val="none"/>
                <w:lang w:val="en-US" w:eastAsia="zh-CN"/>
              </w:rPr>
              <w:t>2</w:t>
            </w:r>
            <w:r>
              <w:rPr>
                <w:rFonts w:hint="eastAsia" w:ascii="Times New Roman" w:hAnsi="Times New Roman" w:cs="Times New Roman"/>
                <w:color w:val="auto"/>
                <w:sz w:val="21"/>
                <w:szCs w:val="21"/>
                <w:highlight w:val="none"/>
                <w:lang w:val="en-US" w:eastAsia="zh-CN"/>
              </w:rPr>
              <w:t>分）</w:t>
            </w:r>
          </w:p>
          <w:p>
            <w:pPr>
              <w:keepNext w:val="0"/>
              <w:keepLines w:val="0"/>
              <w:pageBreakBefore w:val="0"/>
              <w:widowControl w:val="0"/>
              <w:numPr>
                <w:ilvl w:val="0"/>
                <w:numId w:val="0"/>
              </w:numPr>
              <w:tabs>
                <w:tab w:val="left" w:pos="945"/>
                <w:tab w:val="left" w:pos="1155"/>
              </w:tabs>
              <w:kinsoku/>
              <w:wordWrap/>
              <w:overflowPunct/>
              <w:topLinePunct w:val="0"/>
              <w:autoSpaceDE/>
              <w:autoSpaceDN/>
              <w:bidi w:val="0"/>
              <w:adjustRightInd/>
              <w:snapToGrid/>
              <w:spacing w:line="390" w:lineRule="atLeast"/>
              <w:ind w:firstLine="420" w:firstLineChars="200"/>
              <w:textAlignment w:val="auto"/>
              <w:rPr>
                <w:rFonts w:hint="eastAsia"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C工艺水平一般，加工精度一般，装配质量一般，感观度一般；（</w:t>
            </w:r>
            <w:r>
              <w:rPr>
                <w:rFonts w:hint="eastAsia" w:cs="Times New Roman"/>
                <w:color w:val="auto"/>
                <w:sz w:val="21"/>
                <w:szCs w:val="21"/>
                <w:highlight w:val="none"/>
                <w:lang w:val="en-US" w:eastAsia="zh-CN"/>
              </w:rPr>
              <w:t>1</w:t>
            </w:r>
            <w:r>
              <w:rPr>
                <w:rFonts w:hint="eastAsia" w:ascii="Times New Roman" w:hAnsi="Times New Roman" w:cs="Times New Roman"/>
                <w:color w:val="auto"/>
                <w:sz w:val="21"/>
                <w:szCs w:val="21"/>
                <w:highlight w:val="none"/>
                <w:lang w:val="en-US" w:eastAsia="zh-CN"/>
              </w:rPr>
              <w:t>分）</w:t>
            </w:r>
          </w:p>
          <w:p>
            <w:pPr>
              <w:keepNext w:val="0"/>
              <w:keepLines w:val="0"/>
              <w:pageBreakBefore w:val="0"/>
              <w:widowControl w:val="0"/>
              <w:numPr>
                <w:ilvl w:val="0"/>
                <w:numId w:val="0"/>
              </w:numPr>
              <w:tabs>
                <w:tab w:val="left" w:pos="945"/>
                <w:tab w:val="left" w:pos="1155"/>
              </w:tabs>
              <w:kinsoku/>
              <w:wordWrap/>
              <w:overflowPunct/>
              <w:topLinePunct w:val="0"/>
              <w:autoSpaceDE/>
              <w:autoSpaceDN/>
              <w:bidi w:val="0"/>
              <w:adjustRightInd/>
              <w:snapToGrid/>
              <w:spacing w:line="390" w:lineRule="atLeast"/>
              <w:ind w:firstLine="420" w:firstLineChars="200"/>
              <w:textAlignment w:val="auto"/>
              <w:rPr>
                <w:rFonts w:hint="eastAsia"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D工艺水平较差，加工精度较差，装配质量较差，感观度较差。（</w:t>
            </w:r>
            <w:r>
              <w:rPr>
                <w:rFonts w:hint="eastAsia" w:cs="Times New Roman"/>
                <w:color w:val="auto"/>
                <w:sz w:val="21"/>
                <w:szCs w:val="21"/>
                <w:highlight w:val="none"/>
                <w:lang w:val="en-US" w:eastAsia="zh-CN"/>
              </w:rPr>
              <w:t>0.5</w:t>
            </w:r>
            <w:r>
              <w:rPr>
                <w:rFonts w:hint="eastAsia" w:ascii="Times New Roman" w:hAnsi="Times New Roman" w:cs="Times New Roman"/>
                <w:color w:val="auto"/>
                <w:sz w:val="21"/>
                <w:szCs w:val="21"/>
                <w:highlight w:val="none"/>
                <w:lang w:val="en-US" w:eastAsia="zh-CN"/>
              </w:rPr>
              <w:t>分）</w:t>
            </w:r>
          </w:p>
          <w:p>
            <w:pPr>
              <w:keepNext w:val="0"/>
              <w:keepLines w:val="0"/>
              <w:pageBreakBefore w:val="0"/>
              <w:widowControl w:val="0"/>
              <w:numPr>
                <w:ilvl w:val="0"/>
                <w:numId w:val="2"/>
              </w:numPr>
              <w:tabs>
                <w:tab w:val="left" w:pos="945"/>
                <w:tab w:val="left" w:pos="1155"/>
              </w:tabs>
              <w:kinsoku/>
              <w:wordWrap/>
              <w:overflowPunct/>
              <w:topLinePunct w:val="0"/>
              <w:autoSpaceDE/>
              <w:autoSpaceDN/>
              <w:bidi w:val="0"/>
              <w:adjustRightInd/>
              <w:snapToGrid/>
              <w:spacing w:line="390" w:lineRule="atLeast"/>
              <w:textAlignment w:val="auto"/>
              <w:rPr>
                <w:rFonts w:hint="eastAsia" w:ascii="Times New Roman" w:hAnsi="Times New Roman" w:cs="Times New Roman"/>
                <w:b/>
                <w:bCs/>
                <w:color w:val="auto"/>
                <w:sz w:val="21"/>
                <w:szCs w:val="21"/>
                <w:highlight w:val="none"/>
                <w:lang w:val="en-US" w:eastAsia="zh-CN"/>
              </w:rPr>
            </w:pPr>
            <w:r>
              <w:rPr>
                <w:rFonts w:hint="eastAsia" w:ascii="Times New Roman" w:hAnsi="Times New Roman" w:cs="Times New Roman"/>
                <w:b/>
                <w:bCs/>
                <w:color w:val="auto"/>
                <w:sz w:val="21"/>
                <w:szCs w:val="21"/>
                <w:highlight w:val="none"/>
                <w:lang w:val="en-US" w:eastAsia="zh-CN"/>
              </w:rPr>
              <w:t>六格高柜</w:t>
            </w:r>
            <w:r>
              <w:rPr>
                <w:rFonts w:hint="eastAsia" w:cs="Times New Roman"/>
                <w:b/>
                <w:bCs/>
                <w:color w:val="auto"/>
                <w:sz w:val="21"/>
                <w:szCs w:val="21"/>
                <w:highlight w:val="none"/>
                <w:lang w:val="en-US" w:eastAsia="zh-CN"/>
              </w:rPr>
              <w:t>一张</w:t>
            </w:r>
          </w:p>
          <w:p>
            <w:pPr>
              <w:keepNext w:val="0"/>
              <w:keepLines w:val="0"/>
              <w:pageBreakBefore w:val="0"/>
              <w:widowControl w:val="0"/>
              <w:numPr>
                <w:ilvl w:val="0"/>
                <w:numId w:val="0"/>
              </w:numPr>
              <w:tabs>
                <w:tab w:val="left" w:pos="945"/>
                <w:tab w:val="left" w:pos="1155"/>
              </w:tabs>
              <w:kinsoku/>
              <w:wordWrap/>
              <w:overflowPunct/>
              <w:topLinePunct w:val="0"/>
              <w:autoSpaceDE/>
              <w:autoSpaceDN/>
              <w:bidi w:val="0"/>
              <w:adjustRightInd/>
              <w:snapToGrid/>
              <w:spacing w:line="390" w:lineRule="atLeast"/>
              <w:ind w:firstLine="420" w:firstLineChars="200"/>
              <w:textAlignment w:val="auto"/>
              <w:rPr>
                <w:rFonts w:hint="eastAsia"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A工艺水平高，加工精度高，装配质量好，感观度好；（</w:t>
            </w:r>
            <w:r>
              <w:rPr>
                <w:rFonts w:hint="eastAsia" w:cs="Times New Roman"/>
                <w:color w:val="auto"/>
                <w:sz w:val="21"/>
                <w:szCs w:val="21"/>
                <w:highlight w:val="none"/>
                <w:lang w:val="en-US" w:eastAsia="zh-CN"/>
              </w:rPr>
              <w:t>3</w:t>
            </w:r>
            <w:r>
              <w:rPr>
                <w:rFonts w:hint="eastAsia" w:ascii="Times New Roman" w:hAnsi="Times New Roman" w:cs="Times New Roman"/>
                <w:color w:val="auto"/>
                <w:sz w:val="21"/>
                <w:szCs w:val="21"/>
                <w:highlight w:val="none"/>
                <w:lang w:val="en-US" w:eastAsia="zh-CN"/>
              </w:rPr>
              <w:t>分）</w:t>
            </w:r>
          </w:p>
          <w:p>
            <w:pPr>
              <w:keepNext w:val="0"/>
              <w:keepLines w:val="0"/>
              <w:pageBreakBefore w:val="0"/>
              <w:widowControl w:val="0"/>
              <w:numPr>
                <w:ilvl w:val="0"/>
                <w:numId w:val="0"/>
              </w:numPr>
              <w:tabs>
                <w:tab w:val="left" w:pos="945"/>
                <w:tab w:val="left" w:pos="1155"/>
              </w:tabs>
              <w:kinsoku/>
              <w:wordWrap/>
              <w:overflowPunct/>
              <w:topLinePunct w:val="0"/>
              <w:autoSpaceDE/>
              <w:autoSpaceDN/>
              <w:bidi w:val="0"/>
              <w:adjustRightInd/>
              <w:snapToGrid/>
              <w:spacing w:line="390" w:lineRule="atLeast"/>
              <w:ind w:firstLine="420" w:firstLineChars="200"/>
              <w:textAlignment w:val="auto"/>
              <w:rPr>
                <w:rFonts w:hint="eastAsia"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B工艺水平较高，加工精度较高，装配质量较好，感观度较好；（</w:t>
            </w:r>
            <w:r>
              <w:rPr>
                <w:rFonts w:hint="eastAsia" w:cs="Times New Roman"/>
                <w:color w:val="auto"/>
                <w:sz w:val="21"/>
                <w:szCs w:val="21"/>
                <w:highlight w:val="none"/>
                <w:lang w:val="en-US" w:eastAsia="zh-CN"/>
              </w:rPr>
              <w:t>2</w:t>
            </w:r>
            <w:r>
              <w:rPr>
                <w:rFonts w:hint="eastAsia" w:ascii="Times New Roman" w:hAnsi="Times New Roman" w:cs="Times New Roman"/>
                <w:color w:val="auto"/>
                <w:sz w:val="21"/>
                <w:szCs w:val="21"/>
                <w:highlight w:val="none"/>
                <w:lang w:val="en-US" w:eastAsia="zh-CN"/>
              </w:rPr>
              <w:t>分）</w:t>
            </w:r>
          </w:p>
          <w:p>
            <w:pPr>
              <w:keepNext w:val="0"/>
              <w:keepLines w:val="0"/>
              <w:pageBreakBefore w:val="0"/>
              <w:widowControl w:val="0"/>
              <w:numPr>
                <w:ilvl w:val="0"/>
                <w:numId w:val="0"/>
              </w:numPr>
              <w:tabs>
                <w:tab w:val="left" w:pos="945"/>
                <w:tab w:val="left" w:pos="1155"/>
              </w:tabs>
              <w:kinsoku/>
              <w:wordWrap/>
              <w:overflowPunct/>
              <w:topLinePunct w:val="0"/>
              <w:autoSpaceDE/>
              <w:autoSpaceDN/>
              <w:bidi w:val="0"/>
              <w:adjustRightInd/>
              <w:snapToGrid/>
              <w:spacing w:line="390" w:lineRule="atLeast"/>
              <w:ind w:firstLine="420" w:firstLineChars="200"/>
              <w:textAlignment w:val="auto"/>
              <w:rPr>
                <w:rFonts w:hint="eastAsia"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C工艺水平一般，加工精度一般，装配质量一般，感观度一般；（</w:t>
            </w:r>
            <w:r>
              <w:rPr>
                <w:rFonts w:hint="eastAsia" w:cs="Times New Roman"/>
                <w:color w:val="auto"/>
                <w:sz w:val="21"/>
                <w:szCs w:val="21"/>
                <w:highlight w:val="none"/>
                <w:lang w:val="en-US" w:eastAsia="zh-CN"/>
              </w:rPr>
              <w:t>1</w:t>
            </w:r>
            <w:r>
              <w:rPr>
                <w:rFonts w:hint="eastAsia" w:ascii="Times New Roman" w:hAnsi="Times New Roman" w:cs="Times New Roman"/>
                <w:color w:val="auto"/>
                <w:sz w:val="21"/>
                <w:szCs w:val="21"/>
                <w:highlight w:val="none"/>
                <w:lang w:val="en-US" w:eastAsia="zh-CN"/>
              </w:rPr>
              <w:t>分）</w:t>
            </w:r>
          </w:p>
          <w:p>
            <w:pPr>
              <w:keepNext w:val="0"/>
              <w:keepLines w:val="0"/>
              <w:pageBreakBefore w:val="0"/>
              <w:widowControl w:val="0"/>
              <w:numPr>
                <w:ilvl w:val="0"/>
                <w:numId w:val="0"/>
              </w:numPr>
              <w:tabs>
                <w:tab w:val="left" w:pos="945"/>
                <w:tab w:val="left" w:pos="1155"/>
              </w:tabs>
              <w:kinsoku/>
              <w:wordWrap/>
              <w:overflowPunct/>
              <w:topLinePunct w:val="0"/>
              <w:autoSpaceDE/>
              <w:autoSpaceDN/>
              <w:bidi w:val="0"/>
              <w:adjustRightInd/>
              <w:snapToGrid/>
              <w:spacing w:line="390" w:lineRule="atLeast"/>
              <w:ind w:firstLine="420" w:firstLineChars="200"/>
              <w:textAlignment w:val="auto"/>
              <w:rPr>
                <w:rFonts w:hint="eastAsia"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D工艺水平较差，加工精度较差，装配质量较差，感观度较差。（</w:t>
            </w:r>
            <w:r>
              <w:rPr>
                <w:rFonts w:hint="eastAsia" w:cs="Times New Roman"/>
                <w:color w:val="auto"/>
                <w:sz w:val="21"/>
                <w:szCs w:val="21"/>
                <w:highlight w:val="none"/>
                <w:lang w:val="en-US" w:eastAsia="zh-CN"/>
              </w:rPr>
              <w:t>0.5</w:t>
            </w:r>
            <w:r>
              <w:rPr>
                <w:rFonts w:hint="eastAsia" w:ascii="Times New Roman" w:hAnsi="Times New Roman" w:cs="Times New Roman"/>
                <w:color w:val="auto"/>
                <w:sz w:val="21"/>
                <w:szCs w:val="21"/>
                <w:highlight w:val="none"/>
                <w:lang w:val="en-US" w:eastAsia="zh-CN"/>
              </w:rPr>
              <w:t>分）</w:t>
            </w:r>
          </w:p>
          <w:p>
            <w:pPr>
              <w:keepNext w:val="0"/>
              <w:keepLines w:val="0"/>
              <w:pageBreakBefore w:val="0"/>
              <w:widowControl w:val="0"/>
              <w:numPr>
                <w:ilvl w:val="0"/>
                <w:numId w:val="0"/>
              </w:numPr>
              <w:tabs>
                <w:tab w:val="left" w:pos="945"/>
                <w:tab w:val="left" w:pos="1155"/>
              </w:tabs>
              <w:kinsoku/>
              <w:wordWrap/>
              <w:overflowPunct/>
              <w:topLinePunct w:val="0"/>
              <w:autoSpaceDE/>
              <w:autoSpaceDN/>
              <w:bidi w:val="0"/>
              <w:adjustRightInd/>
              <w:snapToGrid/>
              <w:spacing w:line="390" w:lineRule="atLeast"/>
              <w:textAlignment w:val="auto"/>
              <w:rPr>
                <w:rFonts w:hint="eastAsia"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注：1）由评委根据响应人样品打分；</w:t>
            </w:r>
          </w:p>
          <w:p>
            <w:pPr>
              <w:keepNext w:val="0"/>
              <w:keepLines w:val="0"/>
              <w:pageBreakBefore w:val="0"/>
              <w:widowControl w:val="0"/>
              <w:numPr>
                <w:ilvl w:val="0"/>
                <w:numId w:val="0"/>
              </w:numPr>
              <w:tabs>
                <w:tab w:val="left" w:pos="945"/>
                <w:tab w:val="left" w:pos="1155"/>
              </w:tabs>
              <w:kinsoku/>
              <w:wordWrap/>
              <w:overflowPunct/>
              <w:topLinePunct w:val="0"/>
              <w:autoSpaceDE/>
              <w:autoSpaceDN/>
              <w:bidi w:val="0"/>
              <w:adjustRightInd/>
              <w:snapToGrid/>
              <w:spacing w:line="390" w:lineRule="atLeast"/>
              <w:ind w:firstLine="420" w:firstLineChars="200"/>
              <w:textAlignment w:val="auto"/>
              <w:rPr>
                <w:rFonts w:hint="eastAsia"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2）不提供样品或提供样品不全的，该项不得分；</w:t>
            </w:r>
          </w:p>
          <w:p>
            <w:pPr>
              <w:keepNext w:val="0"/>
              <w:keepLines w:val="0"/>
              <w:pageBreakBefore w:val="0"/>
              <w:widowControl w:val="0"/>
              <w:numPr>
                <w:ilvl w:val="0"/>
                <w:numId w:val="0"/>
              </w:numPr>
              <w:tabs>
                <w:tab w:val="left" w:pos="945"/>
                <w:tab w:val="left" w:pos="1155"/>
              </w:tabs>
              <w:kinsoku/>
              <w:wordWrap/>
              <w:overflowPunct/>
              <w:topLinePunct w:val="0"/>
              <w:autoSpaceDE/>
              <w:autoSpaceDN/>
              <w:bidi w:val="0"/>
              <w:adjustRightInd/>
              <w:snapToGrid/>
              <w:spacing w:line="390" w:lineRule="atLeast"/>
              <w:ind w:firstLine="420" w:firstLineChars="200"/>
              <w:textAlignment w:val="auto"/>
              <w:rPr>
                <w:rFonts w:hint="eastAsia"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lang w:val="en-US" w:eastAsia="zh-CN"/>
              </w:rPr>
              <w:t>3）响应人提供的样品尺寸、款式与清单描述允许有微小偏差，但不能存在严重偏离，否则不得分；尺寸偏离在±2%以内，款式基本接近属于微小偏差</w:t>
            </w:r>
            <w:r>
              <w:rPr>
                <w:rFonts w:hint="eastAsia" w:cs="Times New Roman"/>
                <w:color w:val="auto"/>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92" w:type="dxa"/>
            <w:noWrap w:val="0"/>
            <w:vAlign w:val="center"/>
          </w:tcPr>
          <w:p>
            <w:pPr>
              <w:keepNext w:val="0"/>
              <w:keepLines w:val="0"/>
              <w:pageBreakBefore w:val="0"/>
              <w:widowControl w:val="0"/>
              <w:numPr>
                <w:ilvl w:val="0"/>
                <w:numId w:val="0"/>
              </w:numPr>
              <w:tabs>
                <w:tab w:val="left" w:pos="945"/>
                <w:tab w:val="left" w:pos="1155"/>
              </w:tabs>
              <w:kinsoku/>
              <w:wordWrap/>
              <w:overflowPunct/>
              <w:topLinePunct w:val="0"/>
              <w:autoSpaceDE/>
              <w:autoSpaceDN/>
              <w:bidi w:val="0"/>
              <w:adjustRightInd/>
              <w:snapToGrid/>
              <w:spacing w:line="390" w:lineRule="atLeast"/>
              <w:jc w:val="center"/>
              <w:textAlignment w:val="auto"/>
              <w:rPr>
                <w:rFonts w:hint="default" w:ascii="Times New Roman" w:hAnsi="Times New Roman" w:cs="Times New Roman"/>
                <w:color w:val="auto"/>
                <w:sz w:val="21"/>
                <w:szCs w:val="21"/>
                <w:highlight w:val="none"/>
                <w:lang w:val="en-US" w:eastAsia="zh-CN"/>
              </w:rPr>
            </w:pPr>
            <w:r>
              <w:rPr>
                <w:rFonts w:hint="eastAsia" w:cs="Times New Roman"/>
                <w:color w:val="auto"/>
                <w:sz w:val="21"/>
                <w:szCs w:val="21"/>
                <w:highlight w:val="none"/>
                <w:lang w:val="en-US" w:eastAsia="zh-CN"/>
              </w:rPr>
              <w:t>6</w:t>
            </w:r>
          </w:p>
        </w:tc>
        <w:tc>
          <w:tcPr>
            <w:tcW w:w="999" w:type="dxa"/>
            <w:noWrap w:val="0"/>
            <w:vAlign w:val="center"/>
          </w:tcPr>
          <w:p>
            <w:pPr>
              <w:keepNext w:val="0"/>
              <w:keepLines w:val="0"/>
              <w:pageBreakBefore w:val="0"/>
              <w:widowControl w:val="0"/>
              <w:numPr>
                <w:ilvl w:val="0"/>
                <w:numId w:val="0"/>
              </w:numPr>
              <w:tabs>
                <w:tab w:val="left" w:pos="945"/>
                <w:tab w:val="left" w:pos="1155"/>
              </w:tabs>
              <w:kinsoku/>
              <w:wordWrap/>
              <w:overflowPunct/>
              <w:topLinePunct w:val="0"/>
              <w:autoSpaceDE/>
              <w:autoSpaceDN/>
              <w:bidi w:val="0"/>
              <w:adjustRightInd/>
              <w:snapToGrid/>
              <w:spacing w:line="390" w:lineRule="atLeast"/>
              <w:jc w:val="center"/>
              <w:textAlignment w:val="auto"/>
              <w:rPr>
                <w:rFonts w:hint="eastAsia"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实施方案</w:t>
            </w:r>
          </w:p>
          <w:p>
            <w:pPr>
              <w:keepNext w:val="0"/>
              <w:keepLines w:val="0"/>
              <w:pageBreakBefore w:val="0"/>
              <w:widowControl w:val="0"/>
              <w:numPr>
                <w:ilvl w:val="0"/>
                <w:numId w:val="0"/>
              </w:numPr>
              <w:tabs>
                <w:tab w:val="left" w:pos="945"/>
                <w:tab w:val="left" w:pos="1155"/>
              </w:tabs>
              <w:kinsoku/>
              <w:wordWrap/>
              <w:overflowPunct/>
              <w:topLinePunct w:val="0"/>
              <w:autoSpaceDE/>
              <w:autoSpaceDN/>
              <w:bidi w:val="0"/>
              <w:adjustRightInd/>
              <w:snapToGrid/>
              <w:spacing w:line="390" w:lineRule="atLeast"/>
              <w:jc w:val="center"/>
              <w:textAlignment w:val="auto"/>
              <w:rPr>
                <w:rFonts w:hint="eastAsia" w:ascii="Times New Roman" w:hAnsi="Times New Roman" w:cs="Times New Roman"/>
                <w:color w:val="auto"/>
                <w:sz w:val="21"/>
                <w:szCs w:val="21"/>
                <w:highlight w:val="none"/>
                <w:lang w:val="en-US" w:eastAsia="zh-CN"/>
              </w:rPr>
            </w:pPr>
          </w:p>
        </w:tc>
        <w:tc>
          <w:tcPr>
            <w:tcW w:w="795" w:type="dxa"/>
            <w:noWrap w:val="0"/>
            <w:vAlign w:val="center"/>
          </w:tcPr>
          <w:p>
            <w:pPr>
              <w:keepNext w:val="0"/>
              <w:keepLines w:val="0"/>
              <w:pageBreakBefore w:val="0"/>
              <w:widowControl w:val="0"/>
              <w:numPr>
                <w:ilvl w:val="0"/>
                <w:numId w:val="0"/>
              </w:numPr>
              <w:tabs>
                <w:tab w:val="left" w:pos="945"/>
                <w:tab w:val="left" w:pos="1155"/>
              </w:tabs>
              <w:kinsoku/>
              <w:wordWrap/>
              <w:overflowPunct/>
              <w:topLinePunct w:val="0"/>
              <w:autoSpaceDE/>
              <w:autoSpaceDN/>
              <w:bidi w:val="0"/>
              <w:adjustRightInd/>
              <w:snapToGrid/>
              <w:spacing w:line="390" w:lineRule="atLeast"/>
              <w:jc w:val="center"/>
              <w:textAlignment w:val="auto"/>
              <w:rPr>
                <w:rFonts w:hint="default" w:ascii="Times New Roman" w:hAnsi="Times New Roman" w:cs="Times New Roman"/>
                <w:color w:val="auto"/>
                <w:sz w:val="21"/>
                <w:szCs w:val="21"/>
                <w:highlight w:val="none"/>
                <w:lang w:val="en-US" w:eastAsia="zh-CN"/>
              </w:rPr>
            </w:pPr>
            <w:r>
              <w:rPr>
                <w:rFonts w:hint="eastAsia" w:cs="Times New Roman"/>
                <w:color w:val="auto"/>
                <w:sz w:val="21"/>
                <w:szCs w:val="21"/>
                <w:highlight w:val="none"/>
                <w:lang w:val="en-US" w:eastAsia="zh-CN"/>
              </w:rPr>
              <w:t>9</w:t>
            </w:r>
          </w:p>
        </w:tc>
        <w:tc>
          <w:tcPr>
            <w:tcW w:w="6876" w:type="dxa"/>
            <w:noWrap w:val="0"/>
            <w:vAlign w:val="top"/>
          </w:tcPr>
          <w:p>
            <w:pPr>
              <w:keepNext w:val="0"/>
              <w:keepLines w:val="0"/>
              <w:pageBreakBefore w:val="0"/>
              <w:widowControl w:val="0"/>
              <w:kinsoku/>
              <w:wordWrap/>
              <w:overflowPunct/>
              <w:topLinePunct w:val="0"/>
              <w:autoSpaceDE/>
              <w:autoSpaceDN/>
              <w:bidi w:val="0"/>
              <w:adjustRightInd/>
              <w:spacing w:line="390" w:lineRule="atLeas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供货方案（</w:t>
            </w:r>
            <w:r>
              <w:rPr>
                <w:rFonts w:hint="eastAsia" w:hAnsi="宋体" w:cs="宋体"/>
                <w:color w:val="auto"/>
                <w:sz w:val="21"/>
                <w:szCs w:val="21"/>
                <w:highlight w:val="none"/>
                <w:lang w:val="en-US" w:eastAsia="zh-CN"/>
              </w:rPr>
              <w:t>3</w:t>
            </w:r>
            <w:r>
              <w:rPr>
                <w:rFonts w:hint="eastAsia" w:hAnsi="宋体" w:cs="宋体"/>
                <w:color w:val="auto"/>
                <w:sz w:val="21"/>
                <w:szCs w:val="21"/>
                <w:highlight w:val="none"/>
              </w:rPr>
              <w:t>分）投标人根据自身对项目的理解及自身情况编制供货方案</w:t>
            </w:r>
            <w:r>
              <w:rPr>
                <w:rFonts w:hint="eastAsia" w:hAnsi="宋体" w:cs="宋体"/>
                <w:color w:val="auto"/>
                <w:sz w:val="21"/>
                <w:szCs w:val="21"/>
                <w:highlight w:val="none"/>
                <w:lang w:eastAsia="zh-CN"/>
              </w:rPr>
              <w:t>；</w:t>
            </w:r>
            <w:r>
              <w:rPr>
                <w:rFonts w:hint="eastAsia" w:hAnsi="宋体" w:cs="宋体"/>
                <w:color w:val="auto"/>
                <w:sz w:val="21"/>
                <w:szCs w:val="21"/>
                <w:highlight w:val="none"/>
              </w:rPr>
              <w:t>评委根据供货方案的思路、内容、供货时效方面评分</w:t>
            </w:r>
            <w:r>
              <w:rPr>
                <w:rFonts w:hint="eastAsia" w:hAnsi="宋体" w:cs="宋体"/>
                <w:color w:val="auto"/>
                <w:sz w:val="21"/>
                <w:szCs w:val="21"/>
                <w:highlight w:val="none"/>
                <w:lang w:eastAsia="zh-CN"/>
              </w:rPr>
              <w:t>：</w:t>
            </w:r>
            <w:r>
              <w:rPr>
                <w:rFonts w:hint="eastAsia" w:hAnsi="宋体" w:cs="宋体"/>
                <w:color w:val="auto"/>
                <w:sz w:val="21"/>
                <w:szCs w:val="21"/>
                <w:highlight w:val="none"/>
              </w:rPr>
              <w:t>供货方案的思路</w:t>
            </w:r>
            <w:r>
              <w:rPr>
                <w:rFonts w:hint="eastAsia" w:hAnsi="宋体" w:cs="宋体"/>
                <w:color w:val="auto"/>
                <w:sz w:val="21"/>
                <w:szCs w:val="21"/>
                <w:highlight w:val="none"/>
                <w:lang w:val="en-US" w:eastAsia="zh-CN"/>
              </w:rPr>
              <w:t>清晰</w:t>
            </w:r>
            <w:r>
              <w:rPr>
                <w:rFonts w:hint="eastAsia" w:hAnsi="宋体" w:cs="宋体"/>
                <w:color w:val="auto"/>
                <w:sz w:val="21"/>
                <w:szCs w:val="21"/>
                <w:highlight w:val="none"/>
              </w:rPr>
              <w:t>、内容</w:t>
            </w:r>
            <w:r>
              <w:rPr>
                <w:rFonts w:hint="eastAsia" w:hAnsi="宋体" w:cs="宋体"/>
                <w:color w:val="auto"/>
                <w:sz w:val="21"/>
                <w:szCs w:val="21"/>
                <w:highlight w:val="none"/>
                <w:lang w:val="en-US" w:eastAsia="zh-CN"/>
              </w:rPr>
              <w:t>完整</w:t>
            </w:r>
            <w:r>
              <w:rPr>
                <w:rFonts w:hint="eastAsia" w:hAnsi="宋体" w:cs="宋体"/>
                <w:color w:val="auto"/>
                <w:sz w:val="21"/>
                <w:szCs w:val="21"/>
                <w:highlight w:val="none"/>
              </w:rPr>
              <w:t>、供货时效</w:t>
            </w:r>
            <w:r>
              <w:rPr>
                <w:rFonts w:hint="eastAsia" w:hAnsi="宋体" w:cs="宋体"/>
                <w:color w:val="auto"/>
                <w:sz w:val="21"/>
                <w:szCs w:val="21"/>
                <w:highlight w:val="none"/>
                <w:lang w:val="en-US" w:eastAsia="zh-CN"/>
              </w:rPr>
              <w:t>及时的，得3分；</w:t>
            </w:r>
            <w:r>
              <w:rPr>
                <w:rFonts w:hint="eastAsia" w:hAnsi="宋体" w:cs="宋体"/>
                <w:color w:val="auto"/>
                <w:sz w:val="21"/>
                <w:szCs w:val="21"/>
                <w:highlight w:val="none"/>
              </w:rPr>
              <w:t>供货方案的思路</w:t>
            </w:r>
            <w:r>
              <w:rPr>
                <w:rFonts w:hint="eastAsia" w:hAnsi="宋体" w:cs="宋体"/>
                <w:color w:val="auto"/>
                <w:sz w:val="21"/>
                <w:szCs w:val="21"/>
                <w:highlight w:val="none"/>
                <w:lang w:val="en-US" w:eastAsia="zh-CN"/>
              </w:rPr>
              <w:t>清晰</w:t>
            </w:r>
            <w:r>
              <w:rPr>
                <w:rFonts w:hint="eastAsia" w:hAnsi="宋体" w:cs="宋体"/>
                <w:color w:val="auto"/>
                <w:sz w:val="21"/>
                <w:szCs w:val="21"/>
                <w:highlight w:val="none"/>
              </w:rPr>
              <w:t>、内容</w:t>
            </w:r>
            <w:r>
              <w:rPr>
                <w:rFonts w:hint="eastAsia" w:hAnsi="宋体" w:cs="宋体"/>
                <w:color w:val="auto"/>
                <w:sz w:val="21"/>
                <w:szCs w:val="21"/>
                <w:highlight w:val="none"/>
                <w:lang w:val="en-US" w:eastAsia="zh-CN"/>
              </w:rPr>
              <w:t>完整</w:t>
            </w:r>
            <w:r>
              <w:rPr>
                <w:rFonts w:hint="eastAsia" w:hAnsi="宋体" w:cs="宋体"/>
                <w:color w:val="auto"/>
                <w:sz w:val="21"/>
                <w:szCs w:val="21"/>
                <w:highlight w:val="none"/>
              </w:rPr>
              <w:t>、供货时效</w:t>
            </w:r>
            <w:r>
              <w:rPr>
                <w:rFonts w:hint="eastAsia" w:hAnsi="宋体" w:cs="宋体"/>
                <w:color w:val="auto"/>
                <w:sz w:val="21"/>
                <w:szCs w:val="21"/>
                <w:highlight w:val="none"/>
                <w:lang w:val="en-US" w:eastAsia="zh-CN"/>
              </w:rPr>
              <w:t>较好的，</w:t>
            </w:r>
            <w:r>
              <w:rPr>
                <w:rFonts w:hint="eastAsia" w:ascii="Times New Roman" w:hAnsi="Times New Roman" w:cs="Times New Roman"/>
                <w:color w:val="auto"/>
                <w:sz w:val="21"/>
                <w:szCs w:val="21"/>
                <w:highlight w:val="none"/>
              </w:rPr>
              <w:t>得</w:t>
            </w:r>
            <w:r>
              <w:rPr>
                <w:rFonts w:hint="eastAsia" w:cs="Times New Roman"/>
                <w:color w:val="auto"/>
                <w:sz w:val="21"/>
                <w:szCs w:val="21"/>
                <w:highlight w:val="none"/>
                <w:lang w:val="en-US" w:eastAsia="zh-CN"/>
              </w:rPr>
              <w:t>2</w:t>
            </w:r>
            <w:r>
              <w:rPr>
                <w:rFonts w:hint="eastAsia" w:ascii="Times New Roman" w:hAnsi="Times New Roman" w:cs="Times New Roman"/>
                <w:color w:val="auto"/>
                <w:sz w:val="21"/>
                <w:szCs w:val="21"/>
                <w:highlight w:val="none"/>
              </w:rPr>
              <w:t>分</w:t>
            </w:r>
            <w:r>
              <w:rPr>
                <w:rFonts w:hint="eastAsia" w:hAnsi="宋体" w:cs="宋体"/>
                <w:color w:val="auto"/>
                <w:sz w:val="21"/>
                <w:szCs w:val="21"/>
                <w:highlight w:val="none"/>
                <w:lang w:eastAsia="zh-CN"/>
              </w:rPr>
              <w:t>；</w:t>
            </w:r>
            <w:r>
              <w:rPr>
                <w:rFonts w:hint="eastAsia" w:hAnsi="宋体" w:cs="宋体"/>
                <w:color w:val="auto"/>
                <w:sz w:val="21"/>
                <w:szCs w:val="21"/>
                <w:highlight w:val="none"/>
              </w:rPr>
              <w:t>供货方案的思路</w:t>
            </w:r>
            <w:r>
              <w:rPr>
                <w:rFonts w:hint="eastAsia" w:hAnsi="宋体" w:cs="宋体"/>
                <w:color w:val="auto"/>
                <w:sz w:val="21"/>
                <w:szCs w:val="21"/>
                <w:highlight w:val="none"/>
                <w:lang w:val="en-US" w:eastAsia="zh-CN"/>
              </w:rPr>
              <w:t>清晰</w:t>
            </w:r>
            <w:r>
              <w:rPr>
                <w:rFonts w:hint="eastAsia" w:hAnsi="宋体" w:cs="宋体"/>
                <w:color w:val="auto"/>
                <w:sz w:val="21"/>
                <w:szCs w:val="21"/>
                <w:highlight w:val="none"/>
              </w:rPr>
              <w:t>、内容</w:t>
            </w:r>
            <w:r>
              <w:rPr>
                <w:rFonts w:hint="eastAsia" w:hAnsi="宋体" w:cs="宋体"/>
                <w:color w:val="auto"/>
                <w:sz w:val="21"/>
                <w:szCs w:val="21"/>
                <w:highlight w:val="none"/>
                <w:lang w:val="en-US" w:eastAsia="zh-CN"/>
              </w:rPr>
              <w:t>完整</w:t>
            </w:r>
            <w:r>
              <w:rPr>
                <w:rFonts w:hint="eastAsia" w:hAnsi="宋体" w:cs="宋体"/>
                <w:color w:val="auto"/>
                <w:sz w:val="21"/>
                <w:szCs w:val="21"/>
                <w:highlight w:val="none"/>
              </w:rPr>
              <w:t>、供货时效</w:t>
            </w:r>
            <w:r>
              <w:rPr>
                <w:rFonts w:hint="eastAsia" w:ascii="Times New Roman" w:hAnsi="Times New Roman" w:cs="Times New Roman"/>
                <w:color w:val="auto"/>
                <w:sz w:val="21"/>
                <w:szCs w:val="21"/>
                <w:highlight w:val="none"/>
                <w:lang w:val="en-US" w:eastAsia="zh-CN"/>
              </w:rPr>
              <w:t>一般</w:t>
            </w:r>
            <w:r>
              <w:rPr>
                <w:rFonts w:hint="eastAsia" w:cs="Times New Roman"/>
                <w:color w:val="auto"/>
                <w:sz w:val="21"/>
                <w:szCs w:val="21"/>
                <w:highlight w:val="none"/>
                <w:lang w:val="en-US" w:eastAsia="zh-CN"/>
              </w:rPr>
              <w:t>的，</w:t>
            </w:r>
            <w:r>
              <w:rPr>
                <w:rFonts w:hint="eastAsia" w:ascii="Times New Roman" w:hAnsi="Times New Roman" w:cs="Times New Roman"/>
                <w:color w:val="auto"/>
                <w:sz w:val="21"/>
                <w:szCs w:val="21"/>
                <w:highlight w:val="none"/>
              </w:rPr>
              <w:t>得</w:t>
            </w:r>
            <w:r>
              <w:rPr>
                <w:rFonts w:hint="eastAsia" w:cs="Times New Roman"/>
                <w:color w:val="auto"/>
                <w:sz w:val="21"/>
                <w:szCs w:val="21"/>
                <w:highlight w:val="none"/>
                <w:lang w:val="en-US" w:eastAsia="zh-CN"/>
              </w:rPr>
              <w:t>1</w:t>
            </w:r>
            <w:r>
              <w:rPr>
                <w:rFonts w:hint="eastAsia" w:ascii="Times New Roman" w:hAnsi="Times New Roman" w:cs="Times New Roman"/>
                <w:color w:val="auto"/>
                <w:sz w:val="21"/>
                <w:szCs w:val="21"/>
                <w:highlight w:val="none"/>
              </w:rPr>
              <w:t>分</w:t>
            </w:r>
            <w:r>
              <w:rPr>
                <w:rFonts w:hint="eastAsia" w:ascii="Times New Roman" w:hAnsi="Times New Roman" w:cs="Times New Roman"/>
                <w:color w:val="auto"/>
                <w:sz w:val="21"/>
                <w:szCs w:val="21"/>
                <w:highlight w:val="none"/>
                <w:lang w:eastAsia="zh-CN"/>
              </w:rPr>
              <w:t>；</w:t>
            </w:r>
            <w:r>
              <w:rPr>
                <w:rFonts w:hint="eastAsia" w:ascii="Times New Roman" w:hAnsi="Times New Roman" w:cs="Times New Roman"/>
                <w:color w:val="auto"/>
                <w:sz w:val="21"/>
                <w:szCs w:val="21"/>
                <w:highlight w:val="none"/>
              </w:rPr>
              <w:t>未提供不得分。</w:t>
            </w:r>
            <w:r>
              <w:rPr>
                <w:rFonts w:hint="eastAsia" w:hAnsi="宋体" w:cs="宋体"/>
                <w:color w:val="auto"/>
                <w:sz w:val="21"/>
                <w:szCs w:val="21"/>
                <w:highlight w:val="none"/>
              </w:rPr>
              <w:br w:type="textWrapping"/>
            </w:r>
            <w:r>
              <w:rPr>
                <w:rFonts w:hAnsi="宋体" w:cs="宋体"/>
                <w:color w:val="auto"/>
                <w:sz w:val="21"/>
                <w:szCs w:val="21"/>
                <w:highlight w:val="none"/>
              </w:rPr>
              <w:t xml:space="preserve">    </w:t>
            </w:r>
            <w:r>
              <w:rPr>
                <w:rFonts w:hint="eastAsia" w:hAnsi="宋体" w:cs="宋体"/>
                <w:color w:val="auto"/>
                <w:sz w:val="21"/>
                <w:szCs w:val="21"/>
                <w:highlight w:val="none"/>
              </w:rPr>
              <w:t>保障措施（</w:t>
            </w:r>
            <w:r>
              <w:rPr>
                <w:rFonts w:hint="eastAsia" w:hAnsi="宋体" w:cs="宋体"/>
                <w:color w:val="auto"/>
                <w:sz w:val="21"/>
                <w:szCs w:val="21"/>
                <w:highlight w:val="none"/>
                <w:lang w:val="en-US" w:eastAsia="zh-CN"/>
              </w:rPr>
              <w:t>3</w:t>
            </w:r>
            <w:r>
              <w:rPr>
                <w:rFonts w:hint="eastAsia" w:hAnsi="宋体" w:cs="宋体"/>
                <w:color w:val="auto"/>
                <w:sz w:val="21"/>
                <w:szCs w:val="21"/>
                <w:highlight w:val="none"/>
              </w:rPr>
              <w:t>分）投标人根据项目及自身的情况编制保障措施方案，评委根据投标人的质量保证方案、安全文明安装方案、环境保护措施方面评分</w:t>
            </w:r>
            <w:r>
              <w:rPr>
                <w:rFonts w:hint="eastAsia" w:hAnsi="宋体" w:cs="宋体"/>
                <w:color w:val="auto"/>
                <w:sz w:val="21"/>
                <w:szCs w:val="21"/>
                <w:highlight w:val="none"/>
                <w:lang w:eastAsia="zh-CN"/>
              </w:rPr>
              <w:t>；</w:t>
            </w:r>
            <w:r>
              <w:rPr>
                <w:rFonts w:hint="eastAsia" w:hAnsi="宋体" w:cs="宋体"/>
                <w:color w:val="auto"/>
                <w:sz w:val="21"/>
                <w:szCs w:val="21"/>
                <w:highlight w:val="none"/>
              </w:rPr>
              <w:t>保障措施</w:t>
            </w:r>
            <w:r>
              <w:rPr>
                <w:rFonts w:hint="eastAsia" w:hAnsi="宋体" w:cs="宋体"/>
                <w:color w:val="auto"/>
                <w:sz w:val="21"/>
                <w:szCs w:val="21"/>
                <w:highlight w:val="none"/>
                <w:lang w:val="en-US" w:eastAsia="zh-CN"/>
              </w:rPr>
              <w:t>方案完整的，得3分；</w:t>
            </w:r>
            <w:r>
              <w:rPr>
                <w:rFonts w:hint="eastAsia" w:hAnsi="宋体" w:cs="宋体"/>
                <w:color w:val="auto"/>
                <w:sz w:val="21"/>
                <w:szCs w:val="21"/>
                <w:highlight w:val="none"/>
              </w:rPr>
              <w:t>保障措施</w:t>
            </w:r>
            <w:r>
              <w:rPr>
                <w:rFonts w:hint="eastAsia" w:hAnsi="宋体" w:cs="宋体"/>
                <w:color w:val="auto"/>
                <w:sz w:val="21"/>
                <w:szCs w:val="21"/>
                <w:highlight w:val="none"/>
                <w:lang w:val="en-US" w:eastAsia="zh-CN"/>
              </w:rPr>
              <w:t>方案较完整的</w:t>
            </w:r>
            <w:r>
              <w:rPr>
                <w:rFonts w:hint="eastAsia" w:cs="Times New Roman"/>
                <w:color w:val="auto"/>
                <w:sz w:val="21"/>
                <w:szCs w:val="21"/>
                <w:highlight w:val="none"/>
                <w:lang w:val="en-US" w:eastAsia="zh-CN"/>
              </w:rPr>
              <w:t>，</w:t>
            </w:r>
            <w:r>
              <w:rPr>
                <w:rFonts w:hint="eastAsia" w:ascii="Times New Roman" w:hAnsi="Times New Roman" w:cs="Times New Roman"/>
                <w:color w:val="auto"/>
                <w:sz w:val="21"/>
                <w:szCs w:val="21"/>
                <w:highlight w:val="none"/>
              </w:rPr>
              <w:t>得</w:t>
            </w:r>
            <w:r>
              <w:rPr>
                <w:rFonts w:hint="eastAsia" w:cs="Times New Roman"/>
                <w:color w:val="auto"/>
                <w:sz w:val="21"/>
                <w:szCs w:val="21"/>
                <w:highlight w:val="none"/>
                <w:lang w:val="en-US" w:eastAsia="zh-CN"/>
              </w:rPr>
              <w:t>2</w:t>
            </w:r>
            <w:r>
              <w:rPr>
                <w:rFonts w:hint="eastAsia" w:ascii="Times New Roman" w:hAnsi="Times New Roman" w:cs="Times New Roman"/>
                <w:color w:val="auto"/>
                <w:sz w:val="21"/>
                <w:szCs w:val="21"/>
                <w:highlight w:val="none"/>
              </w:rPr>
              <w:t>分</w:t>
            </w:r>
            <w:r>
              <w:rPr>
                <w:rFonts w:hint="eastAsia" w:hAnsi="宋体" w:cs="宋体"/>
                <w:color w:val="auto"/>
                <w:sz w:val="21"/>
                <w:szCs w:val="21"/>
                <w:highlight w:val="none"/>
                <w:lang w:eastAsia="zh-CN"/>
              </w:rPr>
              <w:t>；</w:t>
            </w:r>
            <w:r>
              <w:rPr>
                <w:rFonts w:hint="eastAsia" w:hAnsi="宋体" w:cs="宋体"/>
                <w:color w:val="auto"/>
                <w:sz w:val="21"/>
                <w:szCs w:val="21"/>
                <w:highlight w:val="none"/>
              </w:rPr>
              <w:t>保障措施</w:t>
            </w:r>
            <w:r>
              <w:rPr>
                <w:rFonts w:hint="eastAsia" w:hAnsi="宋体" w:cs="宋体"/>
                <w:color w:val="auto"/>
                <w:sz w:val="21"/>
                <w:szCs w:val="21"/>
                <w:highlight w:val="none"/>
                <w:lang w:val="en-US" w:eastAsia="zh-CN"/>
              </w:rPr>
              <w:t>方案</w:t>
            </w:r>
            <w:r>
              <w:rPr>
                <w:rFonts w:hint="eastAsia" w:ascii="Times New Roman" w:hAnsi="Times New Roman" w:cs="Times New Roman"/>
                <w:color w:val="auto"/>
                <w:sz w:val="21"/>
                <w:szCs w:val="21"/>
                <w:highlight w:val="none"/>
                <w:lang w:val="en-US" w:eastAsia="zh-CN"/>
              </w:rPr>
              <w:t>一般</w:t>
            </w:r>
            <w:r>
              <w:rPr>
                <w:rFonts w:hint="eastAsia" w:cs="Times New Roman"/>
                <w:color w:val="auto"/>
                <w:sz w:val="21"/>
                <w:szCs w:val="21"/>
                <w:highlight w:val="none"/>
                <w:lang w:val="en-US" w:eastAsia="zh-CN"/>
              </w:rPr>
              <w:t>的，</w:t>
            </w:r>
            <w:r>
              <w:rPr>
                <w:rFonts w:hint="eastAsia" w:ascii="Times New Roman" w:hAnsi="Times New Roman" w:cs="Times New Roman"/>
                <w:color w:val="auto"/>
                <w:sz w:val="21"/>
                <w:szCs w:val="21"/>
                <w:highlight w:val="none"/>
              </w:rPr>
              <w:t>得</w:t>
            </w:r>
            <w:r>
              <w:rPr>
                <w:rFonts w:hint="eastAsia" w:cs="Times New Roman"/>
                <w:color w:val="auto"/>
                <w:sz w:val="21"/>
                <w:szCs w:val="21"/>
                <w:highlight w:val="none"/>
                <w:lang w:val="en-US" w:eastAsia="zh-CN"/>
              </w:rPr>
              <w:t>1</w:t>
            </w:r>
            <w:r>
              <w:rPr>
                <w:rFonts w:hint="eastAsia" w:ascii="Times New Roman" w:hAnsi="Times New Roman" w:cs="Times New Roman"/>
                <w:color w:val="auto"/>
                <w:sz w:val="21"/>
                <w:szCs w:val="21"/>
                <w:highlight w:val="none"/>
              </w:rPr>
              <w:t>分</w:t>
            </w:r>
            <w:r>
              <w:rPr>
                <w:rFonts w:hint="eastAsia" w:ascii="Times New Roman" w:hAnsi="Times New Roman" w:cs="Times New Roman"/>
                <w:color w:val="auto"/>
                <w:sz w:val="21"/>
                <w:szCs w:val="21"/>
                <w:highlight w:val="none"/>
                <w:lang w:eastAsia="zh-CN"/>
              </w:rPr>
              <w:t>；</w:t>
            </w:r>
            <w:r>
              <w:rPr>
                <w:rFonts w:hint="eastAsia" w:ascii="Times New Roman" w:hAnsi="Times New Roman" w:cs="Times New Roman"/>
                <w:color w:val="auto"/>
                <w:sz w:val="21"/>
                <w:szCs w:val="21"/>
                <w:highlight w:val="none"/>
              </w:rPr>
              <w:t>未提供不得分。</w:t>
            </w:r>
          </w:p>
          <w:p>
            <w:pPr>
              <w:keepNext w:val="0"/>
              <w:keepLines w:val="0"/>
              <w:pageBreakBefore w:val="0"/>
              <w:widowControl w:val="0"/>
              <w:numPr>
                <w:ilvl w:val="0"/>
                <w:numId w:val="0"/>
              </w:numPr>
              <w:tabs>
                <w:tab w:val="left" w:pos="945"/>
                <w:tab w:val="left" w:pos="1155"/>
              </w:tabs>
              <w:kinsoku/>
              <w:wordWrap/>
              <w:overflowPunct/>
              <w:topLinePunct w:val="0"/>
              <w:autoSpaceDE/>
              <w:autoSpaceDN/>
              <w:bidi w:val="0"/>
              <w:adjustRightInd/>
              <w:snapToGrid/>
              <w:spacing w:line="390" w:lineRule="atLeast"/>
              <w:ind w:firstLine="420" w:firstLineChars="200"/>
              <w:textAlignment w:val="auto"/>
              <w:rPr>
                <w:rFonts w:hint="eastAsia" w:ascii="Times New Roman" w:hAnsi="Times New Roman" w:cs="Times New Roman"/>
                <w:color w:val="auto"/>
                <w:sz w:val="21"/>
                <w:szCs w:val="21"/>
                <w:highlight w:val="none"/>
                <w:lang w:val="en-US" w:eastAsia="zh-CN"/>
              </w:rPr>
            </w:pPr>
            <w:r>
              <w:rPr>
                <w:rFonts w:hint="eastAsia" w:hAnsi="宋体" w:cs="宋体"/>
                <w:color w:val="auto"/>
                <w:sz w:val="21"/>
                <w:szCs w:val="21"/>
                <w:highlight w:val="none"/>
              </w:rPr>
              <w:t>售后方案（</w:t>
            </w:r>
            <w:r>
              <w:rPr>
                <w:rFonts w:hint="eastAsia" w:hAnsi="宋体" w:cs="宋体"/>
                <w:color w:val="auto"/>
                <w:sz w:val="21"/>
                <w:szCs w:val="21"/>
                <w:highlight w:val="none"/>
                <w:lang w:val="en-US" w:eastAsia="zh-CN"/>
              </w:rPr>
              <w:t>3</w:t>
            </w:r>
            <w:r>
              <w:rPr>
                <w:rFonts w:hint="eastAsia" w:hAnsi="宋体" w:cs="宋体"/>
                <w:color w:val="auto"/>
                <w:sz w:val="21"/>
                <w:szCs w:val="21"/>
                <w:highlight w:val="none"/>
              </w:rPr>
              <w:t>分）</w:t>
            </w:r>
            <w:r>
              <w:rPr>
                <w:rFonts w:hint="eastAsia" w:ascii="宋体" w:hAnsi="宋体" w:cs="宋体"/>
                <w:color w:val="auto"/>
                <w:sz w:val="21"/>
                <w:szCs w:val="21"/>
                <w:highlight w:val="none"/>
              </w:rPr>
              <w:t>投标人根据自身情况编制售后服务方案，评委根据投标人承诺的售后服务电话、售后服务人员、售后服务反应时间、售后资金保障、物料产品准备度、售后保障措施、维修服务响应时间等服务方面评分</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售后方案完整的，</w:t>
            </w:r>
            <w:r>
              <w:rPr>
                <w:rFonts w:hint="eastAsia" w:hAnsi="宋体" w:cs="宋体"/>
                <w:color w:val="auto"/>
                <w:sz w:val="21"/>
                <w:szCs w:val="21"/>
                <w:highlight w:val="none"/>
                <w:lang w:val="en-US" w:eastAsia="zh-CN"/>
              </w:rPr>
              <w:t>得3分；</w:t>
            </w:r>
            <w:r>
              <w:rPr>
                <w:rFonts w:hint="eastAsia" w:ascii="宋体" w:hAnsi="宋体" w:cs="宋体"/>
                <w:color w:val="auto"/>
                <w:sz w:val="21"/>
                <w:szCs w:val="21"/>
                <w:highlight w:val="none"/>
                <w:lang w:val="en-US" w:eastAsia="zh-CN"/>
              </w:rPr>
              <w:t>售后方案较完整的</w:t>
            </w:r>
            <w:r>
              <w:rPr>
                <w:rFonts w:hint="eastAsia" w:cs="Times New Roman"/>
                <w:color w:val="auto"/>
                <w:sz w:val="21"/>
                <w:szCs w:val="21"/>
                <w:highlight w:val="none"/>
                <w:lang w:val="en-US" w:eastAsia="zh-CN"/>
              </w:rPr>
              <w:t>，</w:t>
            </w:r>
            <w:r>
              <w:rPr>
                <w:rFonts w:hint="eastAsia" w:ascii="Times New Roman" w:hAnsi="Times New Roman" w:cs="Times New Roman"/>
                <w:color w:val="auto"/>
                <w:sz w:val="21"/>
                <w:szCs w:val="21"/>
                <w:highlight w:val="none"/>
              </w:rPr>
              <w:t>得</w:t>
            </w:r>
            <w:r>
              <w:rPr>
                <w:rFonts w:hint="eastAsia" w:cs="Times New Roman"/>
                <w:color w:val="auto"/>
                <w:sz w:val="21"/>
                <w:szCs w:val="21"/>
                <w:highlight w:val="none"/>
                <w:lang w:val="en-US" w:eastAsia="zh-CN"/>
              </w:rPr>
              <w:t>2</w:t>
            </w:r>
            <w:r>
              <w:rPr>
                <w:rFonts w:hint="eastAsia" w:ascii="Times New Roman" w:hAnsi="Times New Roman" w:cs="Times New Roman"/>
                <w:color w:val="auto"/>
                <w:sz w:val="21"/>
                <w:szCs w:val="21"/>
                <w:highlight w:val="none"/>
              </w:rPr>
              <w:t>分</w:t>
            </w:r>
            <w:r>
              <w:rPr>
                <w:rFonts w:hint="eastAsia" w:hAnsi="宋体" w:cs="宋体"/>
                <w:color w:val="auto"/>
                <w:sz w:val="21"/>
                <w:szCs w:val="21"/>
                <w:highlight w:val="none"/>
                <w:lang w:eastAsia="zh-CN"/>
              </w:rPr>
              <w:t>；</w:t>
            </w:r>
            <w:r>
              <w:rPr>
                <w:rFonts w:hint="eastAsia" w:ascii="宋体" w:hAnsi="宋体" w:cs="宋体"/>
                <w:color w:val="auto"/>
                <w:sz w:val="21"/>
                <w:szCs w:val="21"/>
                <w:highlight w:val="none"/>
                <w:lang w:val="en-US" w:eastAsia="zh-CN"/>
              </w:rPr>
              <w:t>售后方案</w:t>
            </w:r>
            <w:r>
              <w:rPr>
                <w:rFonts w:hint="eastAsia" w:ascii="Times New Roman" w:hAnsi="Times New Roman" w:cs="Times New Roman"/>
                <w:color w:val="auto"/>
                <w:sz w:val="21"/>
                <w:szCs w:val="21"/>
                <w:highlight w:val="none"/>
                <w:lang w:val="en-US" w:eastAsia="zh-CN"/>
              </w:rPr>
              <w:t>一般</w:t>
            </w:r>
            <w:r>
              <w:rPr>
                <w:rFonts w:hint="eastAsia" w:cs="Times New Roman"/>
                <w:color w:val="auto"/>
                <w:sz w:val="21"/>
                <w:szCs w:val="21"/>
                <w:highlight w:val="none"/>
                <w:lang w:val="en-US" w:eastAsia="zh-CN"/>
              </w:rPr>
              <w:t>的，</w:t>
            </w:r>
            <w:r>
              <w:rPr>
                <w:rFonts w:hint="eastAsia" w:ascii="Times New Roman" w:hAnsi="Times New Roman" w:cs="Times New Roman"/>
                <w:color w:val="auto"/>
                <w:sz w:val="21"/>
                <w:szCs w:val="21"/>
                <w:highlight w:val="none"/>
              </w:rPr>
              <w:t>得</w:t>
            </w:r>
            <w:r>
              <w:rPr>
                <w:rFonts w:hint="eastAsia" w:cs="Times New Roman"/>
                <w:color w:val="auto"/>
                <w:sz w:val="21"/>
                <w:szCs w:val="21"/>
                <w:highlight w:val="none"/>
                <w:lang w:val="en-US" w:eastAsia="zh-CN"/>
              </w:rPr>
              <w:t>1</w:t>
            </w:r>
            <w:r>
              <w:rPr>
                <w:rFonts w:hint="eastAsia" w:ascii="Times New Roman" w:hAnsi="Times New Roman" w:cs="Times New Roman"/>
                <w:color w:val="auto"/>
                <w:sz w:val="21"/>
                <w:szCs w:val="21"/>
                <w:highlight w:val="none"/>
              </w:rPr>
              <w:t>分</w:t>
            </w:r>
            <w:r>
              <w:rPr>
                <w:rFonts w:hint="eastAsia" w:ascii="Times New Roman" w:hAnsi="Times New Roman" w:cs="Times New Roman"/>
                <w:color w:val="auto"/>
                <w:sz w:val="21"/>
                <w:szCs w:val="21"/>
                <w:highlight w:val="none"/>
                <w:lang w:eastAsia="zh-CN"/>
              </w:rPr>
              <w:t>；</w:t>
            </w:r>
            <w:r>
              <w:rPr>
                <w:rFonts w:hint="eastAsia" w:ascii="Times New Roman" w:hAnsi="Times New Roman" w:cs="Times New Roman"/>
                <w:color w:val="auto"/>
                <w:sz w:val="21"/>
                <w:szCs w:val="21"/>
                <w:highlight w:val="none"/>
              </w:rPr>
              <w:t>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2" w:type="dxa"/>
            <w:noWrap w:val="0"/>
            <w:vAlign w:val="center"/>
          </w:tcPr>
          <w:p>
            <w:pPr>
              <w:keepNext w:val="0"/>
              <w:keepLines w:val="0"/>
              <w:pageBreakBefore w:val="0"/>
              <w:widowControl w:val="0"/>
              <w:kinsoku/>
              <w:wordWrap/>
              <w:overflowPunct/>
              <w:topLinePunct w:val="0"/>
              <w:autoSpaceDE/>
              <w:autoSpaceDN/>
              <w:bidi w:val="0"/>
              <w:adjustRightInd/>
              <w:snapToGrid/>
              <w:spacing w:line="390" w:lineRule="atLeast"/>
              <w:jc w:val="center"/>
              <w:textAlignment w:val="auto"/>
              <w:rPr>
                <w:rFonts w:hint="eastAsia" w:ascii="宋体" w:hAnsi="宋体" w:cs="宋体"/>
                <w:color w:val="auto"/>
                <w:kern w:val="2"/>
                <w:sz w:val="21"/>
                <w:szCs w:val="21"/>
                <w:highlight w:val="none"/>
                <w:lang w:val="en-US" w:eastAsia="zh-CN" w:bidi="ar-SA"/>
              </w:rPr>
            </w:pPr>
          </w:p>
        </w:tc>
        <w:tc>
          <w:tcPr>
            <w:tcW w:w="999" w:type="dxa"/>
            <w:noWrap w:val="0"/>
            <w:vAlign w:val="center"/>
          </w:tcPr>
          <w:p>
            <w:pPr>
              <w:keepNext w:val="0"/>
              <w:keepLines w:val="0"/>
              <w:pageBreakBefore w:val="0"/>
              <w:widowControl w:val="0"/>
              <w:tabs>
                <w:tab w:val="left" w:pos="945"/>
                <w:tab w:val="left" w:pos="1155"/>
              </w:tabs>
              <w:kinsoku/>
              <w:wordWrap/>
              <w:overflowPunct/>
              <w:topLinePunct w:val="0"/>
              <w:autoSpaceDE/>
              <w:autoSpaceDN/>
              <w:bidi w:val="0"/>
              <w:adjustRightInd/>
              <w:spacing w:line="390" w:lineRule="atLeast"/>
              <w:jc w:val="center"/>
              <w:textAlignment w:val="auto"/>
              <w:rPr>
                <w:rFonts w:hint="eastAsia" w:ascii="Times New Roman" w:hAnsi="宋体" w:eastAsia="宋体" w:cs="宋体"/>
                <w:b/>
                <w:bCs/>
                <w:color w:val="auto"/>
                <w:kern w:val="2"/>
                <w:sz w:val="21"/>
                <w:szCs w:val="21"/>
                <w:highlight w:val="none"/>
                <w:lang w:val="en-US" w:eastAsia="zh-CN" w:bidi="ar-SA"/>
              </w:rPr>
            </w:pPr>
            <w:r>
              <w:rPr>
                <w:rFonts w:hint="eastAsia" w:ascii="Times New Roman" w:hAnsi="宋体" w:eastAsia="宋体" w:cs="宋体"/>
                <w:b w:val="0"/>
                <w:bCs w:val="0"/>
                <w:color w:val="auto"/>
                <w:sz w:val="21"/>
                <w:szCs w:val="21"/>
                <w:highlight w:val="none"/>
              </w:rPr>
              <w:t>质保期</w:t>
            </w:r>
          </w:p>
        </w:tc>
        <w:tc>
          <w:tcPr>
            <w:tcW w:w="795" w:type="dxa"/>
            <w:noWrap w:val="0"/>
            <w:vAlign w:val="center"/>
          </w:tcPr>
          <w:p>
            <w:pPr>
              <w:keepNext w:val="0"/>
              <w:keepLines w:val="0"/>
              <w:pageBreakBefore w:val="0"/>
              <w:widowControl w:val="0"/>
              <w:tabs>
                <w:tab w:val="left" w:pos="945"/>
                <w:tab w:val="left" w:pos="1155"/>
              </w:tabs>
              <w:kinsoku/>
              <w:wordWrap/>
              <w:overflowPunct/>
              <w:topLinePunct w:val="0"/>
              <w:autoSpaceDE/>
              <w:autoSpaceDN/>
              <w:bidi w:val="0"/>
              <w:adjustRightInd/>
              <w:spacing w:line="390" w:lineRule="atLeast"/>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color w:val="auto"/>
                <w:sz w:val="21"/>
                <w:szCs w:val="21"/>
                <w:highlight w:val="none"/>
                <w:lang w:val="en-US" w:eastAsia="zh-CN"/>
              </w:rPr>
              <w:t>1</w:t>
            </w:r>
          </w:p>
        </w:tc>
        <w:tc>
          <w:tcPr>
            <w:tcW w:w="6876" w:type="dxa"/>
            <w:noWrap w:val="0"/>
            <w:vAlign w:val="top"/>
          </w:tcPr>
          <w:p>
            <w:pPr>
              <w:keepNext w:val="0"/>
              <w:keepLines w:val="0"/>
              <w:pageBreakBefore w:val="0"/>
              <w:widowControl w:val="0"/>
              <w:kinsoku/>
              <w:wordWrap/>
              <w:overflowPunct/>
              <w:topLinePunct w:val="0"/>
              <w:autoSpaceDE/>
              <w:autoSpaceDN/>
              <w:bidi w:val="0"/>
              <w:adjustRightInd/>
              <w:spacing w:line="390" w:lineRule="atLeast"/>
              <w:ind w:firstLine="420" w:firstLineChars="200"/>
              <w:textAlignment w:val="auto"/>
              <w:rPr>
                <w:rFonts w:hint="eastAsia" w:ascii="Times New Roman" w:hAnsi="宋体" w:eastAsia="宋体" w:cs="宋体"/>
                <w:color w:val="auto"/>
                <w:kern w:val="2"/>
                <w:sz w:val="21"/>
                <w:szCs w:val="21"/>
                <w:highlight w:val="none"/>
                <w:lang w:val="en-US" w:eastAsia="zh-CN" w:bidi="ar-SA"/>
              </w:rPr>
            </w:pPr>
            <w:r>
              <w:rPr>
                <w:rFonts w:hint="eastAsia" w:ascii="Times New Roman" w:hAnsi="宋体" w:eastAsia="宋体" w:cs="宋体"/>
                <w:color w:val="auto"/>
                <w:sz w:val="21"/>
                <w:szCs w:val="21"/>
                <w:highlight w:val="none"/>
              </w:rPr>
              <w:t>项目整体免费：在满足招标文件基础上，每增加一年加</w:t>
            </w:r>
            <w:r>
              <w:rPr>
                <w:rFonts w:hint="eastAsia" w:hAnsi="宋体" w:cs="宋体"/>
                <w:color w:val="auto"/>
                <w:sz w:val="21"/>
                <w:szCs w:val="21"/>
                <w:highlight w:val="none"/>
                <w:lang w:val="en-US" w:eastAsia="zh-CN"/>
              </w:rPr>
              <w:t>0.5</w:t>
            </w:r>
            <w:r>
              <w:rPr>
                <w:rFonts w:hint="eastAsia" w:ascii="Times New Roman" w:hAnsi="宋体" w:eastAsia="宋体" w:cs="宋体"/>
                <w:color w:val="auto"/>
                <w:sz w:val="21"/>
                <w:szCs w:val="21"/>
                <w:highlight w:val="none"/>
              </w:rPr>
              <w:t>分，最高</w:t>
            </w:r>
            <w:r>
              <w:rPr>
                <w:rFonts w:hint="eastAsia" w:hAnsi="宋体" w:cs="宋体"/>
                <w:color w:val="auto"/>
                <w:sz w:val="21"/>
                <w:szCs w:val="21"/>
                <w:highlight w:val="none"/>
                <w:lang w:val="en-US" w:eastAsia="zh-CN"/>
              </w:rPr>
              <w:t>得1</w:t>
            </w:r>
            <w:r>
              <w:rPr>
                <w:rFonts w:hint="eastAsia" w:ascii="Times New Roman" w:hAnsi="宋体" w:eastAsia="宋体" w:cs="宋体"/>
                <w:color w:val="auto"/>
                <w:sz w:val="21"/>
                <w:szCs w:val="21"/>
                <w:highlight w:val="none"/>
              </w:rPr>
              <w:t>分。</w:t>
            </w:r>
          </w:p>
        </w:tc>
      </w:tr>
    </w:tbl>
    <w:p>
      <w:pPr>
        <w:keepNext/>
        <w:keepLines/>
        <w:pageBreakBefore w:val="0"/>
        <w:widowControl w:val="0"/>
        <w:numPr>
          <w:ilvl w:val="2"/>
          <w:numId w:val="0"/>
        </w:numPr>
        <w:tabs>
          <w:tab w:val="left" w:pos="0"/>
        </w:tabs>
        <w:kinsoku/>
        <w:overflowPunct/>
        <w:topLinePunct w:val="0"/>
        <w:autoSpaceDE/>
        <w:autoSpaceDN/>
        <w:bidi w:val="0"/>
        <w:adjustRightInd/>
        <w:spacing w:line="390" w:lineRule="exact"/>
        <w:textAlignment w:val="auto"/>
        <w:rPr>
          <w:rFonts w:ascii="宋体" w:hAnsi="宋体" w:cs="宋体"/>
          <w:color w:val="auto"/>
          <w:sz w:val="21"/>
          <w:szCs w:val="21"/>
          <w:highlight w:val="none"/>
        </w:rPr>
      </w:pPr>
      <w:r>
        <w:rPr>
          <w:rFonts w:hint="eastAsia" w:ascii="宋体" w:hAnsi="宋体" w:cs="宋体"/>
          <w:color w:val="auto"/>
          <w:sz w:val="21"/>
          <w:szCs w:val="21"/>
          <w:highlight w:val="none"/>
        </w:rPr>
        <w:t>注：</w:t>
      </w:r>
    </w:p>
    <w:p>
      <w:pPr>
        <w:keepNext/>
        <w:keepLines/>
        <w:pageBreakBefore w:val="0"/>
        <w:widowControl w:val="0"/>
        <w:numPr>
          <w:ilvl w:val="0"/>
          <w:numId w:val="3"/>
        </w:numPr>
        <w:tabs>
          <w:tab w:val="left" w:pos="0"/>
        </w:tabs>
        <w:kinsoku/>
        <w:overflowPunct/>
        <w:topLinePunct w:val="0"/>
        <w:autoSpaceDE/>
        <w:autoSpaceDN/>
        <w:bidi w:val="0"/>
        <w:adjustRightInd/>
        <w:spacing w:line="39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评分细则中要求提供的证明文件及资料的复印件均需加盖</w:t>
      </w:r>
      <w:r>
        <w:rPr>
          <w:rFonts w:hint="eastAsia" w:ascii="宋体" w:hAnsi="宋体" w:cs="宋体"/>
          <w:color w:val="auto"/>
          <w:sz w:val="21"/>
          <w:szCs w:val="21"/>
          <w:highlight w:val="none"/>
          <w:lang w:eastAsia="zh-CN"/>
        </w:rPr>
        <w:t>响应人</w:t>
      </w:r>
      <w:r>
        <w:rPr>
          <w:rFonts w:hint="eastAsia" w:ascii="宋体" w:hAnsi="宋体" w:cs="宋体"/>
          <w:color w:val="auto"/>
          <w:sz w:val="21"/>
          <w:szCs w:val="21"/>
          <w:highlight w:val="none"/>
        </w:rPr>
        <w:t>公章并装订在响应文件中；</w:t>
      </w:r>
    </w:p>
    <w:p>
      <w:pPr>
        <w:keepNext/>
        <w:keepLines/>
        <w:pageBreakBefore w:val="0"/>
        <w:widowControl w:val="0"/>
        <w:numPr>
          <w:ilvl w:val="0"/>
          <w:numId w:val="3"/>
        </w:numPr>
        <w:tabs>
          <w:tab w:val="left" w:pos="0"/>
        </w:tabs>
        <w:kinsoku/>
        <w:overflowPunct/>
        <w:topLinePunct w:val="0"/>
        <w:autoSpaceDE/>
        <w:autoSpaceDN/>
        <w:bidi w:val="0"/>
        <w:adjustRightInd/>
        <w:spacing w:line="39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评分细则中要求“原件核查”的须在投标截止前将相关原件或公证件，随同响应文件一并提交以供评委会核查，过时不予接收。</w:t>
      </w:r>
    </w:p>
    <w:p>
      <w:pPr>
        <w:pageBreakBefore w:val="0"/>
        <w:widowControl w:val="0"/>
        <w:tabs>
          <w:tab w:val="left" w:pos="5940"/>
        </w:tabs>
        <w:kinsoku/>
        <w:overflowPunct/>
        <w:topLinePunct w:val="0"/>
        <w:autoSpaceDE/>
        <w:autoSpaceDN/>
        <w:bidi w:val="0"/>
        <w:adjustRightInd/>
        <w:snapToGrid w:val="0"/>
        <w:spacing w:line="390" w:lineRule="exact"/>
        <w:ind w:firstLine="420" w:firstLineChars="200"/>
        <w:jc w:val="left"/>
        <w:textAlignment w:val="auto"/>
        <w:rPr>
          <w:rFonts w:ascii="宋体" w:hAnsi="宋体" w:cs="宋体"/>
          <w:color w:val="auto"/>
          <w:sz w:val="21"/>
          <w:szCs w:val="21"/>
          <w:highlight w:val="none"/>
        </w:rPr>
      </w:pPr>
      <w:r>
        <w:rPr>
          <w:rFonts w:hint="eastAsia" w:ascii="宋体" w:hAnsi="宋体" w:cs="宋体"/>
          <w:bCs/>
          <w:color w:val="auto"/>
          <w:sz w:val="21"/>
          <w:szCs w:val="21"/>
          <w:highlight w:val="none"/>
        </w:rPr>
        <w:t>3、为便于评分，请</w:t>
      </w:r>
      <w:r>
        <w:rPr>
          <w:rFonts w:hint="eastAsia" w:ascii="宋体" w:hAnsi="宋体" w:cs="宋体"/>
          <w:bCs/>
          <w:color w:val="auto"/>
          <w:sz w:val="21"/>
          <w:szCs w:val="21"/>
          <w:highlight w:val="none"/>
          <w:lang w:eastAsia="zh-CN"/>
        </w:rPr>
        <w:t>响应人</w:t>
      </w:r>
      <w:r>
        <w:rPr>
          <w:rFonts w:hint="eastAsia" w:ascii="宋体" w:hAnsi="宋体" w:cs="宋体"/>
          <w:bCs/>
          <w:color w:val="auto"/>
          <w:sz w:val="21"/>
          <w:szCs w:val="21"/>
          <w:highlight w:val="none"/>
        </w:rPr>
        <w:t>按评分表样式，逐条列出证明材料所在页码，格式自定。</w:t>
      </w:r>
    </w:p>
    <w:p>
      <w:pPr>
        <w:pageBreakBefore w:val="0"/>
        <w:widowControl w:val="0"/>
        <w:kinsoku/>
        <w:overflowPunct/>
        <w:topLinePunct w:val="0"/>
        <w:autoSpaceDE/>
        <w:autoSpaceDN/>
        <w:bidi w:val="0"/>
        <w:adjustRightInd/>
        <w:spacing w:line="390" w:lineRule="exact"/>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针对评分要求</w:t>
      </w:r>
      <w:r>
        <w:rPr>
          <w:rFonts w:hint="eastAsia" w:ascii="宋体" w:hAnsi="宋体" w:cs="宋体"/>
          <w:color w:val="auto"/>
          <w:sz w:val="21"/>
          <w:szCs w:val="21"/>
          <w:highlight w:val="none"/>
          <w:lang w:eastAsia="zh-CN"/>
        </w:rPr>
        <w:t>响应人</w:t>
      </w:r>
      <w:r>
        <w:rPr>
          <w:rFonts w:hint="eastAsia" w:ascii="宋体" w:hAnsi="宋体" w:cs="宋体"/>
          <w:color w:val="auto"/>
          <w:sz w:val="21"/>
          <w:szCs w:val="21"/>
          <w:highlight w:val="none"/>
        </w:rPr>
        <w:t>须提供如下表：</w:t>
      </w:r>
    </w:p>
    <w:tbl>
      <w:tblPr>
        <w:tblStyle w:val="24"/>
        <w:tblW w:w="925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42"/>
        <w:gridCol w:w="4806"/>
        <w:gridCol w:w="36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4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color w:val="auto"/>
                <w:sz w:val="21"/>
                <w:szCs w:val="21"/>
                <w:highlight w:val="none"/>
              </w:rPr>
            </w:pPr>
            <w:r>
              <w:rPr>
                <w:rFonts w:hint="eastAsia" w:ascii="宋体" w:hAnsi="宋体" w:cs="宋体"/>
                <w:color w:val="auto"/>
                <w:sz w:val="21"/>
                <w:szCs w:val="21"/>
                <w:highlight w:val="none"/>
              </w:rPr>
              <w:t>序号</w:t>
            </w:r>
          </w:p>
        </w:tc>
        <w:tc>
          <w:tcPr>
            <w:tcW w:w="480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color w:val="auto"/>
                <w:sz w:val="21"/>
                <w:szCs w:val="21"/>
                <w:highlight w:val="none"/>
              </w:rPr>
            </w:pPr>
            <w:r>
              <w:rPr>
                <w:rFonts w:hint="eastAsia" w:ascii="宋体" w:hAnsi="宋体" w:cs="宋体"/>
                <w:color w:val="auto"/>
                <w:sz w:val="21"/>
                <w:szCs w:val="21"/>
                <w:highlight w:val="none"/>
              </w:rPr>
              <w:t>内    容</w:t>
            </w:r>
          </w:p>
        </w:tc>
        <w:tc>
          <w:tcPr>
            <w:tcW w:w="360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color w:val="auto"/>
                <w:sz w:val="21"/>
                <w:szCs w:val="21"/>
                <w:highlight w:val="none"/>
              </w:rPr>
            </w:pPr>
            <w:r>
              <w:rPr>
                <w:rFonts w:hint="eastAsia" w:ascii="宋体" w:hAnsi="宋体" w:cs="宋体"/>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4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color w:val="auto"/>
                <w:sz w:val="21"/>
                <w:szCs w:val="21"/>
                <w:highlight w:val="none"/>
              </w:rPr>
            </w:pPr>
            <w:r>
              <w:rPr>
                <w:rFonts w:hint="eastAsia" w:ascii="宋体" w:hAnsi="宋体" w:cs="宋体"/>
                <w:color w:val="auto"/>
                <w:sz w:val="21"/>
                <w:szCs w:val="21"/>
                <w:highlight w:val="none"/>
              </w:rPr>
              <w:t>1</w:t>
            </w:r>
          </w:p>
        </w:tc>
        <w:tc>
          <w:tcPr>
            <w:tcW w:w="480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color w:val="auto"/>
                <w:sz w:val="21"/>
                <w:szCs w:val="21"/>
                <w:highlight w:val="none"/>
              </w:rPr>
            </w:pPr>
          </w:p>
        </w:tc>
        <w:tc>
          <w:tcPr>
            <w:tcW w:w="360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color w:val="auto"/>
                <w:sz w:val="21"/>
                <w:szCs w:val="21"/>
                <w:highlight w:val="none"/>
              </w:rPr>
            </w:pPr>
            <w:r>
              <w:rPr>
                <w:rFonts w:hint="eastAsia" w:ascii="宋体" w:hAnsi="宋体" w:cs="宋体"/>
                <w:color w:val="auto"/>
                <w:sz w:val="21"/>
                <w:szCs w:val="21"/>
                <w:highlight w:val="none"/>
              </w:rPr>
              <w:t>见响应文件        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4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color w:val="auto"/>
                <w:sz w:val="21"/>
                <w:szCs w:val="21"/>
                <w:highlight w:val="none"/>
              </w:rPr>
            </w:pPr>
            <w:r>
              <w:rPr>
                <w:rFonts w:hint="eastAsia" w:ascii="宋体" w:hAnsi="宋体" w:cs="宋体"/>
                <w:color w:val="auto"/>
                <w:sz w:val="21"/>
                <w:szCs w:val="21"/>
                <w:highlight w:val="none"/>
              </w:rPr>
              <w:t>2</w:t>
            </w:r>
          </w:p>
        </w:tc>
        <w:tc>
          <w:tcPr>
            <w:tcW w:w="480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color w:val="auto"/>
                <w:sz w:val="21"/>
                <w:szCs w:val="21"/>
                <w:highlight w:val="none"/>
              </w:rPr>
            </w:pPr>
          </w:p>
        </w:tc>
        <w:tc>
          <w:tcPr>
            <w:tcW w:w="360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color w:val="auto"/>
                <w:sz w:val="21"/>
                <w:szCs w:val="21"/>
                <w:highlight w:val="none"/>
              </w:rPr>
            </w:pPr>
            <w:r>
              <w:rPr>
                <w:rFonts w:hint="eastAsia" w:ascii="宋体" w:hAnsi="宋体" w:cs="宋体"/>
                <w:color w:val="auto"/>
                <w:sz w:val="21"/>
                <w:szCs w:val="21"/>
                <w:highlight w:val="none"/>
              </w:rPr>
              <w:t>见响应文件        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4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color w:val="auto"/>
                <w:sz w:val="21"/>
                <w:szCs w:val="21"/>
                <w:highlight w:val="none"/>
              </w:rPr>
            </w:pPr>
            <w:r>
              <w:rPr>
                <w:rFonts w:hint="eastAsia" w:ascii="宋体" w:hAnsi="宋体" w:cs="宋体"/>
                <w:color w:val="auto"/>
                <w:sz w:val="21"/>
                <w:szCs w:val="21"/>
                <w:highlight w:val="none"/>
              </w:rPr>
              <w:t>3</w:t>
            </w:r>
          </w:p>
        </w:tc>
        <w:tc>
          <w:tcPr>
            <w:tcW w:w="480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color w:val="auto"/>
                <w:sz w:val="21"/>
                <w:szCs w:val="21"/>
                <w:highlight w:val="none"/>
              </w:rPr>
            </w:pPr>
          </w:p>
        </w:tc>
        <w:tc>
          <w:tcPr>
            <w:tcW w:w="360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color w:val="auto"/>
                <w:sz w:val="21"/>
                <w:szCs w:val="21"/>
                <w:highlight w:val="none"/>
              </w:rPr>
            </w:pPr>
            <w:r>
              <w:rPr>
                <w:rFonts w:hint="eastAsia" w:ascii="宋体" w:hAnsi="宋体" w:cs="宋体"/>
                <w:color w:val="auto"/>
                <w:sz w:val="21"/>
                <w:szCs w:val="21"/>
                <w:highlight w:val="none"/>
              </w:rPr>
              <w:t>见响应文件        页</w:t>
            </w:r>
          </w:p>
        </w:tc>
      </w:tr>
    </w:tbl>
    <w:p>
      <w:pPr>
        <w:pageBreakBefore w:val="0"/>
        <w:widowControl w:val="0"/>
        <w:kinsoku/>
        <w:overflowPunct/>
        <w:topLinePunct w:val="0"/>
        <w:autoSpaceDE/>
        <w:autoSpaceDN/>
        <w:bidi w:val="0"/>
        <w:adjustRightInd/>
        <w:spacing w:line="390" w:lineRule="exact"/>
        <w:jc w:val="center"/>
        <w:textAlignment w:val="auto"/>
        <w:rPr>
          <w:rFonts w:ascii="宋体" w:hAnsi="宋体" w:cs="宋体"/>
          <w:b/>
          <w:bCs/>
          <w:color w:val="auto"/>
          <w:sz w:val="32"/>
          <w:szCs w:val="32"/>
          <w:highlight w:val="none"/>
        </w:rPr>
      </w:pPr>
      <w:r>
        <w:rPr>
          <w:rFonts w:hint="eastAsia" w:ascii="宋体" w:hAnsi="宋体" w:cs="宋体"/>
          <w:b/>
          <w:bCs/>
          <w:color w:val="auto"/>
          <w:sz w:val="32"/>
          <w:szCs w:val="32"/>
          <w:highlight w:val="none"/>
        </w:rPr>
        <w:br w:type="page"/>
      </w:r>
      <w:r>
        <w:rPr>
          <w:rFonts w:hint="eastAsia" w:ascii="宋体" w:hAnsi="宋体" w:eastAsia="宋体" w:cs="宋体"/>
          <w:b/>
          <w:bCs/>
          <w:i w:val="0"/>
          <w:color w:val="auto"/>
          <w:kern w:val="0"/>
          <w:sz w:val="28"/>
          <w:szCs w:val="28"/>
          <w:highlight w:val="none"/>
          <w:u w:val="none"/>
          <w:lang w:val="en-US" w:eastAsia="zh-CN" w:bidi="ar"/>
        </w:rPr>
        <w:t>样品清单</w:t>
      </w:r>
    </w:p>
    <w:tbl>
      <w:tblPr>
        <w:tblStyle w:val="24"/>
        <w:tblW w:w="10294" w:type="dxa"/>
        <w:jc w:val="center"/>
        <w:tblLayout w:type="fixed"/>
        <w:tblCellMar>
          <w:top w:w="0" w:type="dxa"/>
          <w:left w:w="0" w:type="dxa"/>
          <w:bottom w:w="0" w:type="dxa"/>
          <w:right w:w="0" w:type="dxa"/>
        </w:tblCellMar>
      </w:tblPr>
      <w:tblGrid>
        <w:gridCol w:w="630"/>
        <w:gridCol w:w="930"/>
        <w:gridCol w:w="1190"/>
        <w:gridCol w:w="915"/>
        <w:gridCol w:w="5318"/>
        <w:gridCol w:w="655"/>
        <w:gridCol w:w="656"/>
      </w:tblGrid>
      <w:tr>
        <w:tblPrEx>
          <w:tblCellMar>
            <w:top w:w="0" w:type="dxa"/>
            <w:left w:w="0" w:type="dxa"/>
            <w:bottom w:w="0" w:type="dxa"/>
            <w:right w:w="0" w:type="dxa"/>
          </w:tblCellMar>
        </w:tblPrEx>
        <w:trPr>
          <w:trHeight w:val="567" w:hRule="atLeast"/>
          <w:jc w:val="center"/>
        </w:trPr>
        <w:tc>
          <w:tcPr>
            <w:tcW w:w="630" w:type="dxa"/>
            <w:tcBorders>
              <w:top w:val="single" w:color="000000" w:sz="4" w:space="0"/>
              <w:left w:val="single" w:color="000000" w:sz="4" w:space="0"/>
              <w:bottom w:val="single" w:color="000000" w:sz="4" w:space="0"/>
              <w:right w:val="single" w:color="000000" w:sz="4" w:space="0"/>
            </w:tcBorders>
            <w:shd w:val="clear" w:color="auto" w:fill="9BC2E6"/>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highlight w:val="none"/>
                <w:u w:val="none"/>
              </w:rPr>
            </w:pPr>
            <w:r>
              <w:rPr>
                <w:rFonts w:hint="eastAsia" w:ascii="宋体" w:hAnsi="宋体" w:eastAsia="宋体" w:cs="宋体"/>
                <w:b/>
                <w:i w:val="0"/>
                <w:color w:val="auto"/>
                <w:kern w:val="0"/>
                <w:sz w:val="21"/>
                <w:szCs w:val="21"/>
                <w:highlight w:val="none"/>
                <w:u w:val="none"/>
                <w:lang w:val="en-US" w:eastAsia="zh-CN" w:bidi="ar"/>
              </w:rPr>
              <w:t>序号</w:t>
            </w:r>
          </w:p>
        </w:tc>
        <w:tc>
          <w:tcPr>
            <w:tcW w:w="930" w:type="dxa"/>
            <w:tcBorders>
              <w:top w:val="single" w:color="000000" w:sz="4" w:space="0"/>
              <w:left w:val="single" w:color="000000" w:sz="4" w:space="0"/>
              <w:bottom w:val="single" w:color="000000" w:sz="4" w:space="0"/>
              <w:right w:val="single" w:color="000000" w:sz="4" w:space="0"/>
            </w:tcBorders>
            <w:shd w:val="clear" w:color="auto" w:fill="9BC2E6"/>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highlight w:val="none"/>
                <w:u w:val="none"/>
              </w:rPr>
            </w:pPr>
            <w:r>
              <w:rPr>
                <w:rFonts w:hint="eastAsia" w:ascii="宋体" w:hAnsi="宋体" w:eastAsia="宋体" w:cs="宋体"/>
                <w:b/>
                <w:i w:val="0"/>
                <w:color w:val="auto"/>
                <w:kern w:val="0"/>
                <w:sz w:val="21"/>
                <w:szCs w:val="21"/>
                <w:highlight w:val="none"/>
                <w:u w:val="none"/>
                <w:lang w:val="en-US" w:eastAsia="zh-CN" w:bidi="ar"/>
              </w:rPr>
              <w:t>产品名称</w:t>
            </w:r>
          </w:p>
        </w:tc>
        <w:tc>
          <w:tcPr>
            <w:tcW w:w="1190" w:type="dxa"/>
            <w:tcBorders>
              <w:top w:val="single" w:color="000000" w:sz="4" w:space="0"/>
              <w:left w:val="single" w:color="000000" w:sz="4" w:space="0"/>
              <w:bottom w:val="single" w:color="000000" w:sz="4" w:space="0"/>
              <w:right w:val="single" w:color="000000" w:sz="4" w:space="0"/>
            </w:tcBorders>
            <w:shd w:val="clear" w:color="auto" w:fill="9BC2E6"/>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highlight w:val="none"/>
                <w:u w:val="none"/>
              </w:rPr>
            </w:pPr>
            <w:r>
              <w:rPr>
                <w:rFonts w:hint="eastAsia" w:ascii="宋体" w:hAnsi="宋体" w:eastAsia="宋体" w:cs="宋体"/>
                <w:b/>
                <w:i w:val="0"/>
                <w:color w:val="auto"/>
                <w:kern w:val="0"/>
                <w:sz w:val="21"/>
                <w:szCs w:val="21"/>
                <w:highlight w:val="none"/>
                <w:u w:val="none"/>
                <w:lang w:val="en-US" w:eastAsia="zh-CN" w:bidi="ar"/>
              </w:rPr>
              <w:t>图片</w:t>
            </w:r>
          </w:p>
        </w:tc>
        <w:tc>
          <w:tcPr>
            <w:tcW w:w="915" w:type="dxa"/>
            <w:tcBorders>
              <w:top w:val="single" w:color="000000" w:sz="4" w:space="0"/>
              <w:left w:val="single" w:color="000000" w:sz="4" w:space="0"/>
              <w:bottom w:val="single" w:color="000000" w:sz="4" w:space="0"/>
              <w:right w:val="single" w:color="000000" w:sz="4" w:space="0"/>
            </w:tcBorders>
            <w:shd w:val="clear" w:color="auto" w:fill="9BC2E6"/>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highlight w:val="none"/>
                <w:u w:val="none"/>
              </w:rPr>
            </w:pPr>
            <w:r>
              <w:rPr>
                <w:rFonts w:hint="eastAsia" w:ascii="宋体" w:hAnsi="宋体" w:eastAsia="宋体" w:cs="宋体"/>
                <w:b/>
                <w:i w:val="0"/>
                <w:color w:val="auto"/>
                <w:kern w:val="0"/>
                <w:sz w:val="21"/>
                <w:szCs w:val="21"/>
                <w:highlight w:val="none"/>
                <w:u w:val="none"/>
                <w:lang w:val="en-US" w:eastAsia="zh-CN" w:bidi="ar"/>
              </w:rPr>
              <w:t>规格</w:t>
            </w:r>
          </w:p>
        </w:tc>
        <w:tc>
          <w:tcPr>
            <w:tcW w:w="5318" w:type="dxa"/>
            <w:tcBorders>
              <w:top w:val="single" w:color="000000" w:sz="4" w:space="0"/>
              <w:left w:val="single" w:color="000000" w:sz="4" w:space="0"/>
              <w:bottom w:val="single" w:color="000000" w:sz="4" w:space="0"/>
              <w:right w:val="single" w:color="000000" w:sz="4" w:space="0"/>
            </w:tcBorders>
            <w:shd w:val="clear" w:color="auto" w:fill="9BC2E6"/>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i w:val="0"/>
                <w:color w:val="auto"/>
                <w:sz w:val="21"/>
                <w:szCs w:val="21"/>
                <w:highlight w:val="none"/>
                <w:u w:val="none"/>
              </w:rPr>
            </w:pPr>
            <w:r>
              <w:rPr>
                <w:rFonts w:hint="eastAsia" w:ascii="宋体" w:hAnsi="宋体" w:eastAsia="宋体" w:cs="宋体"/>
                <w:b/>
                <w:i w:val="0"/>
                <w:color w:val="auto"/>
                <w:kern w:val="0"/>
                <w:sz w:val="21"/>
                <w:szCs w:val="21"/>
                <w:highlight w:val="none"/>
                <w:u w:val="none"/>
                <w:lang w:val="en-US" w:eastAsia="zh-CN" w:bidi="ar"/>
              </w:rPr>
              <w:t>参数</w:t>
            </w:r>
          </w:p>
        </w:tc>
        <w:tc>
          <w:tcPr>
            <w:tcW w:w="655" w:type="dxa"/>
            <w:tcBorders>
              <w:top w:val="single" w:color="000000" w:sz="4" w:space="0"/>
              <w:left w:val="single" w:color="000000" w:sz="4" w:space="0"/>
              <w:bottom w:val="single" w:color="000000" w:sz="4" w:space="0"/>
              <w:right w:val="single" w:color="000000" w:sz="4" w:space="0"/>
            </w:tcBorders>
            <w:shd w:val="clear" w:color="auto" w:fill="9BC2E6"/>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highlight w:val="none"/>
                <w:u w:val="none"/>
              </w:rPr>
            </w:pPr>
            <w:r>
              <w:rPr>
                <w:rFonts w:hint="eastAsia" w:ascii="宋体" w:hAnsi="宋体" w:eastAsia="宋体" w:cs="宋体"/>
                <w:b/>
                <w:i w:val="0"/>
                <w:color w:val="auto"/>
                <w:kern w:val="0"/>
                <w:sz w:val="21"/>
                <w:szCs w:val="21"/>
                <w:highlight w:val="none"/>
                <w:u w:val="none"/>
                <w:lang w:val="en-US" w:eastAsia="zh-CN" w:bidi="ar"/>
              </w:rPr>
              <w:t>单位</w:t>
            </w:r>
          </w:p>
        </w:tc>
        <w:tc>
          <w:tcPr>
            <w:tcW w:w="656" w:type="dxa"/>
            <w:tcBorders>
              <w:top w:val="single" w:color="000000" w:sz="4" w:space="0"/>
              <w:left w:val="single" w:color="000000" w:sz="4" w:space="0"/>
              <w:bottom w:val="single" w:color="000000" w:sz="4" w:space="0"/>
              <w:right w:val="single" w:color="000000" w:sz="4" w:space="0"/>
            </w:tcBorders>
            <w:shd w:val="clear" w:color="auto" w:fill="9BC2E6"/>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1"/>
                <w:szCs w:val="21"/>
                <w:highlight w:val="none"/>
                <w:u w:val="none"/>
              </w:rPr>
            </w:pPr>
            <w:r>
              <w:rPr>
                <w:rFonts w:hint="eastAsia" w:ascii="宋体" w:hAnsi="宋体" w:eastAsia="宋体" w:cs="宋体"/>
                <w:b/>
                <w:i w:val="0"/>
                <w:color w:val="auto"/>
                <w:kern w:val="0"/>
                <w:sz w:val="21"/>
                <w:szCs w:val="21"/>
                <w:highlight w:val="none"/>
                <w:u w:val="none"/>
                <w:lang w:val="en-US" w:eastAsia="zh-CN" w:bidi="ar"/>
              </w:rPr>
              <w:t>数量</w:t>
            </w:r>
          </w:p>
        </w:tc>
      </w:tr>
      <w:tr>
        <w:tblPrEx>
          <w:tblCellMar>
            <w:top w:w="0" w:type="dxa"/>
            <w:left w:w="0" w:type="dxa"/>
            <w:bottom w:w="0" w:type="dxa"/>
            <w:right w:w="0" w:type="dxa"/>
          </w:tblCellMar>
        </w:tblPrEx>
        <w:trPr>
          <w:trHeight w:val="5381" w:hRule="atLeast"/>
          <w:jc w:val="center"/>
        </w:trPr>
        <w:tc>
          <w:tcPr>
            <w:tcW w:w="6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Style w:val="81"/>
                <w:rFonts w:hint="eastAsia"/>
                <w:color w:val="auto"/>
                <w:highlight w:val="none"/>
                <w:lang w:val="en-US" w:eastAsia="zh-CN" w:bidi="ar"/>
              </w:rPr>
            </w:pPr>
            <w:r>
              <w:rPr>
                <w:rStyle w:val="81"/>
                <w:rFonts w:hint="eastAsia"/>
                <w:color w:val="auto"/>
                <w:highlight w:val="none"/>
                <w:lang w:val="en-US" w:eastAsia="zh-CN" w:bidi="ar"/>
              </w:rPr>
              <w:t>1</w:t>
            </w:r>
          </w:p>
        </w:tc>
        <w:tc>
          <w:tcPr>
            <w:tcW w:w="9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Style w:val="81"/>
                <w:rFonts w:hint="eastAsia"/>
                <w:color w:val="auto"/>
                <w:highlight w:val="none"/>
                <w:lang w:val="en-US" w:eastAsia="zh-CN" w:bidi="ar"/>
              </w:rPr>
            </w:pPr>
          </w:p>
          <w:p>
            <w:pPr>
              <w:keepNext w:val="0"/>
              <w:keepLines w:val="0"/>
              <w:widowControl/>
              <w:suppressLineNumbers w:val="0"/>
              <w:jc w:val="center"/>
              <w:textAlignment w:val="center"/>
              <w:rPr>
                <w:rStyle w:val="81"/>
                <w:rFonts w:hint="eastAsia"/>
                <w:color w:val="auto"/>
                <w:highlight w:val="none"/>
                <w:lang w:val="en-US" w:eastAsia="zh-CN" w:bidi="ar"/>
              </w:rPr>
            </w:pPr>
          </w:p>
          <w:p>
            <w:pPr>
              <w:keepNext w:val="0"/>
              <w:keepLines w:val="0"/>
              <w:widowControl/>
              <w:suppressLineNumbers w:val="0"/>
              <w:jc w:val="center"/>
              <w:textAlignment w:val="center"/>
              <w:rPr>
                <w:rStyle w:val="81"/>
                <w:rFonts w:hint="eastAsia"/>
                <w:color w:val="auto"/>
                <w:highlight w:val="none"/>
                <w:lang w:val="en-US" w:eastAsia="zh-CN" w:bidi="ar"/>
              </w:rPr>
            </w:pPr>
          </w:p>
          <w:p>
            <w:pPr>
              <w:keepNext w:val="0"/>
              <w:keepLines w:val="0"/>
              <w:widowControl/>
              <w:suppressLineNumbers w:val="0"/>
              <w:jc w:val="center"/>
              <w:textAlignment w:val="center"/>
              <w:rPr>
                <w:rStyle w:val="81"/>
                <w:rFonts w:hint="eastAsia"/>
                <w:color w:val="auto"/>
                <w:highlight w:val="none"/>
                <w:lang w:val="en-US" w:eastAsia="zh-CN" w:bidi="ar"/>
              </w:rPr>
            </w:pPr>
          </w:p>
          <w:p>
            <w:pPr>
              <w:keepNext w:val="0"/>
              <w:keepLines w:val="0"/>
              <w:widowControl/>
              <w:suppressLineNumbers w:val="0"/>
              <w:jc w:val="center"/>
              <w:textAlignment w:val="center"/>
              <w:rPr>
                <w:rStyle w:val="81"/>
                <w:rFonts w:hint="eastAsia"/>
                <w:color w:val="auto"/>
                <w:highlight w:val="none"/>
                <w:lang w:val="en-US" w:eastAsia="zh-CN" w:bidi="ar"/>
              </w:rPr>
            </w:pPr>
          </w:p>
          <w:p>
            <w:pPr>
              <w:keepNext w:val="0"/>
              <w:keepLines w:val="0"/>
              <w:widowControl/>
              <w:suppressLineNumbers w:val="0"/>
              <w:jc w:val="center"/>
              <w:textAlignment w:val="center"/>
              <w:rPr>
                <w:rStyle w:val="81"/>
                <w:rFonts w:hint="eastAsia"/>
                <w:color w:val="auto"/>
                <w:highlight w:val="none"/>
                <w:lang w:val="en-US" w:eastAsia="zh-CN" w:bidi="ar"/>
              </w:rPr>
            </w:pPr>
          </w:p>
          <w:p>
            <w:pPr>
              <w:keepNext w:val="0"/>
              <w:keepLines w:val="0"/>
              <w:widowControl/>
              <w:suppressLineNumbers w:val="0"/>
              <w:jc w:val="center"/>
              <w:textAlignment w:val="center"/>
              <w:rPr>
                <w:rStyle w:val="81"/>
                <w:rFonts w:hint="eastAsia"/>
                <w:color w:val="auto"/>
                <w:highlight w:val="none"/>
                <w:lang w:val="en-US" w:eastAsia="zh-CN" w:bidi="ar"/>
              </w:rPr>
            </w:pPr>
          </w:p>
          <w:p>
            <w:pPr>
              <w:keepNext w:val="0"/>
              <w:keepLines w:val="0"/>
              <w:widowControl/>
              <w:suppressLineNumbers w:val="0"/>
              <w:jc w:val="center"/>
              <w:textAlignment w:val="center"/>
              <w:rPr>
                <w:rStyle w:val="81"/>
                <w:rFonts w:hint="eastAsia"/>
                <w:color w:val="auto"/>
                <w:highlight w:val="none"/>
                <w:lang w:val="en-US" w:eastAsia="zh-CN" w:bidi="ar"/>
              </w:rPr>
            </w:pPr>
          </w:p>
          <w:p>
            <w:pPr>
              <w:keepNext w:val="0"/>
              <w:keepLines w:val="0"/>
              <w:widowControl/>
              <w:suppressLineNumbers w:val="0"/>
              <w:jc w:val="center"/>
              <w:textAlignment w:val="center"/>
              <w:rPr>
                <w:rStyle w:val="81"/>
                <w:rFonts w:hint="eastAsia"/>
                <w:color w:val="auto"/>
                <w:highlight w:val="none"/>
                <w:lang w:val="en-US" w:eastAsia="zh-CN" w:bidi="ar"/>
              </w:rPr>
            </w:pPr>
            <w:r>
              <w:rPr>
                <w:rStyle w:val="81"/>
                <w:rFonts w:hint="eastAsia"/>
                <w:color w:val="auto"/>
                <w:highlight w:val="none"/>
                <w:lang w:val="en-US" w:eastAsia="zh-CN" w:bidi="ar"/>
              </w:rPr>
              <w:drawing>
                <wp:anchor distT="0" distB="0" distL="114300" distR="114300" simplePos="0" relativeHeight="251659264" behindDoc="0" locked="0" layoutInCell="1" allowOverlap="1">
                  <wp:simplePos x="0" y="0"/>
                  <wp:positionH relativeFrom="column">
                    <wp:posOffset>441960</wp:posOffset>
                  </wp:positionH>
                  <wp:positionV relativeFrom="paragraph">
                    <wp:posOffset>128905</wp:posOffset>
                  </wp:positionV>
                  <wp:extent cx="565785" cy="0"/>
                  <wp:effectExtent l="0" t="0" r="0" b="0"/>
                  <wp:wrapNone/>
                  <wp:docPr id="1" name="图片_46"/>
                  <wp:cNvGraphicFramePr/>
                  <a:graphic xmlns:a="http://schemas.openxmlformats.org/drawingml/2006/main">
                    <a:graphicData uri="http://schemas.openxmlformats.org/drawingml/2006/picture">
                      <pic:pic xmlns:pic="http://schemas.openxmlformats.org/drawingml/2006/picture">
                        <pic:nvPicPr>
                          <pic:cNvPr id="1" name="图片_46"/>
                          <pic:cNvPicPr/>
                        </pic:nvPicPr>
                        <pic:blipFill>
                          <a:blip r:embed="rId6"/>
                          <a:stretch>
                            <a:fillRect/>
                          </a:stretch>
                        </pic:blipFill>
                        <pic:spPr>
                          <a:xfrm>
                            <a:off x="0" y="0"/>
                            <a:ext cx="565785" cy="0"/>
                          </a:xfrm>
                          <a:prstGeom prst="rect">
                            <a:avLst/>
                          </a:prstGeom>
                          <a:noFill/>
                          <a:ln>
                            <a:noFill/>
                          </a:ln>
                        </pic:spPr>
                      </pic:pic>
                    </a:graphicData>
                  </a:graphic>
                </wp:anchor>
              </w:drawing>
            </w:r>
            <w:r>
              <w:rPr>
                <w:rStyle w:val="81"/>
                <w:rFonts w:hint="eastAsia"/>
                <w:color w:val="auto"/>
                <w:highlight w:val="none"/>
                <w:lang w:val="en-US" w:eastAsia="zh-CN" w:bidi="ar"/>
              </w:rPr>
              <w:drawing>
                <wp:anchor distT="0" distB="0" distL="114300" distR="114300" simplePos="0" relativeHeight="251660288" behindDoc="0" locked="0" layoutInCell="1" allowOverlap="1">
                  <wp:simplePos x="0" y="0"/>
                  <wp:positionH relativeFrom="column">
                    <wp:posOffset>452755</wp:posOffset>
                  </wp:positionH>
                  <wp:positionV relativeFrom="paragraph">
                    <wp:posOffset>128905</wp:posOffset>
                  </wp:positionV>
                  <wp:extent cx="554990" cy="0"/>
                  <wp:effectExtent l="0" t="0" r="0" b="0"/>
                  <wp:wrapNone/>
                  <wp:docPr id="2" name="图片_46_SpCnt_1"/>
                  <wp:cNvGraphicFramePr/>
                  <a:graphic xmlns:a="http://schemas.openxmlformats.org/drawingml/2006/main">
                    <a:graphicData uri="http://schemas.openxmlformats.org/drawingml/2006/picture">
                      <pic:pic xmlns:pic="http://schemas.openxmlformats.org/drawingml/2006/picture">
                        <pic:nvPicPr>
                          <pic:cNvPr id="2" name="图片_46_SpCnt_1"/>
                          <pic:cNvPicPr/>
                        </pic:nvPicPr>
                        <pic:blipFill>
                          <a:blip r:embed="rId7"/>
                          <a:stretch>
                            <a:fillRect/>
                          </a:stretch>
                        </pic:blipFill>
                        <pic:spPr>
                          <a:xfrm>
                            <a:off x="0" y="0"/>
                            <a:ext cx="554990" cy="0"/>
                          </a:xfrm>
                          <a:prstGeom prst="rect">
                            <a:avLst/>
                          </a:prstGeom>
                          <a:noFill/>
                          <a:ln>
                            <a:noFill/>
                          </a:ln>
                        </pic:spPr>
                      </pic:pic>
                    </a:graphicData>
                  </a:graphic>
                </wp:anchor>
              </w:drawing>
            </w:r>
            <w:r>
              <w:rPr>
                <w:rStyle w:val="81"/>
                <w:rFonts w:hint="eastAsia"/>
                <w:color w:val="auto"/>
                <w:highlight w:val="none"/>
                <w:lang w:val="en-US" w:eastAsia="zh-CN" w:bidi="ar"/>
              </w:rPr>
              <w:drawing>
                <wp:anchor distT="0" distB="0" distL="114300" distR="114300" simplePos="0" relativeHeight="251661312" behindDoc="0" locked="0" layoutInCell="1" allowOverlap="1">
                  <wp:simplePos x="0" y="0"/>
                  <wp:positionH relativeFrom="column">
                    <wp:posOffset>546735</wp:posOffset>
                  </wp:positionH>
                  <wp:positionV relativeFrom="paragraph">
                    <wp:posOffset>128905</wp:posOffset>
                  </wp:positionV>
                  <wp:extent cx="461010" cy="0"/>
                  <wp:effectExtent l="0" t="0" r="0" b="0"/>
                  <wp:wrapNone/>
                  <wp:docPr id="4" name="图片_6"/>
                  <wp:cNvGraphicFramePr/>
                  <a:graphic xmlns:a="http://schemas.openxmlformats.org/drawingml/2006/main">
                    <a:graphicData uri="http://schemas.openxmlformats.org/drawingml/2006/picture">
                      <pic:pic xmlns:pic="http://schemas.openxmlformats.org/drawingml/2006/picture">
                        <pic:nvPicPr>
                          <pic:cNvPr id="4" name="图片_6"/>
                          <pic:cNvPicPr/>
                        </pic:nvPicPr>
                        <pic:blipFill>
                          <a:blip r:embed="rId8"/>
                          <a:stretch>
                            <a:fillRect/>
                          </a:stretch>
                        </pic:blipFill>
                        <pic:spPr>
                          <a:xfrm>
                            <a:off x="0" y="0"/>
                            <a:ext cx="461010" cy="0"/>
                          </a:xfrm>
                          <a:prstGeom prst="rect">
                            <a:avLst/>
                          </a:prstGeom>
                          <a:noFill/>
                          <a:ln>
                            <a:noFill/>
                          </a:ln>
                        </pic:spPr>
                      </pic:pic>
                    </a:graphicData>
                  </a:graphic>
                </wp:anchor>
              </w:drawing>
            </w:r>
            <w:r>
              <w:rPr>
                <w:rStyle w:val="81"/>
                <w:rFonts w:hint="eastAsia"/>
                <w:color w:val="auto"/>
                <w:highlight w:val="none"/>
                <w:lang w:val="en-US" w:eastAsia="zh-CN" w:bidi="ar"/>
              </w:rPr>
              <w:drawing>
                <wp:anchor distT="0" distB="0" distL="114300" distR="114300" simplePos="0" relativeHeight="251662336" behindDoc="0" locked="0" layoutInCell="1" allowOverlap="1">
                  <wp:simplePos x="0" y="0"/>
                  <wp:positionH relativeFrom="column">
                    <wp:posOffset>546735</wp:posOffset>
                  </wp:positionH>
                  <wp:positionV relativeFrom="paragraph">
                    <wp:posOffset>128905</wp:posOffset>
                  </wp:positionV>
                  <wp:extent cx="461010" cy="0"/>
                  <wp:effectExtent l="0" t="0" r="0" b="0"/>
                  <wp:wrapNone/>
                  <wp:docPr id="5" name="图片_9"/>
                  <wp:cNvGraphicFramePr/>
                  <a:graphic xmlns:a="http://schemas.openxmlformats.org/drawingml/2006/main">
                    <a:graphicData uri="http://schemas.openxmlformats.org/drawingml/2006/picture">
                      <pic:pic xmlns:pic="http://schemas.openxmlformats.org/drawingml/2006/picture">
                        <pic:nvPicPr>
                          <pic:cNvPr id="5" name="图片_9"/>
                          <pic:cNvPicPr/>
                        </pic:nvPicPr>
                        <pic:blipFill>
                          <a:blip r:embed="rId7"/>
                          <a:stretch>
                            <a:fillRect/>
                          </a:stretch>
                        </pic:blipFill>
                        <pic:spPr>
                          <a:xfrm>
                            <a:off x="0" y="0"/>
                            <a:ext cx="461010" cy="0"/>
                          </a:xfrm>
                          <a:prstGeom prst="rect">
                            <a:avLst/>
                          </a:prstGeom>
                          <a:noFill/>
                          <a:ln>
                            <a:noFill/>
                          </a:ln>
                        </pic:spPr>
                      </pic:pic>
                    </a:graphicData>
                  </a:graphic>
                </wp:anchor>
              </w:drawing>
            </w:r>
            <w:r>
              <w:rPr>
                <w:rStyle w:val="81"/>
                <w:rFonts w:hint="eastAsia"/>
                <w:color w:val="auto"/>
                <w:highlight w:val="none"/>
                <w:lang w:val="en-US" w:eastAsia="zh-CN" w:bidi="ar"/>
              </w:rPr>
              <w:t>儿童课桌</w:t>
            </w:r>
            <w:r>
              <w:rPr>
                <w:rStyle w:val="81"/>
                <w:rFonts w:hint="eastAsia"/>
                <w:color w:val="auto"/>
                <w:highlight w:val="none"/>
                <w:lang w:val="en-US" w:eastAsia="zh-CN" w:bidi="ar"/>
              </w:rPr>
              <w:br w:type="textWrapping"/>
            </w:r>
            <w:r>
              <w:rPr>
                <w:rStyle w:val="81"/>
                <w:rFonts w:hint="eastAsia"/>
                <w:color w:val="auto"/>
                <w:highlight w:val="none"/>
                <w:lang w:val="en-US" w:eastAsia="zh-CN" w:bidi="ar"/>
              </w:rPr>
              <w:t>大班</w:t>
            </w:r>
          </w:p>
        </w:tc>
        <w:tc>
          <w:tcPr>
            <w:tcW w:w="1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2"/>
                <w:szCs w:val="22"/>
                <w:highlight w:val="none"/>
                <w:u w:val="none"/>
              </w:rPr>
            </w:pPr>
            <w:r>
              <w:rPr>
                <w:rFonts w:hint="eastAsia" w:ascii="宋体" w:hAnsi="宋体" w:eastAsia="宋体" w:cs="宋体"/>
                <w:b/>
                <w:i w:val="0"/>
                <w:color w:val="auto"/>
                <w:kern w:val="0"/>
                <w:sz w:val="22"/>
                <w:szCs w:val="22"/>
                <w:highlight w:val="none"/>
                <w:u w:val="none"/>
                <w:bdr w:val="single" w:color="000000" w:sz="4" w:space="0"/>
                <w:lang w:val="en-US" w:eastAsia="zh-CN" w:bidi="ar"/>
              </w:rPr>
              <w:drawing>
                <wp:anchor distT="0" distB="0" distL="114300" distR="114300" simplePos="0" relativeHeight="251663360" behindDoc="0" locked="0" layoutInCell="1" allowOverlap="1">
                  <wp:simplePos x="0" y="0"/>
                  <wp:positionH relativeFrom="column">
                    <wp:posOffset>34925</wp:posOffset>
                  </wp:positionH>
                  <wp:positionV relativeFrom="paragraph">
                    <wp:posOffset>790575</wp:posOffset>
                  </wp:positionV>
                  <wp:extent cx="703580" cy="512445"/>
                  <wp:effectExtent l="0" t="0" r="1270" b="1905"/>
                  <wp:wrapNone/>
                  <wp:docPr id="6" name="ID_9F0F853F92BE4BD090722154BDC9EF5C"/>
                  <wp:cNvGraphicFramePr/>
                  <a:graphic xmlns:a="http://schemas.openxmlformats.org/drawingml/2006/main">
                    <a:graphicData uri="http://schemas.openxmlformats.org/drawingml/2006/picture">
                      <pic:pic xmlns:pic="http://schemas.openxmlformats.org/drawingml/2006/picture">
                        <pic:nvPicPr>
                          <pic:cNvPr id="6" name="ID_9F0F853F92BE4BD090722154BDC9EF5C"/>
                          <pic:cNvPicPr/>
                        </pic:nvPicPr>
                        <pic:blipFill>
                          <a:blip r:embed="rId9"/>
                          <a:stretch>
                            <a:fillRect/>
                          </a:stretch>
                        </pic:blipFill>
                        <pic:spPr>
                          <a:xfrm>
                            <a:off x="0" y="0"/>
                            <a:ext cx="703580" cy="512445"/>
                          </a:xfrm>
                          <a:prstGeom prst="rect">
                            <a:avLst/>
                          </a:prstGeom>
                          <a:noFill/>
                          <a:ln>
                            <a:noFill/>
                          </a:ln>
                        </pic:spPr>
                      </pic:pic>
                    </a:graphicData>
                  </a:graphic>
                </wp:anchor>
              </w:drawing>
            </w:r>
          </w:p>
        </w:tc>
        <w:tc>
          <w:tcPr>
            <w:tcW w:w="91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21"/>
                <w:szCs w:val="21"/>
                <w:highlight w:val="none"/>
                <w:u w:val="none"/>
                <w:lang w:val="en-US"/>
              </w:rPr>
            </w:pPr>
            <w:r>
              <w:rPr>
                <w:rStyle w:val="81"/>
                <w:color w:val="auto"/>
                <w:sz w:val="21"/>
                <w:szCs w:val="21"/>
                <w:highlight w:val="none"/>
                <w:lang w:val="en-US" w:eastAsia="zh-CN" w:bidi="ar"/>
              </w:rPr>
              <w:t>L60×W60×H52</w:t>
            </w:r>
            <w:r>
              <w:rPr>
                <w:rStyle w:val="81"/>
                <w:rFonts w:hint="eastAsia"/>
                <w:color w:val="auto"/>
                <w:sz w:val="21"/>
                <w:szCs w:val="21"/>
                <w:highlight w:val="none"/>
                <w:lang w:val="en-US" w:eastAsia="zh-CN" w:bidi="ar"/>
              </w:rPr>
              <w:t>cm</w:t>
            </w:r>
          </w:p>
        </w:tc>
        <w:tc>
          <w:tcPr>
            <w:tcW w:w="53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Autospacing="0" w:line="360" w:lineRule="exact"/>
              <w:jc w:val="left"/>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1.产品框架采用橡胶木生产加工而成，桌面厚度为18MM橡胶木拼板，桌脚为50*50MM；甲醛释放量≤0.1mg/L，符合当地木材含水率标准；</w:t>
            </w:r>
            <w:r>
              <w:rPr>
                <w:rFonts w:hint="eastAsia" w:ascii="宋体" w:hAnsi="宋体" w:eastAsia="宋体" w:cs="宋体"/>
                <w:i w:val="0"/>
                <w:color w:val="auto"/>
                <w:kern w:val="0"/>
                <w:sz w:val="18"/>
                <w:szCs w:val="18"/>
                <w:highlight w:val="none"/>
                <w:u w:val="none"/>
                <w:lang w:val="en-US" w:eastAsia="zh-CN" w:bidi="ar"/>
              </w:rPr>
              <w:br w:type="textWrapping"/>
            </w:r>
            <w:r>
              <w:rPr>
                <w:rFonts w:hint="eastAsia" w:ascii="宋体" w:hAnsi="宋体" w:eastAsia="宋体" w:cs="宋体"/>
                <w:i w:val="0"/>
                <w:color w:val="auto"/>
                <w:kern w:val="0"/>
                <w:sz w:val="18"/>
                <w:szCs w:val="18"/>
                <w:highlight w:val="none"/>
                <w:u w:val="none"/>
                <w:lang w:val="en-US" w:eastAsia="zh-CN" w:bidi="ar"/>
              </w:rPr>
              <w:t>2.油漆：采用水性环保漆，水性漆经久耐用，不易黄变，耐霉菌性能好，耐人工气候老化，涂膜无起泡无剥落、无裂纹，耐黄变性能符合GB/T 23999-2009、GB/T 23987-2009标准要求，耐霉菌性能符合GB/T 1741-2020标准要求，耐人工气候老化符合GB/T 1865-2009、GB/T 1766-2008标准要求。</w:t>
            </w:r>
            <w:r>
              <w:rPr>
                <w:rFonts w:hint="eastAsia" w:ascii="宋体" w:hAnsi="宋体" w:eastAsia="宋体" w:cs="宋体"/>
                <w:i w:val="0"/>
                <w:color w:val="auto"/>
                <w:kern w:val="0"/>
                <w:sz w:val="18"/>
                <w:szCs w:val="18"/>
                <w:highlight w:val="none"/>
                <w:u w:val="none"/>
                <w:lang w:val="en-US" w:eastAsia="zh-CN" w:bidi="ar"/>
              </w:rPr>
              <w:br w:type="textWrapping"/>
            </w:r>
            <w:r>
              <w:rPr>
                <w:rFonts w:hint="eastAsia" w:ascii="宋体" w:hAnsi="宋体" w:eastAsia="宋体" w:cs="宋体"/>
                <w:i w:val="0"/>
                <w:color w:val="auto"/>
                <w:kern w:val="0"/>
                <w:sz w:val="18"/>
                <w:szCs w:val="18"/>
                <w:highlight w:val="none"/>
                <w:u w:val="none"/>
                <w:lang w:val="en-US" w:eastAsia="zh-CN" w:bidi="ar"/>
              </w:rPr>
              <w:t>3.产品外观要求、理化性能要求、结构安全、有害物质限量（可迁移元素、甲醛释放量等）、力学性能、警示标识等符合GB28007-2011标准要求。</w:t>
            </w:r>
            <w:r>
              <w:rPr>
                <w:rFonts w:hint="eastAsia" w:ascii="宋体" w:hAnsi="宋体" w:eastAsia="宋体" w:cs="宋体"/>
                <w:i w:val="0"/>
                <w:color w:val="auto"/>
                <w:kern w:val="0"/>
                <w:sz w:val="18"/>
                <w:szCs w:val="18"/>
                <w:highlight w:val="none"/>
                <w:u w:val="none"/>
                <w:lang w:val="en-US" w:eastAsia="zh-CN" w:bidi="ar"/>
              </w:rPr>
              <w:br w:type="textWrapping"/>
            </w:r>
            <w:r>
              <w:rPr>
                <w:rFonts w:hint="eastAsia" w:ascii="宋体" w:hAnsi="宋体" w:eastAsia="宋体" w:cs="宋体"/>
                <w:i w:val="0"/>
                <w:color w:val="auto"/>
                <w:kern w:val="0"/>
                <w:sz w:val="18"/>
                <w:szCs w:val="18"/>
                <w:highlight w:val="none"/>
                <w:u w:val="none"/>
                <w:lang w:val="en-US" w:eastAsia="zh-CN" w:bidi="ar"/>
              </w:rPr>
              <w:t>4.五金：采用优质环保五金，安全无毒，表面特定元素的迁移符合标准要求，锑、砷、钡、镉、铬、铅、汞、硒等八大重金属含量符合行业标准要求。五金件通过中性盐雾试验、无生锈、无气泡、无粉化等腐蚀现象等符合GB/T 1766-2008、GB/T 10125-2021标准要求。</w:t>
            </w:r>
            <w:r>
              <w:rPr>
                <w:rFonts w:hint="eastAsia" w:ascii="宋体" w:hAnsi="宋体" w:eastAsia="宋体" w:cs="宋体"/>
                <w:i w:val="0"/>
                <w:color w:val="auto"/>
                <w:kern w:val="0"/>
                <w:sz w:val="18"/>
                <w:szCs w:val="18"/>
                <w:highlight w:val="none"/>
                <w:u w:val="none"/>
                <w:lang w:val="en-US" w:eastAsia="zh-CN" w:bidi="ar"/>
              </w:rPr>
              <w:br w:type="textWrapping"/>
            </w:r>
            <w:r>
              <w:rPr>
                <w:rFonts w:hint="eastAsia" w:ascii="宋体" w:hAnsi="宋体" w:eastAsia="宋体" w:cs="宋体"/>
                <w:i w:val="0"/>
                <w:color w:val="auto"/>
                <w:kern w:val="0"/>
                <w:sz w:val="18"/>
                <w:szCs w:val="18"/>
                <w:highlight w:val="none"/>
                <w:u w:val="none"/>
                <w:lang w:val="en-US" w:eastAsia="zh-CN" w:bidi="ar"/>
              </w:rPr>
              <w:t>5.脚钉：安装防滑脚钉，保护地板减少噪音，其中脚钉的领苯二甲酸酯符合GB28007-2011的检测标准。</w:t>
            </w:r>
          </w:p>
        </w:tc>
        <w:tc>
          <w:tcPr>
            <w:tcW w:w="6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张</w:t>
            </w:r>
          </w:p>
        </w:tc>
        <w:tc>
          <w:tcPr>
            <w:tcW w:w="65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1</w:t>
            </w:r>
          </w:p>
        </w:tc>
      </w:tr>
      <w:tr>
        <w:tblPrEx>
          <w:tblCellMar>
            <w:top w:w="0" w:type="dxa"/>
            <w:left w:w="0" w:type="dxa"/>
            <w:bottom w:w="0" w:type="dxa"/>
            <w:right w:w="0" w:type="dxa"/>
          </w:tblCellMar>
        </w:tblPrEx>
        <w:trPr>
          <w:trHeight w:val="2005" w:hRule="atLeast"/>
          <w:jc w:val="center"/>
        </w:trPr>
        <w:tc>
          <w:tcPr>
            <w:tcW w:w="6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Style w:val="81"/>
                <w:rFonts w:hint="eastAsia"/>
                <w:color w:val="auto"/>
                <w:highlight w:val="none"/>
                <w:lang w:val="en-US" w:eastAsia="zh-CN" w:bidi="ar"/>
              </w:rPr>
            </w:pPr>
            <w:r>
              <w:rPr>
                <w:rStyle w:val="81"/>
                <w:rFonts w:hint="eastAsia"/>
                <w:color w:val="auto"/>
                <w:highlight w:val="none"/>
                <w:lang w:val="en-US" w:eastAsia="zh-CN" w:bidi="ar"/>
              </w:rPr>
              <w:t>2</w:t>
            </w:r>
          </w:p>
        </w:tc>
        <w:tc>
          <w:tcPr>
            <w:tcW w:w="9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Style w:val="81"/>
                <w:rFonts w:hint="eastAsia"/>
                <w:color w:val="auto"/>
                <w:highlight w:val="none"/>
                <w:lang w:val="en-US" w:eastAsia="zh-CN" w:bidi="ar"/>
              </w:rPr>
            </w:pPr>
            <w:r>
              <w:rPr>
                <w:rStyle w:val="81"/>
                <w:rFonts w:hint="eastAsia"/>
                <w:color w:val="auto"/>
                <w:highlight w:val="none"/>
                <w:lang w:val="en-US" w:eastAsia="zh-CN" w:bidi="ar"/>
              </w:rPr>
              <w:t>儿童课椅</w:t>
            </w:r>
            <w:r>
              <w:rPr>
                <w:rStyle w:val="81"/>
                <w:rFonts w:hint="eastAsia"/>
                <w:color w:val="auto"/>
                <w:highlight w:val="none"/>
                <w:lang w:val="en-US" w:eastAsia="zh-CN" w:bidi="ar"/>
              </w:rPr>
              <w:br w:type="textWrapping"/>
            </w:r>
            <w:r>
              <w:rPr>
                <w:rStyle w:val="81"/>
                <w:rFonts w:hint="eastAsia"/>
                <w:color w:val="auto"/>
                <w:highlight w:val="none"/>
                <w:lang w:val="en-US" w:eastAsia="zh-CN" w:bidi="ar"/>
              </w:rPr>
              <w:t>大班</w:t>
            </w:r>
          </w:p>
        </w:tc>
        <w:tc>
          <w:tcPr>
            <w:tcW w:w="1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2"/>
                <w:szCs w:val="22"/>
                <w:highlight w:val="none"/>
                <w:u w:val="none"/>
              </w:rPr>
            </w:pPr>
            <w:r>
              <w:rPr>
                <w:rFonts w:hint="eastAsia" w:ascii="宋体" w:hAnsi="宋体" w:eastAsia="宋体" w:cs="宋体"/>
                <w:b/>
                <w:i w:val="0"/>
                <w:color w:val="auto"/>
                <w:kern w:val="0"/>
                <w:sz w:val="22"/>
                <w:szCs w:val="22"/>
                <w:highlight w:val="none"/>
                <w:u w:val="none"/>
                <w:bdr w:val="single" w:color="000000" w:sz="4" w:space="0"/>
                <w:lang w:val="en-US" w:eastAsia="zh-CN" w:bidi="ar"/>
              </w:rPr>
              <w:drawing>
                <wp:anchor distT="0" distB="0" distL="114300" distR="114300" simplePos="0" relativeHeight="251664384" behindDoc="0" locked="0" layoutInCell="1" allowOverlap="1">
                  <wp:simplePos x="0" y="0"/>
                  <wp:positionH relativeFrom="column">
                    <wp:posOffset>56515</wp:posOffset>
                  </wp:positionH>
                  <wp:positionV relativeFrom="paragraph">
                    <wp:posOffset>1381125</wp:posOffset>
                  </wp:positionV>
                  <wp:extent cx="568325" cy="675005"/>
                  <wp:effectExtent l="0" t="0" r="3175" b="10795"/>
                  <wp:wrapNone/>
                  <wp:docPr id="7" name="图片_1"/>
                  <wp:cNvGraphicFramePr/>
                  <a:graphic xmlns:a="http://schemas.openxmlformats.org/drawingml/2006/main">
                    <a:graphicData uri="http://schemas.openxmlformats.org/drawingml/2006/picture">
                      <pic:pic xmlns:pic="http://schemas.openxmlformats.org/drawingml/2006/picture">
                        <pic:nvPicPr>
                          <pic:cNvPr id="7" name="图片_1"/>
                          <pic:cNvPicPr/>
                        </pic:nvPicPr>
                        <pic:blipFill>
                          <a:blip r:embed="rId10"/>
                          <a:stretch>
                            <a:fillRect/>
                          </a:stretch>
                        </pic:blipFill>
                        <pic:spPr>
                          <a:xfrm>
                            <a:off x="0" y="0"/>
                            <a:ext cx="568325" cy="675005"/>
                          </a:xfrm>
                          <a:prstGeom prst="rect">
                            <a:avLst/>
                          </a:prstGeom>
                          <a:noFill/>
                          <a:ln>
                            <a:noFill/>
                          </a:ln>
                        </pic:spPr>
                      </pic:pic>
                    </a:graphicData>
                  </a:graphic>
                </wp:anchor>
              </w:drawing>
            </w:r>
          </w:p>
        </w:tc>
        <w:tc>
          <w:tcPr>
            <w:tcW w:w="91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21"/>
                <w:szCs w:val="21"/>
                <w:highlight w:val="none"/>
                <w:u w:val="none"/>
                <w:lang w:val="en-US"/>
              </w:rPr>
            </w:pPr>
            <w:r>
              <w:rPr>
                <w:rFonts w:hint="eastAsia" w:ascii="宋体" w:hAnsi="宋体" w:eastAsia="宋体" w:cs="宋体"/>
                <w:i w:val="0"/>
                <w:color w:val="auto"/>
                <w:kern w:val="0"/>
                <w:sz w:val="21"/>
                <w:szCs w:val="21"/>
                <w:highlight w:val="none"/>
                <w:u w:val="none"/>
                <w:lang w:val="en-US" w:eastAsia="zh-CN" w:bidi="ar"/>
              </w:rPr>
              <w:t>高度29</w:t>
            </w:r>
            <w:r>
              <w:rPr>
                <w:rFonts w:hint="eastAsia" w:ascii="宋体" w:hAnsi="宋体" w:cs="宋体"/>
                <w:i w:val="0"/>
                <w:color w:val="auto"/>
                <w:kern w:val="0"/>
                <w:sz w:val="21"/>
                <w:szCs w:val="21"/>
                <w:highlight w:val="none"/>
                <w:u w:val="none"/>
                <w:lang w:val="en-US" w:eastAsia="zh-CN" w:bidi="ar"/>
              </w:rPr>
              <w:t>cm</w:t>
            </w:r>
          </w:p>
        </w:tc>
        <w:tc>
          <w:tcPr>
            <w:tcW w:w="53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 xml:space="preserve">1.产品框架采用橡胶木生产加工而成，椅面厚度为18MM橡胶木拼板，椅脚规格为40*24MM；甲醛释放量≤0.1mg/L，符合当地木材含水率标准；                                                           </w:t>
            </w:r>
            <w:r>
              <w:rPr>
                <w:rFonts w:hint="eastAsia" w:ascii="宋体" w:hAnsi="宋体" w:eastAsia="宋体" w:cs="宋体"/>
                <w:i w:val="0"/>
                <w:color w:val="auto"/>
                <w:kern w:val="0"/>
                <w:sz w:val="18"/>
                <w:szCs w:val="18"/>
                <w:highlight w:val="none"/>
                <w:u w:val="none"/>
                <w:lang w:val="en-US" w:eastAsia="zh-CN" w:bidi="ar"/>
              </w:rPr>
              <w:br w:type="textWrapping"/>
            </w:r>
            <w:r>
              <w:rPr>
                <w:rFonts w:hint="eastAsia" w:ascii="宋体" w:hAnsi="宋体" w:eastAsia="宋体" w:cs="宋体"/>
                <w:i w:val="0"/>
                <w:color w:val="auto"/>
                <w:kern w:val="0"/>
                <w:sz w:val="18"/>
                <w:szCs w:val="18"/>
                <w:highlight w:val="none"/>
                <w:u w:val="none"/>
                <w:lang w:val="en-US" w:eastAsia="zh-CN" w:bidi="ar"/>
              </w:rPr>
              <w:t>2.油漆：采用水性环保漆，水性漆经久耐用，不易黄变，耐霉菌性能好，耐人工气候老化，涂膜无起泡无剥落、无裂纹，耐黄变性能符合GB/T 23999-2009、GB/T 23987-2009标准要求，耐霉菌性能符合GB/T 1741-2020标准要求，耐人工气候老化符合GB/T 1865-2009、GB/T 1766-2008标准要求。</w:t>
            </w:r>
            <w:r>
              <w:rPr>
                <w:rFonts w:hint="eastAsia" w:ascii="宋体" w:hAnsi="宋体" w:eastAsia="宋体" w:cs="宋体"/>
                <w:i w:val="0"/>
                <w:color w:val="auto"/>
                <w:kern w:val="0"/>
                <w:sz w:val="18"/>
                <w:szCs w:val="18"/>
                <w:highlight w:val="none"/>
                <w:u w:val="none"/>
                <w:lang w:val="en-US" w:eastAsia="zh-CN" w:bidi="ar"/>
              </w:rPr>
              <w:br w:type="textWrapping"/>
            </w:r>
            <w:r>
              <w:rPr>
                <w:rFonts w:hint="eastAsia" w:ascii="宋体" w:hAnsi="宋体" w:eastAsia="宋体" w:cs="宋体"/>
                <w:i w:val="0"/>
                <w:color w:val="auto"/>
                <w:kern w:val="0"/>
                <w:sz w:val="18"/>
                <w:szCs w:val="18"/>
                <w:highlight w:val="none"/>
                <w:u w:val="none"/>
                <w:lang w:val="en-US" w:eastAsia="zh-CN" w:bidi="ar"/>
              </w:rPr>
              <w:t>3.产品外观要求、理化性能要求、结构安全、有害物质限量（可迁移元素、甲醛释放量等）、力学性能、警示标识等符合GB28007-2011标准要求。</w:t>
            </w:r>
            <w:r>
              <w:rPr>
                <w:rFonts w:hint="eastAsia" w:ascii="宋体" w:hAnsi="宋体" w:eastAsia="宋体" w:cs="宋体"/>
                <w:i w:val="0"/>
                <w:color w:val="auto"/>
                <w:kern w:val="0"/>
                <w:sz w:val="18"/>
                <w:szCs w:val="18"/>
                <w:highlight w:val="none"/>
                <w:u w:val="none"/>
                <w:lang w:val="en-US" w:eastAsia="zh-CN" w:bidi="ar"/>
              </w:rPr>
              <w:br w:type="textWrapping"/>
            </w:r>
            <w:r>
              <w:rPr>
                <w:rFonts w:hint="eastAsia" w:ascii="宋体" w:hAnsi="宋体" w:eastAsia="宋体" w:cs="宋体"/>
                <w:i w:val="0"/>
                <w:color w:val="auto"/>
                <w:kern w:val="0"/>
                <w:sz w:val="18"/>
                <w:szCs w:val="18"/>
                <w:highlight w:val="none"/>
                <w:u w:val="none"/>
                <w:lang w:val="en-US" w:eastAsia="zh-CN" w:bidi="ar"/>
              </w:rPr>
              <w:t>4.五金：采用优质环保五金，安全无毒，表面特定元素的迁移符合标准要求，锑、砷、钡、镉、铬、铅、汞、硒等八大重金属含量符合行业标准要求。五金件通过中性盐雾试验、无生锈、无气泡、无粉化等腐蚀现象等符合GB/T 1766-2008、GB/T 10125-2021标准要求。</w:t>
            </w:r>
            <w:r>
              <w:rPr>
                <w:rFonts w:hint="eastAsia" w:ascii="宋体" w:hAnsi="宋体" w:eastAsia="宋体" w:cs="宋体"/>
                <w:i w:val="0"/>
                <w:color w:val="auto"/>
                <w:kern w:val="0"/>
                <w:sz w:val="18"/>
                <w:szCs w:val="18"/>
                <w:highlight w:val="none"/>
                <w:u w:val="none"/>
                <w:lang w:val="en-US" w:eastAsia="zh-CN" w:bidi="ar"/>
              </w:rPr>
              <w:br w:type="textWrapping"/>
            </w:r>
            <w:r>
              <w:rPr>
                <w:rFonts w:hint="eastAsia" w:ascii="宋体" w:hAnsi="宋体" w:eastAsia="宋体" w:cs="宋体"/>
                <w:i w:val="0"/>
                <w:color w:val="auto"/>
                <w:kern w:val="0"/>
                <w:sz w:val="18"/>
                <w:szCs w:val="18"/>
                <w:highlight w:val="none"/>
                <w:u w:val="none"/>
                <w:lang w:val="en-US" w:eastAsia="zh-CN" w:bidi="ar"/>
              </w:rPr>
              <w:t>5.脚钉：安装防滑脚钉，保护地板减少噪音，其中脚钉的领苯二甲酸酯符合GB28007-2011的检测标准。</w:t>
            </w:r>
          </w:p>
        </w:tc>
        <w:tc>
          <w:tcPr>
            <w:tcW w:w="6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张</w:t>
            </w:r>
          </w:p>
        </w:tc>
        <w:tc>
          <w:tcPr>
            <w:tcW w:w="65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1</w:t>
            </w:r>
          </w:p>
        </w:tc>
      </w:tr>
      <w:tr>
        <w:tblPrEx>
          <w:tblCellMar>
            <w:top w:w="0" w:type="dxa"/>
            <w:left w:w="0" w:type="dxa"/>
            <w:bottom w:w="0" w:type="dxa"/>
            <w:right w:w="0" w:type="dxa"/>
          </w:tblCellMar>
        </w:tblPrEx>
        <w:trPr>
          <w:trHeight w:val="3540" w:hRule="atLeast"/>
          <w:jc w:val="center"/>
        </w:trPr>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3</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2"/>
                <w:szCs w:val="22"/>
                <w:highlight w:val="none"/>
                <w:u w:val="none"/>
                <w:lang w:val="en-US" w:eastAsia="zh-CN" w:bidi="ar"/>
              </w:rPr>
            </w:pPr>
            <w:r>
              <w:rPr>
                <w:rFonts w:hint="eastAsia" w:ascii="宋体" w:hAnsi="宋体" w:eastAsia="宋体" w:cs="宋体"/>
                <w:i w:val="0"/>
                <w:color w:val="auto"/>
                <w:kern w:val="0"/>
                <w:sz w:val="22"/>
                <w:szCs w:val="22"/>
                <w:highlight w:val="none"/>
                <w:u w:val="none"/>
                <w:lang w:val="en-US" w:eastAsia="zh-CN" w:bidi="ar"/>
              </w:rPr>
              <w:t>六格高柜</w:t>
            </w:r>
          </w:p>
          <w:p>
            <w:pPr>
              <w:keepNext w:val="0"/>
              <w:keepLines w:val="0"/>
              <w:widowControl/>
              <w:suppressLineNumbers w:val="0"/>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（每班2个）</w:t>
            </w: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2"/>
                <w:szCs w:val="22"/>
                <w:highlight w:val="none"/>
                <w:u w:val="none"/>
              </w:rPr>
            </w:pPr>
            <w:r>
              <w:rPr>
                <w:color w:val="auto"/>
                <w:highlight w:val="none"/>
              </w:rPr>
              <w:drawing>
                <wp:inline distT="0" distB="0" distL="114300" distR="114300">
                  <wp:extent cx="848360" cy="622300"/>
                  <wp:effectExtent l="0" t="0" r="8890" b="635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1"/>
                          <a:stretch>
                            <a:fillRect/>
                          </a:stretch>
                        </pic:blipFill>
                        <pic:spPr>
                          <a:xfrm>
                            <a:off x="0" y="0"/>
                            <a:ext cx="848360" cy="622300"/>
                          </a:xfrm>
                          <a:prstGeom prst="rect">
                            <a:avLst/>
                          </a:prstGeom>
                          <a:noFill/>
                          <a:ln>
                            <a:noFill/>
                          </a:ln>
                        </pic:spPr>
                      </pic:pic>
                    </a:graphicData>
                  </a:graphic>
                </wp:inline>
              </w:drawing>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Style w:val="81"/>
                <w:rFonts w:hint="eastAsia"/>
                <w:color w:val="auto"/>
                <w:sz w:val="21"/>
                <w:szCs w:val="21"/>
                <w:highlight w:val="none"/>
                <w:lang w:val="en-US" w:eastAsia="zh-CN" w:bidi="ar"/>
              </w:rPr>
              <w:t xml:space="preserve">90*30*80CM             </w:t>
            </w:r>
            <w:r>
              <w:rPr>
                <w:rStyle w:val="82"/>
                <w:color w:val="auto"/>
                <w:sz w:val="21"/>
                <w:szCs w:val="21"/>
                <w:highlight w:val="none"/>
                <w:lang w:val="en-US" w:eastAsia="zh-CN" w:bidi="ar"/>
              </w:rPr>
              <w:t xml:space="preserve">          </w:t>
            </w:r>
          </w:p>
        </w:tc>
        <w:tc>
          <w:tcPr>
            <w:tcW w:w="5318"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Autospacing="0" w:line="360" w:lineRule="exact"/>
              <w:jc w:val="left"/>
              <w:textAlignment w:val="center"/>
              <w:rPr>
                <w:rFonts w:hint="eastAsia" w:ascii="宋体" w:hAnsi="宋体" w:eastAsia="宋体" w:cs="宋体"/>
                <w:i w:val="0"/>
                <w:color w:val="auto"/>
                <w:kern w:val="0"/>
                <w:sz w:val="18"/>
                <w:szCs w:val="18"/>
                <w:highlight w:val="none"/>
                <w:u w:val="none"/>
                <w:lang w:val="en-US" w:eastAsia="zh-CN" w:bidi="ar"/>
              </w:rPr>
            </w:pPr>
            <w:r>
              <w:rPr>
                <w:rFonts w:hint="eastAsia" w:ascii="宋体" w:hAnsi="宋体" w:eastAsia="宋体" w:cs="宋体"/>
                <w:i w:val="0"/>
                <w:color w:val="auto"/>
                <w:kern w:val="0"/>
                <w:sz w:val="18"/>
                <w:szCs w:val="18"/>
                <w:highlight w:val="none"/>
                <w:u w:val="none"/>
                <w:lang w:val="en-US" w:eastAsia="zh-CN" w:bidi="ar"/>
              </w:rPr>
              <w:t>1.产品采用18MM橡胶木拼板生产加工而成，甲醛释放量≤0.1mg/L，符合当地木材含水率标准；</w:t>
            </w:r>
          </w:p>
          <w:p>
            <w:pPr>
              <w:keepNext w:val="0"/>
              <w:keepLines w:val="0"/>
              <w:pageBreakBefore w:val="0"/>
              <w:widowControl/>
              <w:suppressLineNumbers w:val="0"/>
              <w:kinsoku/>
              <w:wordWrap/>
              <w:overflowPunct/>
              <w:topLinePunct w:val="0"/>
              <w:autoSpaceDE/>
              <w:autoSpaceDN/>
              <w:bidi w:val="0"/>
              <w:adjustRightInd/>
              <w:snapToGrid/>
              <w:spacing w:afterAutospacing="0" w:line="360" w:lineRule="exact"/>
              <w:jc w:val="left"/>
              <w:textAlignment w:val="center"/>
              <w:rPr>
                <w:rFonts w:hint="eastAsia" w:ascii="宋体" w:hAnsi="宋体" w:eastAsia="宋体" w:cs="宋体"/>
                <w:i w:val="0"/>
                <w:color w:val="auto"/>
                <w:kern w:val="0"/>
                <w:sz w:val="18"/>
                <w:szCs w:val="18"/>
                <w:highlight w:val="none"/>
                <w:u w:val="none"/>
                <w:lang w:val="en-US" w:eastAsia="zh-CN" w:bidi="ar"/>
              </w:rPr>
            </w:pPr>
            <w:r>
              <w:rPr>
                <w:rFonts w:hint="eastAsia" w:ascii="宋体" w:hAnsi="宋体" w:eastAsia="宋体" w:cs="宋体"/>
                <w:i w:val="0"/>
                <w:color w:val="auto"/>
                <w:kern w:val="0"/>
                <w:sz w:val="18"/>
                <w:szCs w:val="18"/>
                <w:highlight w:val="none"/>
                <w:u w:val="none"/>
                <w:lang w:val="en-US" w:eastAsia="zh-CN" w:bidi="ar"/>
              </w:rPr>
              <w:t>2.油漆：采用水性环保漆，水性漆经久耐用，不易黄变，耐霉菌性能好，耐人工气候老化，涂膜无起泡无剥落、无裂纹，耐黄变性能符合GB/T 23999-2009、GB/T 23987-2009标准要求，耐霉菌性能符合GB/T 1741-2020标准要求，耐人工气候老化符合GB/T 1865-2009、GB/T 1766-2008标准要求。</w:t>
            </w:r>
          </w:p>
          <w:p>
            <w:pPr>
              <w:keepNext w:val="0"/>
              <w:keepLines w:val="0"/>
              <w:pageBreakBefore w:val="0"/>
              <w:widowControl/>
              <w:suppressLineNumbers w:val="0"/>
              <w:kinsoku/>
              <w:wordWrap/>
              <w:overflowPunct/>
              <w:topLinePunct w:val="0"/>
              <w:autoSpaceDE/>
              <w:autoSpaceDN/>
              <w:bidi w:val="0"/>
              <w:adjustRightInd/>
              <w:snapToGrid/>
              <w:spacing w:afterAutospacing="0" w:line="360" w:lineRule="exact"/>
              <w:jc w:val="left"/>
              <w:textAlignment w:val="center"/>
              <w:rPr>
                <w:rFonts w:hint="eastAsia" w:ascii="宋体" w:hAnsi="宋体" w:eastAsia="宋体" w:cs="宋体"/>
                <w:i w:val="0"/>
                <w:color w:val="auto"/>
                <w:kern w:val="0"/>
                <w:sz w:val="18"/>
                <w:szCs w:val="18"/>
                <w:highlight w:val="none"/>
                <w:u w:val="none"/>
                <w:lang w:val="en-US" w:eastAsia="zh-CN" w:bidi="ar"/>
              </w:rPr>
            </w:pPr>
            <w:r>
              <w:rPr>
                <w:rFonts w:hint="eastAsia" w:ascii="宋体" w:hAnsi="宋体" w:eastAsia="宋体" w:cs="宋体"/>
                <w:i w:val="0"/>
                <w:color w:val="auto"/>
                <w:kern w:val="0"/>
                <w:sz w:val="18"/>
                <w:szCs w:val="18"/>
                <w:highlight w:val="none"/>
                <w:u w:val="none"/>
                <w:lang w:val="en-US" w:eastAsia="zh-CN" w:bidi="ar"/>
              </w:rPr>
              <w:t>3.产品外观要求、理化性能要求、结构安全、有害物质限量（可迁移元素、甲醛释放量等）、力学性能、警示标识等符合GB28007-2011标准要求。</w:t>
            </w:r>
          </w:p>
          <w:p>
            <w:pPr>
              <w:keepNext w:val="0"/>
              <w:keepLines w:val="0"/>
              <w:pageBreakBefore w:val="0"/>
              <w:widowControl/>
              <w:suppressLineNumbers w:val="0"/>
              <w:kinsoku/>
              <w:wordWrap/>
              <w:overflowPunct/>
              <w:topLinePunct w:val="0"/>
              <w:autoSpaceDE/>
              <w:autoSpaceDN/>
              <w:bidi w:val="0"/>
              <w:adjustRightInd/>
              <w:snapToGrid/>
              <w:spacing w:afterAutospacing="0" w:line="360" w:lineRule="exact"/>
              <w:jc w:val="left"/>
              <w:textAlignment w:val="center"/>
              <w:rPr>
                <w:rFonts w:hint="eastAsia" w:ascii="宋体" w:hAnsi="宋体" w:eastAsia="宋体" w:cs="宋体"/>
                <w:i w:val="0"/>
                <w:color w:val="auto"/>
                <w:kern w:val="0"/>
                <w:sz w:val="18"/>
                <w:szCs w:val="18"/>
                <w:highlight w:val="none"/>
                <w:u w:val="none"/>
                <w:lang w:val="en-US" w:eastAsia="zh-CN" w:bidi="ar"/>
              </w:rPr>
            </w:pPr>
            <w:r>
              <w:rPr>
                <w:rFonts w:hint="eastAsia" w:ascii="宋体" w:hAnsi="宋体" w:eastAsia="宋体" w:cs="宋体"/>
                <w:i w:val="0"/>
                <w:color w:val="auto"/>
                <w:kern w:val="0"/>
                <w:sz w:val="18"/>
                <w:szCs w:val="18"/>
                <w:highlight w:val="none"/>
                <w:u w:val="none"/>
                <w:lang w:val="en-US" w:eastAsia="zh-CN" w:bidi="ar"/>
              </w:rPr>
              <w:t>4.五金：采用优质环保五金，安全无毒，表面特定元素的迁移符合标准要求，锑、砷、钡、镉、铬、铅、汞、硒等八大重金属含量符合行业标准要求。五金件通过中性盐雾试验、无生锈、无气泡、无粉化等腐蚀现象等符合GB/T 1766-2008、GB/T 10125-2021标准要求。</w:t>
            </w:r>
          </w:p>
          <w:p>
            <w:pPr>
              <w:keepNext w:val="0"/>
              <w:keepLines w:val="0"/>
              <w:pageBreakBefore w:val="0"/>
              <w:widowControl/>
              <w:suppressLineNumbers w:val="0"/>
              <w:kinsoku/>
              <w:wordWrap/>
              <w:overflowPunct/>
              <w:topLinePunct w:val="0"/>
              <w:autoSpaceDE/>
              <w:autoSpaceDN/>
              <w:bidi w:val="0"/>
              <w:adjustRightInd/>
              <w:snapToGrid/>
              <w:spacing w:afterAutospacing="0" w:line="360" w:lineRule="exact"/>
              <w:jc w:val="left"/>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5.脚钉：安装防滑脚钉，保护地板减少噪音，其中脚钉的领苯二甲酸酯符合GB28007-2011的检测标准。</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个</w:t>
            </w:r>
          </w:p>
        </w:tc>
        <w:tc>
          <w:tcPr>
            <w:tcW w:w="65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1</w:t>
            </w:r>
          </w:p>
        </w:tc>
      </w:tr>
    </w:tbl>
    <w:p>
      <w:pPr>
        <w:rPr>
          <w:rFonts w:hint="eastAsia" w:ascii="宋体" w:hAnsi="宋体" w:eastAsia="宋体" w:cs="宋体"/>
          <w:b/>
          <w:bCs w:val="0"/>
          <w:color w:val="auto"/>
          <w:sz w:val="21"/>
          <w:szCs w:val="21"/>
          <w:highlight w:val="none"/>
          <w:lang w:eastAsia="zh-CN"/>
        </w:rPr>
      </w:pPr>
    </w:p>
    <w:p>
      <w:pPr>
        <w:rPr>
          <w:rFonts w:hint="eastAsia" w:ascii="宋体" w:hAnsi="宋体" w:cs="宋体"/>
          <w:b/>
          <w:color w:val="auto"/>
          <w:sz w:val="36"/>
          <w:szCs w:val="32"/>
          <w:highlight w:val="none"/>
        </w:rPr>
      </w:pPr>
    </w:p>
    <w:p>
      <w:pPr>
        <w:rPr>
          <w:rFonts w:hint="eastAsia" w:ascii="宋体" w:hAnsi="宋体" w:cs="宋体"/>
          <w:b/>
          <w:color w:val="auto"/>
          <w:sz w:val="36"/>
          <w:szCs w:val="32"/>
          <w:highlight w:val="none"/>
        </w:rPr>
      </w:pPr>
    </w:p>
    <w:p>
      <w:pPr>
        <w:rPr>
          <w:rFonts w:hint="eastAsia" w:ascii="宋体" w:hAnsi="宋体" w:cs="宋体"/>
          <w:b/>
          <w:color w:val="auto"/>
          <w:sz w:val="36"/>
          <w:szCs w:val="32"/>
          <w:highlight w:val="none"/>
        </w:rPr>
      </w:pPr>
      <w:r>
        <w:rPr>
          <w:rFonts w:hint="eastAsia" w:ascii="宋体" w:hAnsi="宋体" w:cs="宋体"/>
          <w:b/>
          <w:color w:val="auto"/>
          <w:sz w:val="36"/>
          <w:szCs w:val="32"/>
          <w:highlight w:val="none"/>
        </w:rPr>
        <w:br w:type="page"/>
      </w:r>
    </w:p>
    <w:p>
      <w:pPr>
        <w:tabs>
          <w:tab w:val="left" w:pos="3360"/>
        </w:tabs>
        <w:spacing w:line="360" w:lineRule="auto"/>
        <w:ind w:firstLine="2530" w:firstLineChars="700"/>
        <w:outlineLvl w:val="0"/>
        <w:rPr>
          <w:rFonts w:ascii="宋体" w:hAnsi="宋体" w:cs="宋体"/>
          <w:b/>
          <w:color w:val="auto"/>
          <w:sz w:val="36"/>
          <w:szCs w:val="32"/>
          <w:highlight w:val="none"/>
        </w:rPr>
      </w:pPr>
      <w:r>
        <w:rPr>
          <w:rFonts w:hint="eastAsia" w:ascii="宋体" w:hAnsi="宋体" w:cs="宋体"/>
          <w:b/>
          <w:color w:val="auto"/>
          <w:sz w:val="36"/>
          <w:szCs w:val="32"/>
          <w:highlight w:val="none"/>
        </w:rPr>
        <w:t>第六部分  合同条款</w:t>
      </w:r>
    </w:p>
    <w:p>
      <w:pPr>
        <w:pStyle w:val="14"/>
        <w:keepNext w:val="0"/>
        <w:keepLines w:val="0"/>
        <w:pageBreakBefore w:val="0"/>
        <w:widowControl w:val="0"/>
        <w:kinsoku/>
        <w:wordWrap/>
        <w:overflowPunct/>
        <w:topLinePunct w:val="0"/>
        <w:autoSpaceDE/>
        <w:autoSpaceDN/>
        <w:bidi w:val="0"/>
        <w:spacing w:line="42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w:t>
      </w:r>
      <w:r>
        <w:rPr>
          <w:rFonts w:hint="eastAsia" w:ascii="宋体" w:hAnsi="宋体" w:eastAsia="宋体" w:cs="宋体"/>
          <w:b/>
          <w:color w:val="auto"/>
          <w:sz w:val="21"/>
          <w:szCs w:val="21"/>
          <w:highlight w:val="non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b/>
          <w:color w:val="auto"/>
          <w:sz w:val="21"/>
          <w:szCs w:val="21"/>
          <w:highlight w:val="none"/>
        </w:rPr>
        <w:t xml:space="preserve">     </w:t>
      </w:r>
    </w:p>
    <w:p>
      <w:pPr>
        <w:pStyle w:val="14"/>
        <w:keepNext w:val="0"/>
        <w:keepLines w:val="0"/>
        <w:pageBreakBefore w:val="0"/>
        <w:widowControl w:val="0"/>
        <w:kinsoku/>
        <w:wordWrap/>
        <w:overflowPunct/>
        <w:topLinePunct w:val="0"/>
        <w:autoSpaceDE/>
        <w:autoSpaceDN/>
        <w:bidi w:val="0"/>
        <w:spacing w:line="420" w:lineRule="exact"/>
        <w:textAlignment w:val="auto"/>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 xml:space="preserve">乙方: </w:t>
      </w:r>
      <w:r>
        <w:rPr>
          <w:rFonts w:hint="eastAsia" w:ascii="宋体" w:hAnsi="宋体" w:eastAsia="宋体" w:cs="宋体"/>
          <w:b/>
          <w:color w:val="auto"/>
          <w:sz w:val="21"/>
          <w:szCs w:val="21"/>
          <w:highlight w:val="none"/>
          <w:u w:val="single"/>
        </w:rPr>
        <w:t xml:space="preserve">                 </w:t>
      </w:r>
      <w:r>
        <w:rPr>
          <w:rFonts w:hint="eastAsia" w:ascii="宋体" w:hAnsi="宋体" w:eastAsia="宋体" w:cs="宋体"/>
          <w:b/>
          <w:color w:val="auto"/>
          <w:sz w:val="21"/>
          <w:szCs w:val="21"/>
          <w:highlight w:val="none"/>
        </w:rPr>
        <w:t xml:space="preserve">      </w:t>
      </w:r>
    </w:p>
    <w:p>
      <w:pPr>
        <w:pStyle w:val="14"/>
        <w:keepNext w:val="0"/>
        <w:keepLines w:val="0"/>
        <w:pageBreakBefore w:val="0"/>
        <w:widowControl w:val="0"/>
        <w:kinsoku/>
        <w:wordWrap/>
        <w:overflowPunct/>
        <w:topLinePunct w:val="0"/>
        <w:autoSpaceDE/>
        <w:autoSpaceDN/>
        <w:bidi w:val="0"/>
        <w:spacing w:line="420" w:lineRule="exac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签订地点：</w:t>
      </w:r>
      <w:r>
        <w:rPr>
          <w:rFonts w:hint="eastAsia" w:ascii="宋体" w:hAnsi="宋体" w:eastAsia="宋体" w:cs="宋体"/>
          <w:color w:val="auto"/>
          <w:sz w:val="21"/>
          <w:szCs w:val="21"/>
          <w:highlight w:val="none"/>
          <w:u w:val="single"/>
        </w:rPr>
        <w:t xml:space="preserve">              </w:t>
      </w:r>
    </w:p>
    <w:p>
      <w:pPr>
        <w:pStyle w:val="14"/>
        <w:keepNext w:val="0"/>
        <w:keepLines w:val="0"/>
        <w:pageBreakBefore w:val="0"/>
        <w:widowControl w:val="0"/>
        <w:kinsoku/>
        <w:wordWrap/>
        <w:overflowPunct/>
        <w:topLinePunct w:val="0"/>
        <w:autoSpaceDE/>
        <w:autoSpaceDN/>
        <w:bidi w:val="0"/>
        <w:spacing w:line="420" w:lineRule="exac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合同时间:</w:t>
      </w:r>
      <w:r>
        <w:rPr>
          <w:rFonts w:hint="eastAsia" w:ascii="宋体" w:hAnsi="宋体" w:eastAsia="宋体" w:cs="宋体"/>
          <w:color w:val="auto"/>
          <w:sz w:val="21"/>
          <w:szCs w:val="21"/>
          <w:highlight w:val="none"/>
          <w:u w:val="none"/>
        </w:rPr>
        <w:t xml:space="preserve"> 202</w:t>
      </w:r>
      <w:r>
        <w:rPr>
          <w:rFonts w:hint="eastAsia" w:hAnsi="宋体" w:cs="宋体"/>
          <w:color w:val="auto"/>
          <w:sz w:val="21"/>
          <w:szCs w:val="21"/>
          <w:highlight w:val="none"/>
          <w:u w:val="none"/>
          <w:lang w:val="en-US" w:eastAsia="zh-CN"/>
        </w:rPr>
        <w:t>3</w:t>
      </w:r>
      <w:r>
        <w:rPr>
          <w:rFonts w:hint="eastAsia" w:ascii="宋体" w:hAnsi="宋体" w:eastAsia="宋体" w:cs="宋体"/>
          <w:color w:val="auto"/>
          <w:sz w:val="21"/>
          <w:szCs w:val="21"/>
          <w:highlight w:val="none"/>
          <w:u w:val="none"/>
        </w:rPr>
        <w:t>年   月   日</w:t>
      </w:r>
    </w:p>
    <w:p>
      <w:pPr>
        <w:keepNext w:val="0"/>
        <w:keepLines w:val="0"/>
        <w:pageBreakBefore w:val="0"/>
        <w:widowControl w:val="0"/>
        <w:kinsoku/>
        <w:wordWrap/>
        <w:overflowPunct/>
        <w:topLinePunct w:val="0"/>
        <w:autoSpaceDE/>
        <w:autoSpaceDN/>
        <w:bidi w:val="0"/>
        <w:snapToGrid w:val="0"/>
        <w:spacing w:line="420" w:lineRule="exact"/>
        <w:ind w:firstLine="420" w:firstLineChars="200"/>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snapToGrid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依据《中华人民共和国民法典》以及有关法律、法规的规定，甲方、乙方经协商一致，订立本合同。</w:t>
      </w:r>
    </w:p>
    <w:p>
      <w:pPr>
        <w:keepNext w:val="0"/>
        <w:keepLines w:val="0"/>
        <w:pageBreakBefore w:val="0"/>
        <w:widowControl w:val="0"/>
        <w:numPr>
          <w:ilvl w:val="0"/>
          <w:numId w:val="4"/>
        </w:numPr>
        <w:kinsoku/>
        <w:wordWrap/>
        <w:overflowPunct/>
        <w:topLinePunct w:val="0"/>
        <w:autoSpaceDE/>
        <w:autoSpaceDN/>
        <w:bidi w:val="0"/>
        <w:adjustRightInd w:val="0"/>
        <w:snapToGrid w:val="0"/>
        <w:spacing w:line="420" w:lineRule="exact"/>
        <w:ind w:firstLine="316" w:firstLineChars="15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合同标的之名称、型号、规格、数量：</w:t>
      </w:r>
      <w:bookmarkStart w:id="59" w:name="_Toc492560481"/>
      <w:bookmarkStart w:id="60" w:name="_Toc251500492"/>
      <w:bookmarkStart w:id="61" w:name="_Toc471818672"/>
      <w:bookmarkStart w:id="62" w:name="_Toc154830750"/>
      <w:r>
        <w:rPr>
          <w:rFonts w:hint="eastAsia" w:ascii="宋体" w:hAnsi="宋体" w:eastAsia="宋体" w:cs="宋体"/>
          <w:b/>
          <w:color w:val="auto"/>
          <w:sz w:val="21"/>
          <w:szCs w:val="21"/>
          <w:highlight w:val="none"/>
          <w:lang w:eastAsia="zh-CN"/>
        </w:rPr>
        <w:t>见</w:t>
      </w:r>
      <w:r>
        <w:rPr>
          <w:rFonts w:hint="eastAsia" w:ascii="宋体" w:hAnsi="宋体" w:cs="宋体"/>
          <w:b/>
          <w:color w:val="auto"/>
          <w:sz w:val="21"/>
          <w:szCs w:val="21"/>
          <w:highlight w:val="none"/>
          <w:lang w:eastAsia="zh-CN"/>
        </w:rPr>
        <w:t>响应文件</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rPr>
        <w:t>注：采购数量按实结算。</w:t>
      </w:r>
    </w:p>
    <w:p>
      <w:pPr>
        <w:keepNext w:val="0"/>
        <w:keepLines w:val="0"/>
        <w:pageBreakBefore w:val="0"/>
        <w:widowControl w:val="0"/>
        <w:kinsoku/>
        <w:wordWrap/>
        <w:overflowPunct/>
        <w:topLinePunct w:val="0"/>
        <w:autoSpaceDE/>
        <w:autoSpaceDN/>
        <w:bidi w:val="0"/>
        <w:adjustRightInd w:val="0"/>
        <w:snapToGrid w:val="0"/>
        <w:spacing w:line="420" w:lineRule="exact"/>
        <w:ind w:firstLine="316" w:firstLineChars="15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二、合同金额</w:t>
      </w:r>
    </w:p>
    <w:p>
      <w:pPr>
        <w:keepNext w:val="0"/>
        <w:keepLines w:val="0"/>
        <w:pageBreakBefore w:val="0"/>
        <w:widowControl w:val="0"/>
        <w:kinsoku/>
        <w:wordWrap/>
        <w:overflowPunct/>
        <w:topLinePunct w:val="0"/>
        <w:autoSpaceDE/>
        <w:autoSpaceDN/>
        <w:bidi w:val="0"/>
        <w:snapToGrid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 本合同金额为人民币（大写）：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p>
    <w:p>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 本项目报价方式采用全费用单价方式</w:t>
      </w:r>
      <w:r>
        <w:rPr>
          <w:rFonts w:hint="eastAsia" w:ascii="宋体" w:hAnsi="宋体" w:cs="宋体"/>
          <w:color w:val="auto"/>
          <w:sz w:val="21"/>
          <w:szCs w:val="21"/>
          <w:highlight w:val="none"/>
          <w:lang w:eastAsia="zh-CN"/>
        </w:rPr>
        <w:t>；</w:t>
      </w:r>
      <w:r>
        <w:rPr>
          <w:rFonts w:hint="eastAsia" w:ascii="宋体" w:hAnsi="宋体" w:eastAsia="宋体" w:cs="宋体"/>
          <w:bCs/>
          <w:color w:val="auto"/>
          <w:sz w:val="21"/>
          <w:szCs w:val="21"/>
          <w:highlight w:val="none"/>
        </w:rPr>
        <w:t>投标</w:t>
      </w:r>
      <w:r>
        <w:rPr>
          <w:rFonts w:hint="eastAsia" w:ascii="宋体" w:hAnsi="宋体" w:eastAsia="宋体" w:cs="宋体"/>
          <w:bCs/>
          <w:color w:val="auto"/>
          <w:sz w:val="21"/>
          <w:szCs w:val="21"/>
          <w:highlight w:val="none"/>
          <w:lang w:val="en-US" w:eastAsia="zh-CN"/>
        </w:rPr>
        <w:t>全费用单价</w:t>
      </w:r>
      <w:r>
        <w:rPr>
          <w:rFonts w:hint="eastAsia" w:ascii="宋体" w:hAnsi="宋体" w:eastAsia="宋体" w:cs="宋体"/>
          <w:bCs/>
          <w:color w:val="auto"/>
          <w:sz w:val="21"/>
          <w:szCs w:val="21"/>
          <w:highlight w:val="none"/>
        </w:rPr>
        <w:t>包括所投产品及其备品、备件和专用工具费用、税费及包装、运至最终目的地的运输、保险、现场吊装、搬运费</w:t>
      </w:r>
      <w:r>
        <w:rPr>
          <w:rFonts w:hint="eastAsia" w:ascii="宋体" w:hAnsi="宋体" w:cs="宋体"/>
          <w:bCs/>
          <w:color w:val="auto"/>
          <w:sz w:val="21"/>
          <w:szCs w:val="21"/>
          <w:highlight w:val="none"/>
          <w:lang w:eastAsia="zh-CN"/>
        </w:rPr>
        <w:t>（</w:t>
      </w:r>
      <w:r>
        <w:rPr>
          <w:rFonts w:hint="eastAsia" w:ascii="宋体" w:hAnsi="宋体" w:cs="宋体"/>
          <w:bCs/>
          <w:color w:val="auto"/>
          <w:sz w:val="21"/>
          <w:szCs w:val="21"/>
          <w:highlight w:val="none"/>
          <w:lang w:val="en-US" w:eastAsia="zh-CN"/>
        </w:rPr>
        <w:t>含二次搬运</w:t>
      </w:r>
      <w:r>
        <w:rPr>
          <w:rFonts w:hint="eastAsia" w:ascii="宋体" w:hAnsi="宋体" w:cs="宋体"/>
          <w:bCs/>
          <w:color w:val="auto"/>
          <w:sz w:val="21"/>
          <w:szCs w:val="21"/>
          <w:highlight w:val="none"/>
          <w:lang w:eastAsia="zh-CN"/>
        </w:rPr>
        <w:t>）</w:t>
      </w:r>
      <w:r>
        <w:rPr>
          <w:rFonts w:hint="eastAsia" w:ascii="宋体" w:hAnsi="宋体" w:eastAsia="宋体" w:cs="宋体"/>
          <w:bCs/>
          <w:color w:val="auto"/>
          <w:sz w:val="21"/>
          <w:szCs w:val="21"/>
          <w:highlight w:val="none"/>
        </w:rPr>
        <w:t>、安装调试、</w:t>
      </w:r>
      <w:r>
        <w:rPr>
          <w:rFonts w:hint="eastAsia" w:ascii="宋体" w:hAnsi="宋体" w:cs="宋体"/>
          <w:bCs/>
          <w:color w:val="auto"/>
          <w:sz w:val="21"/>
          <w:szCs w:val="21"/>
          <w:highlight w:val="none"/>
          <w:lang w:val="en-US" w:eastAsia="zh-CN"/>
        </w:rPr>
        <w:t>搬运至指定位置、</w:t>
      </w:r>
      <w:r>
        <w:rPr>
          <w:rFonts w:hint="eastAsia" w:ascii="宋体" w:hAnsi="宋体" w:eastAsia="宋体" w:cs="宋体"/>
          <w:bCs/>
          <w:color w:val="auto"/>
          <w:sz w:val="21"/>
          <w:szCs w:val="21"/>
          <w:highlight w:val="none"/>
        </w:rPr>
        <w:t>检测验收、</w:t>
      </w:r>
      <w:r>
        <w:rPr>
          <w:rFonts w:hint="eastAsia" w:ascii="宋体" w:hAnsi="宋体" w:cs="宋体"/>
          <w:bCs/>
          <w:color w:val="auto"/>
          <w:sz w:val="21"/>
          <w:szCs w:val="21"/>
          <w:highlight w:val="none"/>
          <w:lang w:val="en-US" w:eastAsia="zh-CN"/>
        </w:rPr>
        <w:t>抽样检测、环境检测</w:t>
      </w:r>
      <w:r>
        <w:rPr>
          <w:rFonts w:hint="eastAsia" w:ascii="宋体" w:hAnsi="宋体" w:eastAsia="宋体" w:cs="宋体"/>
          <w:bCs/>
          <w:color w:val="auto"/>
          <w:sz w:val="21"/>
          <w:szCs w:val="21"/>
          <w:highlight w:val="none"/>
        </w:rPr>
        <w:t>、技术支持与培训、售后服务与维保及相关劳务支出等工作所发生的全部费用以及</w:t>
      </w:r>
      <w:r>
        <w:rPr>
          <w:rFonts w:hint="eastAsia" w:ascii="宋体" w:hAnsi="宋体" w:cs="宋体"/>
          <w:bCs/>
          <w:color w:val="auto"/>
          <w:sz w:val="21"/>
          <w:szCs w:val="21"/>
          <w:highlight w:val="none"/>
          <w:lang w:eastAsia="zh-CN"/>
        </w:rPr>
        <w:t>响应人</w:t>
      </w:r>
      <w:r>
        <w:rPr>
          <w:rFonts w:hint="eastAsia" w:ascii="宋体" w:hAnsi="宋体" w:eastAsia="宋体" w:cs="宋体"/>
          <w:bCs/>
          <w:color w:val="auto"/>
          <w:sz w:val="21"/>
          <w:szCs w:val="21"/>
          <w:highlight w:val="none"/>
        </w:rPr>
        <w:t>企业利润、税金和政策性文件规定及合同包含的所有风险、责任等各项应有费用。</w:t>
      </w:r>
    </w:p>
    <w:p>
      <w:pPr>
        <w:keepNext w:val="0"/>
        <w:keepLines w:val="0"/>
        <w:pageBreakBefore w:val="0"/>
        <w:widowControl w:val="0"/>
        <w:kinsoku/>
        <w:wordWrap/>
        <w:overflowPunct/>
        <w:topLinePunct w:val="0"/>
        <w:autoSpaceDE/>
        <w:autoSpaceDN/>
        <w:bidi w:val="0"/>
        <w:snapToGrid w:val="0"/>
        <w:spacing w:line="420" w:lineRule="exact"/>
        <w:ind w:firstLine="413" w:firstLineChars="196"/>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三、技术资料</w:t>
      </w:r>
    </w:p>
    <w:p>
      <w:pPr>
        <w:keepNext w:val="0"/>
        <w:keepLines w:val="0"/>
        <w:pageBreakBefore w:val="0"/>
        <w:widowControl w:val="0"/>
        <w:kinsoku/>
        <w:wordWrap/>
        <w:overflowPunct/>
        <w:topLinePunct w:val="0"/>
        <w:autoSpaceDE/>
        <w:autoSpaceDN/>
        <w:bidi w:val="0"/>
        <w:adjustRightInd w:val="0"/>
        <w:snapToGrid w:val="0"/>
        <w:spacing w:line="420" w:lineRule="exact"/>
        <w:ind w:firstLine="304" w:firstLineChars="145"/>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3.1乙方应按</w:t>
      </w:r>
      <w:r>
        <w:rPr>
          <w:rFonts w:hint="eastAsia" w:ascii="宋体" w:hAnsi="宋体" w:cs="宋体"/>
          <w:color w:val="auto"/>
          <w:sz w:val="21"/>
          <w:szCs w:val="21"/>
          <w:highlight w:val="none"/>
          <w:lang w:eastAsia="zh-CN"/>
        </w:rPr>
        <w:t>采购文件</w:t>
      </w:r>
      <w:r>
        <w:rPr>
          <w:rFonts w:hint="eastAsia" w:ascii="宋体" w:hAnsi="宋体" w:eastAsia="宋体" w:cs="宋体"/>
          <w:color w:val="auto"/>
          <w:sz w:val="21"/>
          <w:szCs w:val="21"/>
          <w:highlight w:val="none"/>
        </w:rPr>
        <w:t>规定的时间向甲方提供使用货物的有关技术资料。</w:t>
      </w:r>
    </w:p>
    <w:p>
      <w:pPr>
        <w:keepNext w:val="0"/>
        <w:keepLines w:val="0"/>
        <w:pageBreakBefore w:val="0"/>
        <w:widowControl w:val="0"/>
        <w:kinsoku/>
        <w:wordWrap/>
        <w:overflowPunct/>
        <w:topLinePunct w:val="0"/>
        <w:autoSpaceDE/>
        <w:autoSpaceDN/>
        <w:bidi w:val="0"/>
        <w:adjustRightInd w:val="0"/>
        <w:snapToGrid w:val="0"/>
        <w:spacing w:line="420" w:lineRule="exact"/>
        <w:ind w:firstLine="315" w:firstLineChars="1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 没有甲方事先书面同意，乙方不得将由甲方提供的有关合同或任何合同条文、规格、计划、图纸、样品或资料提供给与履行本合同无关的任何其他人。即使向履行本合同有关的人员提供，也应注意保密并限于履行合同的必需范围。</w:t>
      </w:r>
    </w:p>
    <w:p>
      <w:pPr>
        <w:keepNext w:val="0"/>
        <w:keepLines w:val="0"/>
        <w:pageBreakBefore w:val="0"/>
        <w:widowControl w:val="0"/>
        <w:kinsoku/>
        <w:wordWrap/>
        <w:overflowPunct/>
        <w:topLinePunct w:val="0"/>
        <w:autoSpaceDE/>
        <w:autoSpaceDN/>
        <w:bidi w:val="0"/>
        <w:adjustRightInd w:val="0"/>
        <w:snapToGrid w:val="0"/>
        <w:spacing w:line="420" w:lineRule="exact"/>
        <w:ind w:left="546" w:leftChars="195"/>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四、知识产权</w:t>
      </w:r>
    </w:p>
    <w:p>
      <w:pPr>
        <w:keepNext w:val="0"/>
        <w:keepLines w:val="0"/>
        <w:pageBreakBefore w:val="0"/>
        <w:widowControl w:val="0"/>
        <w:kinsoku/>
        <w:wordWrap/>
        <w:overflowPunct/>
        <w:topLinePunct w:val="0"/>
        <w:autoSpaceDE/>
        <w:autoSpaceDN/>
        <w:bidi w:val="0"/>
        <w:snapToGrid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乙方保证所提供货物等涉及到的知识产权和所提供的软件、技术资料是合法取得，并享有完整的知识产权，不会因为甲方的使用而被责令停止使用、追偿或要求赔偿损失，如出现此情况，一切经济和法律责任均由乙方承担。</w:t>
      </w:r>
    </w:p>
    <w:p>
      <w:pPr>
        <w:keepNext w:val="0"/>
        <w:keepLines w:val="0"/>
        <w:pageBreakBefore w:val="0"/>
        <w:widowControl w:val="0"/>
        <w:kinsoku/>
        <w:wordWrap/>
        <w:overflowPunct/>
        <w:topLinePunct w:val="0"/>
        <w:autoSpaceDE/>
        <w:autoSpaceDN/>
        <w:bidi w:val="0"/>
        <w:adjustRightInd w:val="0"/>
        <w:snapToGrid w:val="0"/>
        <w:spacing w:line="420" w:lineRule="exact"/>
        <w:ind w:firstLine="413" w:firstLineChars="196"/>
        <w:textAlignment w:val="auto"/>
        <w:rPr>
          <w:rFonts w:hint="eastAsia" w:ascii="宋体" w:hAnsi="宋体" w:eastAsia="宋体" w:cs="宋体"/>
          <w:color w:val="auto"/>
          <w:sz w:val="21"/>
          <w:szCs w:val="21"/>
          <w:highlight w:val="none"/>
          <w:u w:val="single"/>
        </w:rPr>
      </w:pPr>
      <w:r>
        <w:rPr>
          <w:rFonts w:hint="eastAsia" w:ascii="宋体" w:hAnsi="宋体" w:eastAsia="宋体" w:cs="宋体"/>
          <w:b/>
          <w:bCs/>
          <w:color w:val="auto"/>
          <w:sz w:val="21"/>
          <w:szCs w:val="21"/>
          <w:highlight w:val="none"/>
        </w:rPr>
        <w:t>五、产权担保</w:t>
      </w:r>
    </w:p>
    <w:p>
      <w:pPr>
        <w:keepNext w:val="0"/>
        <w:keepLines w:val="0"/>
        <w:pageBreakBefore w:val="0"/>
        <w:widowControl w:val="0"/>
        <w:kinsoku/>
        <w:wordWrap/>
        <w:overflowPunct/>
        <w:topLinePunct w:val="0"/>
        <w:autoSpaceDE/>
        <w:autoSpaceDN/>
        <w:bidi w:val="0"/>
        <w:snapToGrid w:val="0"/>
        <w:spacing w:line="420" w:lineRule="exact"/>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5.1 乙方保证所交付的货物的所有权完全属于乙方且无任何抵押、查封等产权瑕疵。</w:t>
      </w:r>
    </w:p>
    <w:p>
      <w:pPr>
        <w:keepNext w:val="0"/>
        <w:keepLines w:val="0"/>
        <w:pageBreakBefore w:val="0"/>
        <w:widowControl w:val="0"/>
        <w:kinsoku/>
        <w:wordWrap/>
        <w:overflowPunct/>
        <w:topLinePunct w:val="0"/>
        <w:autoSpaceDE/>
        <w:autoSpaceDN/>
        <w:bidi w:val="0"/>
        <w:adjustRightInd w:val="0"/>
        <w:snapToGrid w:val="0"/>
        <w:spacing w:line="420" w:lineRule="exact"/>
        <w:ind w:left="543" w:leftChars="194"/>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六、履约保证金</w:t>
      </w:r>
    </w:p>
    <w:p>
      <w:pPr>
        <w:keepNext w:val="0"/>
        <w:keepLines w:val="0"/>
        <w:pageBreakBefore w:val="0"/>
        <w:widowControl w:val="0"/>
        <w:kinsoku/>
        <w:wordWrap/>
        <w:overflowPunct/>
        <w:topLinePunct w:val="0"/>
        <w:autoSpaceDE/>
        <w:autoSpaceDN/>
        <w:bidi w:val="0"/>
        <w:spacing w:line="42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6.1中标通知书发出后，乙方向</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单位缴纳本合同的履约保证金</w:t>
      </w:r>
      <w:r>
        <w:rPr>
          <w:rFonts w:hint="eastAsia" w:ascii="宋体" w:hAnsi="宋体" w:eastAsia="宋体" w:cs="宋体"/>
          <w:color w:val="auto"/>
          <w:sz w:val="21"/>
          <w:szCs w:val="21"/>
          <w:highlight w:val="none"/>
          <w:lang w:eastAsia="zh-CN"/>
        </w:rPr>
        <w:t>，履约保证金在所</w:t>
      </w:r>
      <w:r>
        <w:rPr>
          <w:rFonts w:hint="eastAsia" w:ascii="宋体" w:hAnsi="宋体" w:eastAsia="宋体" w:cs="宋体"/>
          <w:color w:val="auto"/>
          <w:spacing w:val="2"/>
          <w:sz w:val="21"/>
          <w:szCs w:val="21"/>
          <w:highlight w:val="none"/>
          <w:lang w:val="zh-CN" w:eastAsia="zh-CN"/>
        </w:rPr>
        <w:t>有项目完工且经甲方验收合格后退还（不计息）</w:t>
      </w:r>
      <w:r>
        <w:rPr>
          <w:rFonts w:hint="eastAsia" w:ascii="宋体" w:hAnsi="宋体" w:eastAsia="宋体" w:cs="宋体"/>
          <w:color w:val="auto"/>
          <w:spacing w:val="2"/>
          <w:sz w:val="21"/>
          <w:szCs w:val="21"/>
          <w:highlight w:val="none"/>
          <w:lang w:val="zh-CN"/>
        </w:rPr>
        <w:t>。履约保证金收款单位：江苏金坛滨湖新城开发建设有限公司</w:t>
      </w: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420" w:lineRule="exact"/>
        <w:ind w:firstLine="310" w:firstLineChars="147"/>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七、转包或分包</w:t>
      </w:r>
    </w:p>
    <w:p>
      <w:pPr>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7.1本合同范围的货物，应由乙方直接供应，不得转让他人供应；</w:t>
      </w:r>
    </w:p>
    <w:p>
      <w:pPr>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7.2如有转让和未经甲方同意的分包行为，甲方有权给予终止合同。</w:t>
      </w:r>
    </w:p>
    <w:p>
      <w:pPr>
        <w:keepNext w:val="0"/>
        <w:keepLines w:val="0"/>
        <w:pageBreakBefore w:val="0"/>
        <w:widowControl w:val="0"/>
        <w:kinsoku/>
        <w:wordWrap/>
        <w:overflowPunct/>
        <w:topLinePunct w:val="0"/>
        <w:autoSpaceDE/>
        <w:autoSpaceDN/>
        <w:bidi w:val="0"/>
        <w:adjustRightInd w:val="0"/>
        <w:snapToGrid w:val="0"/>
        <w:spacing w:line="420" w:lineRule="exact"/>
        <w:ind w:firstLine="413" w:firstLineChars="196"/>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八、交货期、交货方式及交货地点</w:t>
      </w:r>
    </w:p>
    <w:p>
      <w:pPr>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8.1 交货期：                        </w:t>
      </w:r>
    </w:p>
    <w:p>
      <w:pPr>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8.2 交货方式：                      </w:t>
      </w:r>
    </w:p>
    <w:p>
      <w:pPr>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8.3交货地点：                      </w:t>
      </w:r>
    </w:p>
    <w:p>
      <w:pPr>
        <w:keepNext w:val="0"/>
        <w:keepLines w:val="0"/>
        <w:pageBreakBefore w:val="0"/>
        <w:widowControl w:val="0"/>
        <w:kinsoku/>
        <w:wordWrap/>
        <w:overflowPunct/>
        <w:topLinePunct w:val="0"/>
        <w:autoSpaceDE/>
        <w:autoSpaceDN/>
        <w:bidi w:val="0"/>
        <w:adjustRightInd w:val="0"/>
        <w:snapToGrid w:val="0"/>
        <w:spacing w:line="420" w:lineRule="exact"/>
        <w:ind w:firstLine="413" w:firstLineChars="196"/>
        <w:textAlignment w:val="auto"/>
        <w:rPr>
          <w:rFonts w:hint="eastAsia" w:ascii="宋体" w:hAnsi="宋体" w:eastAsia="宋体" w:cs="宋体"/>
          <w:b/>
          <w:bCs/>
          <w:color w:val="auto"/>
          <w:sz w:val="21"/>
          <w:szCs w:val="21"/>
          <w:highlight w:val="none"/>
        </w:rPr>
      </w:pPr>
      <w:bookmarkStart w:id="63" w:name="_Toc18274"/>
      <w:r>
        <w:rPr>
          <w:rFonts w:hint="eastAsia" w:ascii="宋体" w:hAnsi="宋体" w:eastAsia="宋体" w:cs="宋体"/>
          <w:b/>
          <w:bCs/>
          <w:color w:val="auto"/>
          <w:sz w:val="21"/>
          <w:szCs w:val="21"/>
          <w:highlight w:val="none"/>
        </w:rPr>
        <w:t>九、质量</w:t>
      </w:r>
      <w:bookmarkEnd w:id="63"/>
      <w:r>
        <w:rPr>
          <w:rFonts w:hint="eastAsia" w:ascii="宋体" w:hAnsi="宋体" w:eastAsia="宋体" w:cs="宋体"/>
          <w:b/>
          <w:bCs/>
          <w:color w:val="auto"/>
          <w:sz w:val="21"/>
          <w:szCs w:val="21"/>
          <w:highlight w:val="none"/>
        </w:rPr>
        <w:t>要求及检验</w:t>
      </w:r>
    </w:p>
    <w:p>
      <w:pPr>
        <w:keepNext w:val="0"/>
        <w:keepLines w:val="0"/>
        <w:pageBreakBefore w:val="0"/>
        <w:widowControl w:val="0"/>
        <w:kinsoku/>
        <w:wordWrap/>
        <w:overflowPunct/>
        <w:topLinePunct w:val="0"/>
        <w:autoSpaceDE/>
        <w:autoSpaceDN/>
        <w:bidi w:val="0"/>
        <w:snapToGrid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w:t>
      </w:r>
      <w:r>
        <w:rPr>
          <w:rFonts w:hint="eastAsia" w:ascii="宋体" w:hAnsi="宋体" w:eastAsia="宋体" w:cs="宋体"/>
          <w:color w:val="auto"/>
          <w:sz w:val="21"/>
          <w:szCs w:val="21"/>
          <w:highlight w:val="none"/>
          <w:lang w:val="en-US" w:eastAsia="zh-CN"/>
        </w:rPr>
        <w:t xml:space="preserve"> </w:t>
      </w:r>
      <w:r>
        <w:rPr>
          <w:rFonts w:hint="eastAsia" w:ascii="宋体" w:hAnsi="宋体" w:cs="宋体"/>
          <w:b/>
          <w:bCs w:val="0"/>
          <w:color w:val="auto"/>
          <w:sz w:val="21"/>
          <w:szCs w:val="21"/>
          <w:highlight w:val="none"/>
          <w:lang w:val="en-US" w:eastAsia="zh-CN"/>
        </w:rPr>
        <w:t>乙方</w:t>
      </w:r>
      <w:r>
        <w:rPr>
          <w:rFonts w:hint="eastAsia" w:ascii="宋体" w:hAnsi="宋体" w:eastAsia="宋体" w:cs="宋体"/>
          <w:b/>
          <w:bCs w:val="0"/>
          <w:color w:val="auto"/>
          <w:sz w:val="21"/>
          <w:szCs w:val="21"/>
          <w:highlight w:val="none"/>
          <w:lang w:eastAsia="zh-CN"/>
        </w:rPr>
        <w:t>需提供大班家具的样板</w:t>
      </w:r>
      <w:r>
        <w:rPr>
          <w:rFonts w:hint="eastAsia" w:ascii="宋体" w:hAnsi="宋体" w:eastAsia="宋体" w:cs="宋体"/>
          <w:b/>
          <w:bCs w:val="0"/>
          <w:color w:val="auto"/>
          <w:sz w:val="21"/>
          <w:szCs w:val="21"/>
          <w:highlight w:val="none"/>
          <w:lang w:val="en-US" w:eastAsia="zh-CN"/>
        </w:rPr>
        <w:t>间（教室、寝室），</w:t>
      </w:r>
      <w:r>
        <w:rPr>
          <w:rFonts w:hint="eastAsia" w:ascii="宋体" w:hAnsi="宋体" w:eastAsia="宋体" w:cs="宋体"/>
          <w:b/>
          <w:bCs w:val="0"/>
          <w:color w:val="auto"/>
          <w:sz w:val="21"/>
          <w:szCs w:val="21"/>
          <w:highlight w:val="none"/>
          <w:lang w:eastAsia="zh-CN"/>
        </w:rPr>
        <w:t>经</w:t>
      </w:r>
      <w:r>
        <w:rPr>
          <w:rFonts w:hint="eastAsia" w:ascii="宋体" w:hAnsi="宋体" w:cs="宋体"/>
          <w:b/>
          <w:bCs w:val="0"/>
          <w:color w:val="auto"/>
          <w:sz w:val="21"/>
          <w:szCs w:val="21"/>
          <w:highlight w:val="none"/>
          <w:lang w:val="en-US" w:eastAsia="zh-CN"/>
        </w:rPr>
        <w:t>建设单位及使用单位</w:t>
      </w:r>
      <w:r>
        <w:rPr>
          <w:rFonts w:hint="eastAsia" w:ascii="宋体" w:hAnsi="宋体" w:eastAsia="宋体" w:cs="宋体"/>
          <w:b/>
          <w:bCs w:val="0"/>
          <w:color w:val="auto"/>
          <w:sz w:val="21"/>
          <w:szCs w:val="21"/>
          <w:highlight w:val="none"/>
          <w:lang w:eastAsia="zh-CN"/>
        </w:rPr>
        <w:t>验收合格后，方可</w:t>
      </w:r>
      <w:r>
        <w:rPr>
          <w:rFonts w:hint="eastAsia" w:ascii="宋体" w:hAnsi="宋体" w:eastAsia="宋体" w:cs="宋体"/>
          <w:b/>
          <w:bCs w:val="0"/>
          <w:color w:val="auto"/>
          <w:sz w:val="21"/>
          <w:szCs w:val="21"/>
          <w:highlight w:val="none"/>
          <w:lang w:val="en-US" w:eastAsia="zh-CN"/>
        </w:rPr>
        <w:t>按样品进行供货且</w:t>
      </w:r>
      <w:r>
        <w:rPr>
          <w:rFonts w:hint="eastAsia" w:ascii="宋体" w:hAnsi="宋体" w:eastAsia="宋体" w:cs="宋体"/>
          <w:b/>
          <w:bCs w:val="0"/>
          <w:color w:val="auto"/>
          <w:sz w:val="21"/>
          <w:szCs w:val="21"/>
          <w:highlight w:val="none"/>
        </w:rPr>
        <w:t>标的物材质不得改变</w:t>
      </w:r>
      <w:r>
        <w:rPr>
          <w:rFonts w:hint="eastAsia" w:ascii="宋体" w:hAnsi="宋体" w:eastAsia="宋体" w:cs="宋体"/>
          <w:b/>
          <w:bCs w:val="0"/>
          <w:color w:val="auto"/>
          <w:sz w:val="21"/>
          <w:szCs w:val="21"/>
          <w:highlight w:val="none"/>
          <w:lang w:eastAsia="zh-CN"/>
        </w:rPr>
        <w:t>，</w:t>
      </w:r>
      <w:r>
        <w:rPr>
          <w:rFonts w:hint="eastAsia" w:ascii="宋体" w:hAnsi="宋体" w:eastAsia="宋体" w:cs="宋体"/>
          <w:b/>
          <w:bCs w:val="0"/>
          <w:color w:val="auto"/>
          <w:sz w:val="21"/>
          <w:szCs w:val="21"/>
          <w:highlight w:val="none"/>
          <w:lang w:val="en-US" w:eastAsia="zh-CN"/>
        </w:rPr>
        <w:t>否则</w:t>
      </w:r>
      <w:r>
        <w:rPr>
          <w:rFonts w:hint="eastAsia" w:ascii="宋体" w:hAnsi="宋体" w:cs="宋体"/>
          <w:b/>
          <w:bCs w:val="0"/>
          <w:color w:val="auto"/>
          <w:sz w:val="21"/>
          <w:szCs w:val="21"/>
          <w:highlight w:val="none"/>
          <w:lang w:val="en-US" w:eastAsia="zh-CN"/>
        </w:rPr>
        <w:t>甲方</w:t>
      </w:r>
      <w:r>
        <w:rPr>
          <w:rFonts w:hint="eastAsia" w:ascii="宋体" w:hAnsi="宋体" w:eastAsia="宋体" w:cs="宋体"/>
          <w:b/>
          <w:bCs w:val="0"/>
          <w:color w:val="auto"/>
          <w:sz w:val="21"/>
          <w:szCs w:val="21"/>
          <w:highlight w:val="none"/>
          <w:lang w:val="en-US" w:eastAsia="zh-CN"/>
        </w:rPr>
        <w:t>有权拒绝其货物</w:t>
      </w:r>
      <w:r>
        <w:rPr>
          <w:rFonts w:hint="eastAsia" w:ascii="宋体" w:hAnsi="宋体" w:eastAsia="宋体" w:cs="宋体"/>
          <w:b/>
          <w:bCs w:val="0"/>
          <w:color w:val="auto"/>
          <w:sz w:val="21"/>
          <w:szCs w:val="21"/>
          <w:highlight w:val="none"/>
          <w:lang w:eastAsia="zh-CN"/>
        </w:rPr>
        <w:t>。</w:t>
      </w:r>
    </w:p>
    <w:p>
      <w:pPr>
        <w:keepNext w:val="0"/>
        <w:keepLines w:val="0"/>
        <w:pageBreakBefore w:val="0"/>
        <w:widowControl w:val="0"/>
        <w:kinsoku/>
        <w:wordWrap/>
        <w:overflowPunct/>
        <w:topLinePunct w:val="0"/>
        <w:autoSpaceDE/>
        <w:autoSpaceDN/>
        <w:bidi w:val="0"/>
        <w:snapToGrid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乙方提供的所有货物在交接过程中都须进行严格的检验和试验。所有检验、试验必须有正式的记录文件，这些记录文件作为技术资料的组成部分应送达甲方。</w:t>
      </w:r>
    </w:p>
    <w:p>
      <w:pPr>
        <w:keepNext w:val="0"/>
        <w:keepLines w:val="0"/>
        <w:pageBreakBefore w:val="0"/>
        <w:widowControl w:val="0"/>
        <w:kinsoku/>
        <w:wordWrap/>
        <w:overflowPunct/>
        <w:topLinePunct w:val="0"/>
        <w:autoSpaceDE/>
        <w:autoSpaceDN/>
        <w:bidi w:val="0"/>
        <w:snapToGrid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9.3</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如有任何货物经检验和试验不符合技术规范的要求，甲方可以拒收。乙方应更换被拒收的货物，使之符合技术规范书的要求，乙方承担由此发生的一切费用。</w:t>
      </w:r>
    </w:p>
    <w:p>
      <w:pPr>
        <w:keepNext w:val="0"/>
        <w:keepLines w:val="0"/>
        <w:pageBreakBefore w:val="0"/>
        <w:widowControl w:val="0"/>
        <w:kinsoku/>
        <w:wordWrap/>
        <w:overflowPunct/>
        <w:topLinePunct w:val="0"/>
        <w:autoSpaceDE/>
        <w:autoSpaceDN/>
        <w:bidi w:val="0"/>
        <w:snapToGrid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9.4 经</w:t>
      </w:r>
      <w:r>
        <w:rPr>
          <w:rFonts w:hint="eastAsia" w:ascii="宋体" w:hAnsi="宋体" w:eastAsia="宋体" w:cs="宋体"/>
          <w:color w:val="auto"/>
          <w:sz w:val="21"/>
          <w:szCs w:val="21"/>
          <w:highlight w:val="none"/>
          <w:lang w:eastAsia="zh-CN"/>
        </w:rPr>
        <w:t>甲方及监理单位初步认可的货物经调试后，在使用过程中出现质量问题，乙方须无条件更换，直至正常使用。</w:t>
      </w:r>
      <w:r>
        <w:rPr>
          <w:rFonts w:hint="eastAsia" w:ascii="宋体" w:hAnsi="宋体" w:eastAsia="宋体" w:cs="宋体"/>
          <w:color w:val="auto"/>
          <w:sz w:val="21"/>
          <w:szCs w:val="21"/>
          <w:highlight w:val="none"/>
        </w:rPr>
        <w:t xml:space="preserve">  </w:t>
      </w:r>
    </w:p>
    <w:p>
      <w:pPr>
        <w:keepNext w:val="0"/>
        <w:keepLines w:val="0"/>
        <w:pageBreakBefore w:val="0"/>
        <w:widowControl w:val="0"/>
        <w:kinsoku/>
        <w:wordWrap/>
        <w:overflowPunct/>
        <w:topLinePunct w:val="0"/>
        <w:autoSpaceDE/>
        <w:autoSpaceDN/>
        <w:bidi w:val="0"/>
        <w:snapToGrid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w:t>
      </w:r>
      <w:r>
        <w:rPr>
          <w:rFonts w:hint="eastAsia" w:ascii="宋体" w:hAnsi="宋体" w:eastAsia="宋体" w:cs="宋体"/>
          <w:color w:val="auto"/>
          <w:sz w:val="21"/>
          <w:szCs w:val="21"/>
          <w:highlight w:val="none"/>
          <w:lang w:val="en-US" w:eastAsia="zh-CN"/>
        </w:rPr>
        <w:t xml:space="preserve">5 </w:t>
      </w:r>
      <w:r>
        <w:rPr>
          <w:rFonts w:hint="eastAsia" w:ascii="宋体" w:hAnsi="宋体" w:eastAsia="宋体" w:cs="宋体"/>
          <w:color w:val="auto"/>
          <w:sz w:val="21"/>
          <w:szCs w:val="21"/>
          <w:highlight w:val="none"/>
        </w:rPr>
        <w:t>货物运达目的地后，</w:t>
      </w:r>
      <w:r>
        <w:rPr>
          <w:rFonts w:hint="eastAsia" w:ascii="宋体" w:hAnsi="宋体" w:eastAsia="宋体" w:cs="宋体"/>
          <w:color w:val="auto"/>
          <w:sz w:val="21"/>
          <w:szCs w:val="21"/>
          <w:highlight w:val="none"/>
          <w:lang w:eastAsia="zh-CN"/>
        </w:rPr>
        <w:t>乙方通知甲方组织相关人员</w:t>
      </w:r>
      <w:r>
        <w:rPr>
          <w:rFonts w:hint="eastAsia" w:ascii="宋体" w:hAnsi="宋体" w:eastAsia="宋体" w:cs="宋体"/>
          <w:color w:val="auto"/>
          <w:sz w:val="21"/>
          <w:szCs w:val="21"/>
          <w:highlight w:val="none"/>
        </w:rPr>
        <w:t>赴现场共同验收。</w:t>
      </w:r>
    </w:p>
    <w:p>
      <w:pPr>
        <w:keepNext w:val="0"/>
        <w:keepLines w:val="0"/>
        <w:pageBreakBefore w:val="0"/>
        <w:widowControl w:val="0"/>
        <w:kinsoku/>
        <w:wordWrap/>
        <w:overflowPunct/>
        <w:topLinePunct w:val="0"/>
        <w:autoSpaceDE/>
        <w:autoSpaceDN/>
        <w:bidi w:val="0"/>
        <w:snapToGrid w:val="0"/>
        <w:spacing w:line="420" w:lineRule="exact"/>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9.</w:t>
      </w:r>
      <w:r>
        <w:rPr>
          <w:rFonts w:hint="eastAsia" w:ascii="宋体" w:hAnsi="宋体" w:eastAsia="宋体" w:cs="宋体"/>
          <w:color w:val="auto"/>
          <w:sz w:val="21"/>
          <w:szCs w:val="21"/>
          <w:highlight w:val="none"/>
          <w:lang w:val="en-US" w:eastAsia="zh-CN"/>
        </w:rPr>
        <w:t xml:space="preserve">6 </w:t>
      </w:r>
      <w:r>
        <w:rPr>
          <w:rFonts w:hint="eastAsia" w:ascii="宋体" w:hAnsi="宋体" w:eastAsia="宋体" w:cs="宋体"/>
          <w:color w:val="auto"/>
          <w:sz w:val="21"/>
          <w:szCs w:val="21"/>
          <w:highlight w:val="none"/>
          <w:lang w:eastAsia="zh-CN"/>
        </w:rPr>
        <w:t>验收中</w:t>
      </w:r>
      <w:r>
        <w:rPr>
          <w:rFonts w:hint="eastAsia" w:ascii="宋体" w:hAnsi="宋体" w:eastAsia="宋体" w:cs="宋体"/>
          <w:color w:val="auto"/>
          <w:sz w:val="21"/>
          <w:szCs w:val="21"/>
          <w:highlight w:val="none"/>
        </w:rPr>
        <w:t>，若发现货物由于非甲方原因发生任何损坏、缺陷、缺少或与合同规定的质量标准和规范不符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甲方有权拒绝其货物</w:t>
      </w:r>
      <w:r>
        <w:rPr>
          <w:rFonts w:hint="eastAsia" w:ascii="宋体" w:hAnsi="宋体" w:eastAsia="宋体" w:cs="宋体"/>
          <w:color w:val="auto"/>
          <w:sz w:val="21"/>
          <w:szCs w:val="21"/>
          <w:highlight w:val="none"/>
          <w:lang w:eastAsia="zh-CN"/>
        </w:rPr>
        <w:t>。</w:t>
      </w:r>
    </w:p>
    <w:p>
      <w:pPr>
        <w:keepNext w:val="0"/>
        <w:keepLines w:val="0"/>
        <w:pageBreakBefore w:val="0"/>
        <w:widowControl w:val="0"/>
        <w:kinsoku/>
        <w:wordWrap/>
        <w:overflowPunct/>
        <w:topLinePunct w:val="0"/>
        <w:autoSpaceDE/>
        <w:autoSpaceDN/>
        <w:bidi w:val="0"/>
        <w:snapToGrid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w:t>
      </w:r>
      <w:r>
        <w:rPr>
          <w:rFonts w:hint="eastAsia" w:ascii="宋体" w:hAnsi="宋体" w:eastAsia="宋体" w:cs="宋体"/>
          <w:color w:val="auto"/>
          <w:sz w:val="21"/>
          <w:szCs w:val="21"/>
          <w:highlight w:val="none"/>
          <w:lang w:val="en-US" w:eastAsia="zh-CN"/>
        </w:rPr>
        <w:t xml:space="preserve">7 </w:t>
      </w:r>
      <w:r>
        <w:rPr>
          <w:rFonts w:hint="eastAsia" w:ascii="宋体" w:hAnsi="宋体" w:eastAsia="宋体" w:cs="宋体"/>
          <w:color w:val="auto"/>
          <w:sz w:val="21"/>
          <w:szCs w:val="21"/>
          <w:highlight w:val="none"/>
        </w:rPr>
        <w:t>若乙方代表未按约定时间赴现场参加验收，甲方有权自行开箱清点检验，其检验结果和记录对双方同样有效，并作为甲方向乙方索赔的有效证据。</w:t>
      </w:r>
    </w:p>
    <w:p>
      <w:pPr>
        <w:keepNext w:val="0"/>
        <w:keepLines w:val="0"/>
        <w:pageBreakBefore w:val="0"/>
        <w:widowControl w:val="0"/>
        <w:kinsoku/>
        <w:wordWrap/>
        <w:overflowPunct/>
        <w:topLinePunct w:val="0"/>
        <w:autoSpaceDE/>
        <w:autoSpaceDN/>
        <w:bidi w:val="0"/>
        <w:snapToGrid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w:t>
      </w:r>
      <w:r>
        <w:rPr>
          <w:rFonts w:hint="eastAsia" w:ascii="宋体" w:hAnsi="宋体" w:eastAsia="宋体" w:cs="宋体"/>
          <w:color w:val="auto"/>
          <w:sz w:val="21"/>
          <w:szCs w:val="21"/>
          <w:highlight w:val="none"/>
          <w:lang w:val="en-US" w:eastAsia="zh-CN"/>
        </w:rPr>
        <w:t xml:space="preserve">8 </w:t>
      </w:r>
      <w:r>
        <w:rPr>
          <w:rFonts w:hint="eastAsia" w:ascii="宋体" w:hAnsi="宋体" w:eastAsia="宋体" w:cs="宋体"/>
          <w:color w:val="auto"/>
          <w:sz w:val="21"/>
          <w:szCs w:val="21"/>
          <w:highlight w:val="none"/>
        </w:rPr>
        <w:t>乙方如对甲方提出的修理、更换、索赔要求有异议，应在接到甲方书面通知后3天内提出，并在该时间内派代表赴现场同甲方代表共同复验。</w:t>
      </w:r>
    </w:p>
    <w:p>
      <w:pPr>
        <w:keepNext w:val="0"/>
        <w:keepLines w:val="0"/>
        <w:pageBreakBefore w:val="0"/>
        <w:widowControl w:val="0"/>
        <w:kinsoku/>
        <w:wordWrap/>
        <w:overflowPunct/>
        <w:topLinePunct w:val="0"/>
        <w:autoSpaceDE/>
        <w:autoSpaceDN/>
        <w:bidi w:val="0"/>
        <w:snapToGrid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w:t>
      </w:r>
      <w:r>
        <w:rPr>
          <w:rFonts w:hint="eastAsia" w:ascii="宋体" w:hAnsi="宋体" w:eastAsia="宋体" w:cs="宋体"/>
          <w:color w:val="auto"/>
          <w:sz w:val="21"/>
          <w:szCs w:val="21"/>
          <w:highlight w:val="none"/>
          <w:lang w:val="en-US" w:eastAsia="zh-CN"/>
        </w:rPr>
        <w:t xml:space="preserve">9 </w:t>
      </w:r>
      <w:r>
        <w:rPr>
          <w:rFonts w:hint="eastAsia" w:ascii="宋体" w:hAnsi="宋体" w:eastAsia="宋体" w:cs="宋体"/>
          <w:color w:val="auto"/>
          <w:sz w:val="21"/>
          <w:szCs w:val="21"/>
          <w:highlight w:val="none"/>
        </w:rPr>
        <w:t>双方代表在工程现场会同检验中对检验记录不能取得一致意见时，可由双方委托权威的第三方检验机构或双方与权威检验机构联合进行检验。检验结果对双方都有约束力，检验费用由责任方负担。</w:t>
      </w:r>
    </w:p>
    <w:p>
      <w:pPr>
        <w:keepNext w:val="0"/>
        <w:keepLines w:val="0"/>
        <w:pageBreakBefore w:val="0"/>
        <w:widowControl w:val="0"/>
        <w:kinsoku/>
        <w:wordWrap/>
        <w:overflowPunct/>
        <w:topLinePunct w:val="0"/>
        <w:autoSpaceDE/>
        <w:autoSpaceDN/>
        <w:bidi w:val="0"/>
        <w:snapToGrid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9.10 </w:t>
      </w:r>
      <w:r>
        <w:rPr>
          <w:rFonts w:hint="eastAsia" w:ascii="宋体" w:hAnsi="宋体" w:eastAsia="宋体" w:cs="宋体"/>
          <w:color w:val="auto"/>
          <w:sz w:val="21"/>
          <w:szCs w:val="21"/>
          <w:highlight w:val="none"/>
        </w:rPr>
        <w:t>乙方在接到甲方按本合同规定提出的索赔通知后，应尽快修理、更换或补发短缺部分，由此产生的制造、修理和运费及保险费</w:t>
      </w:r>
      <w:r>
        <w:rPr>
          <w:rFonts w:hint="eastAsia" w:ascii="宋体" w:hAnsi="宋体" w:eastAsia="宋体" w:cs="宋体"/>
          <w:color w:val="auto"/>
          <w:sz w:val="21"/>
          <w:szCs w:val="21"/>
          <w:highlight w:val="none"/>
          <w:lang w:eastAsia="zh-CN"/>
        </w:rPr>
        <w:t>等所有费用</w:t>
      </w:r>
      <w:r>
        <w:rPr>
          <w:rFonts w:hint="eastAsia" w:ascii="宋体" w:hAnsi="宋体" w:eastAsia="宋体" w:cs="宋体"/>
          <w:color w:val="auto"/>
          <w:sz w:val="21"/>
          <w:szCs w:val="21"/>
          <w:highlight w:val="none"/>
        </w:rPr>
        <w:t>均由乙方负担。上述索赔，甲方从付款中扣除。</w:t>
      </w:r>
    </w:p>
    <w:p>
      <w:pPr>
        <w:keepNext w:val="0"/>
        <w:keepLines w:val="0"/>
        <w:pageBreakBefore w:val="0"/>
        <w:widowControl w:val="0"/>
        <w:kinsoku/>
        <w:wordWrap/>
        <w:overflowPunct/>
        <w:topLinePunct w:val="0"/>
        <w:autoSpaceDE/>
        <w:autoSpaceDN/>
        <w:bidi w:val="0"/>
        <w:snapToGrid w:val="0"/>
        <w:spacing w:line="42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cs="宋体"/>
          <w:bCs/>
          <w:color w:val="auto"/>
          <w:sz w:val="21"/>
          <w:szCs w:val="21"/>
          <w:highlight w:val="none"/>
          <w:lang w:val="en-US" w:eastAsia="zh-CN"/>
        </w:rPr>
        <w:t xml:space="preserve">9.11 </w:t>
      </w:r>
      <w:r>
        <w:rPr>
          <w:rFonts w:hint="eastAsia" w:ascii="宋体" w:hAnsi="宋体" w:eastAsia="宋体" w:cs="宋体"/>
          <w:bCs/>
          <w:color w:val="auto"/>
          <w:sz w:val="21"/>
          <w:szCs w:val="21"/>
          <w:highlight w:val="none"/>
        </w:rPr>
        <w:t>在交货时必须原包装现场拆封验收。</w:t>
      </w:r>
      <w:r>
        <w:rPr>
          <w:rFonts w:hint="eastAsia" w:ascii="宋体" w:hAnsi="宋体" w:cs="宋体"/>
          <w:bCs/>
          <w:color w:val="auto"/>
          <w:sz w:val="21"/>
          <w:szCs w:val="21"/>
          <w:highlight w:val="none"/>
          <w:lang w:val="en-US" w:eastAsia="zh-CN"/>
        </w:rPr>
        <w:t>甲方</w:t>
      </w:r>
      <w:r>
        <w:rPr>
          <w:rFonts w:hint="eastAsia" w:ascii="宋体" w:hAnsi="宋体" w:eastAsia="宋体" w:cs="宋体"/>
          <w:bCs/>
          <w:color w:val="auto"/>
          <w:sz w:val="21"/>
          <w:szCs w:val="21"/>
          <w:highlight w:val="none"/>
        </w:rPr>
        <w:t>有权邀请相关质检部门和专家进行现场抽检（对</w:t>
      </w:r>
      <w:r>
        <w:rPr>
          <w:rFonts w:hint="eastAsia" w:ascii="宋体" w:hAnsi="宋体" w:cs="宋体"/>
          <w:bCs/>
          <w:color w:val="auto"/>
          <w:sz w:val="21"/>
          <w:szCs w:val="21"/>
          <w:highlight w:val="none"/>
          <w:lang w:val="en-US" w:eastAsia="zh-CN"/>
        </w:rPr>
        <w:t>乙方</w:t>
      </w:r>
      <w:r>
        <w:rPr>
          <w:rFonts w:hint="eastAsia" w:ascii="宋体" w:hAnsi="宋体" w:eastAsia="宋体" w:cs="宋体"/>
          <w:bCs/>
          <w:color w:val="auto"/>
          <w:sz w:val="21"/>
          <w:szCs w:val="21"/>
          <w:highlight w:val="none"/>
        </w:rPr>
        <w:t>的产品按不超过合同总金额5%的比例进行随机抽检），并出具书面检验报告，相关检测费用及专家费用等由</w:t>
      </w:r>
      <w:r>
        <w:rPr>
          <w:rFonts w:hint="eastAsia" w:ascii="宋体" w:hAnsi="宋体" w:cs="宋体"/>
          <w:bCs/>
          <w:color w:val="auto"/>
          <w:sz w:val="21"/>
          <w:szCs w:val="21"/>
          <w:highlight w:val="none"/>
          <w:lang w:val="en-US" w:eastAsia="zh-CN"/>
        </w:rPr>
        <w:t>乙方</w:t>
      </w:r>
      <w:r>
        <w:rPr>
          <w:rFonts w:hint="eastAsia" w:ascii="宋体" w:hAnsi="宋体" w:eastAsia="宋体" w:cs="宋体"/>
          <w:bCs/>
          <w:color w:val="auto"/>
          <w:sz w:val="21"/>
          <w:szCs w:val="21"/>
          <w:highlight w:val="none"/>
        </w:rPr>
        <w:t>承担，</w:t>
      </w:r>
      <w:r>
        <w:rPr>
          <w:rFonts w:hint="eastAsia" w:ascii="宋体" w:hAnsi="宋体" w:cs="宋体"/>
          <w:bCs/>
          <w:color w:val="auto"/>
          <w:sz w:val="21"/>
          <w:szCs w:val="21"/>
          <w:highlight w:val="none"/>
          <w:lang w:val="en-US" w:eastAsia="zh-CN"/>
        </w:rPr>
        <w:t>甲方</w:t>
      </w:r>
      <w:r>
        <w:rPr>
          <w:rFonts w:hint="eastAsia" w:ascii="宋体" w:hAnsi="宋体" w:eastAsia="宋体" w:cs="宋体"/>
          <w:bCs/>
          <w:color w:val="auto"/>
          <w:sz w:val="21"/>
          <w:szCs w:val="21"/>
          <w:highlight w:val="none"/>
        </w:rPr>
        <w:t>不再另行支付，若</w:t>
      </w:r>
      <w:r>
        <w:rPr>
          <w:rFonts w:hint="eastAsia" w:ascii="宋体" w:hAnsi="宋体" w:cs="宋体"/>
          <w:bCs/>
          <w:color w:val="auto"/>
          <w:sz w:val="21"/>
          <w:szCs w:val="21"/>
          <w:highlight w:val="none"/>
          <w:lang w:val="en-US" w:eastAsia="zh-CN"/>
        </w:rPr>
        <w:t>乙方</w:t>
      </w:r>
      <w:r>
        <w:rPr>
          <w:rFonts w:hint="eastAsia" w:ascii="宋体" w:hAnsi="宋体" w:eastAsia="宋体" w:cs="宋体"/>
          <w:bCs/>
          <w:color w:val="auto"/>
          <w:sz w:val="21"/>
          <w:szCs w:val="21"/>
          <w:highlight w:val="none"/>
        </w:rPr>
        <w:t>未予支付的，将在成交金额中扣除。若检验检测合格，</w:t>
      </w:r>
      <w:r>
        <w:rPr>
          <w:rFonts w:hint="eastAsia" w:ascii="宋体" w:hAnsi="宋体" w:cs="宋体"/>
          <w:bCs/>
          <w:color w:val="auto"/>
          <w:sz w:val="21"/>
          <w:szCs w:val="21"/>
          <w:highlight w:val="none"/>
          <w:lang w:val="en-US" w:eastAsia="zh-CN"/>
        </w:rPr>
        <w:t>甲方</w:t>
      </w:r>
      <w:r>
        <w:rPr>
          <w:rFonts w:hint="eastAsia" w:ascii="宋体" w:hAnsi="宋体" w:eastAsia="宋体" w:cs="宋体"/>
          <w:bCs/>
          <w:color w:val="auto"/>
          <w:sz w:val="21"/>
          <w:szCs w:val="21"/>
          <w:highlight w:val="none"/>
        </w:rPr>
        <w:t>组织整个项目的验收，由</w:t>
      </w:r>
      <w:r>
        <w:rPr>
          <w:rFonts w:hint="eastAsia" w:ascii="宋体" w:hAnsi="宋体" w:cs="宋体"/>
          <w:bCs/>
          <w:color w:val="auto"/>
          <w:sz w:val="21"/>
          <w:szCs w:val="21"/>
          <w:highlight w:val="none"/>
          <w:lang w:val="en-US" w:eastAsia="zh-CN"/>
        </w:rPr>
        <w:t>甲方</w:t>
      </w:r>
      <w:r>
        <w:rPr>
          <w:rFonts w:hint="eastAsia" w:ascii="宋体" w:hAnsi="宋体" w:eastAsia="宋体" w:cs="宋体"/>
          <w:bCs/>
          <w:color w:val="auto"/>
          <w:sz w:val="21"/>
          <w:szCs w:val="21"/>
          <w:highlight w:val="none"/>
        </w:rPr>
        <w:t>与</w:t>
      </w:r>
      <w:r>
        <w:rPr>
          <w:rFonts w:hint="eastAsia" w:ascii="宋体" w:hAnsi="宋体" w:cs="宋体"/>
          <w:bCs/>
          <w:color w:val="auto"/>
          <w:sz w:val="21"/>
          <w:szCs w:val="21"/>
          <w:highlight w:val="none"/>
          <w:lang w:val="en-US" w:eastAsia="zh-CN"/>
        </w:rPr>
        <w:t>乙方</w:t>
      </w:r>
      <w:r>
        <w:rPr>
          <w:rFonts w:hint="eastAsia" w:ascii="宋体" w:hAnsi="宋体" w:eastAsia="宋体" w:cs="宋体"/>
          <w:bCs/>
          <w:color w:val="auto"/>
          <w:sz w:val="21"/>
          <w:szCs w:val="21"/>
          <w:highlight w:val="none"/>
        </w:rPr>
        <w:t>双方共同对标的物的数量、规格、外观、质量、性能、随机备件备品、装箱单、随机资料、包装等进行详细而全面的检验。</w:t>
      </w:r>
    </w:p>
    <w:p>
      <w:pPr>
        <w:keepNext w:val="0"/>
        <w:keepLines w:val="0"/>
        <w:pageBreakBefore w:val="0"/>
        <w:widowControl w:val="0"/>
        <w:kinsoku/>
        <w:wordWrap/>
        <w:overflowPunct/>
        <w:topLinePunct w:val="0"/>
        <w:autoSpaceDE/>
        <w:autoSpaceDN/>
        <w:bidi w:val="0"/>
        <w:snapToGrid w:val="0"/>
        <w:spacing w:line="420" w:lineRule="exact"/>
        <w:ind w:firstLine="420" w:firstLineChars="200"/>
        <w:textAlignment w:val="auto"/>
        <w:rPr>
          <w:rFonts w:hint="default" w:ascii="宋体" w:hAnsi="宋体" w:cs="宋体"/>
          <w:bCs/>
          <w:color w:val="auto"/>
          <w:sz w:val="21"/>
          <w:szCs w:val="21"/>
          <w:highlight w:val="none"/>
          <w:lang w:val="en-US" w:eastAsia="zh-CN"/>
        </w:rPr>
      </w:pPr>
      <w:r>
        <w:rPr>
          <w:rFonts w:hint="eastAsia" w:ascii="宋体" w:hAnsi="宋体" w:cs="宋体"/>
          <w:bCs/>
          <w:color w:val="auto"/>
          <w:sz w:val="21"/>
          <w:szCs w:val="21"/>
          <w:highlight w:val="none"/>
          <w:lang w:val="en-US" w:eastAsia="zh-CN"/>
        </w:rPr>
        <w:t>9.12 家具进场且安装布置完成后，乙方需按甲方要求提供合格的环境检测报告。</w:t>
      </w:r>
    </w:p>
    <w:p>
      <w:pPr>
        <w:keepNext w:val="0"/>
        <w:keepLines w:val="0"/>
        <w:pageBreakBefore w:val="0"/>
        <w:widowControl w:val="0"/>
        <w:kinsoku/>
        <w:wordWrap/>
        <w:overflowPunct/>
        <w:topLinePunct w:val="0"/>
        <w:autoSpaceDE/>
        <w:autoSpaceDN/>
        <w:bidi w:val="0"/>
        <w:snapToGrid w:val="0"/>
        <w:spacing w:line="420" w:lineRule="exact"/>
        <w:ind w:firstLine="420" w:firstLineChars="200"/>
        <w:textAlignment w:val="auto"/>
        <w:rPr>
          <w:rFonts w:hint="default" w:eastAsia="宋体"/>
          <w:color w:val="auto"/>
          <w:highlight w:val="none"/>
          <w:lang w:val="en-US" w:eastAsia="zh-CN"/>
        </w:rPr>
      </w:pPr>
      <w:r>
        <w:rPr>
          <w:rFonts w:hint="eastAsia" w:ascii="宋体" w:hAnsi="宋体" w:cs="宋体"/>
          <w:color w:val="auto"/>
          <w:sz w:val="21"/>
          <w:szCs w:val="21"/>
          <w:highlight w:val="none"/>
          <w:lang w:val="en-US" w:eastAsia="zh-CN"/>
        </w:rPr>
        <w:t xml:space="preserve">9.13 </w:t>
      </w:r>
      <w:r>
        <w:rPr>
          <w:rFonts w:hint="eastAsia" w:ascii="宋体" w:hAnsi="宋体" w:eastAsia="宋体" w:cs="宋体"/>
          <w:color w:val="auto"/>
          <w:sz w:val="21"/>
          <w:szCs w:val="21"/>
          <w:highlight w:val="none"/>
        </w:rPr>
        <w:t>上述各项检验仅是现场的到货检验，尽管没有发现问题或乙方已按索赔要求予以更换或修理均不能被视为乙方应承担的质量保证责任的解除。</w:t>
      </w:r>
    </w:p>
    <w:p>
      <w:pPr>
        <w:keepNext w:val="0"/>
        <w:keepLines w:val="0"/>
        <w:pageBreakBefore w:val="0"/>
        <w:widowControl w:val="0"/>
        <w:kinsoku/>
        <w:wordWrap/>
        <w:overflowPunct/>
        <w:topLinePunct w:val="0"/>
        <w:autoSpaceDE/>
        <w:autoSpaceDN/>
        <w:bidi w:val="0"/>
        <w:spacing w:line="420" w:lineRule="exact"/>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十、货款支付</w:t>
      </w:r>
    </w:p>
    <w:p>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10.1结付程序：乙方按本合同内容合格地履行供货义务后，到</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办理货款（或工程款）结算手续。</w:t>
      </w:r>
    </w:p>
    <w:p>
      <w:pPr>
        <w:keepNext w:val="0"/>
        <w:keepLines w:val="0"/>
        <w:pageBreakBefore w:val="0"/>
        <w:widowControl w:val="0"/>
        <w:kinsoku/>
        <w:wordWrap/>
        <w:overflowPunct/>
        <w:topLinePunct w:val="0"/>
        <w:autoSpaceDE/>
        <w:autoSpaceDN/>
        <w:bidi w:val="0"/>
        <w:adjustRightInd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10.2付款方式：</w:t>
      </w:r>
    </w:p>
    <w:p>
      <w:pPr>
        <w:keepNext w:val="0"/>
        <w:keepLines w:val="0"/>
        <w:pageBreakBefore w:val="0"/>
        <w:widowControl w:val="0"/>
        <w:kinsoku/>
        <w:wordWrap/>
        <w:overflowPunct/>
        <w:topLinePunct w:val="0"/>
        <w:autoSpaceDE/>
        <w:autoSpaceDN/>
        <w:bidi w:val="0"/>
        <w:adjustRightInd w:val="0"/>
        <w:spacing w:line="420" w:lineRule="exact"/>
        <w:ind w:firstLine="420" w:firstLineChars="200"/>
        <w:textAlignment w:val="auto"/>
        <w:rPr>
          <w:rFonts w:hint="eastAsia" w:ascii="宋体" w:hAnsi="宋体" w:eastAsia="宋体" w:cs="宋体"/>
          <w:bCs/>
          <w:color w:val="auto"/>
          <w:sz w:val="21"/>
          <w:szCs w:val="21"/>
          <w:highlight w:val="none"/>
          <w:lang w:eastAsia="zh-CN"/>
        </w:rPr>
      </w:pPr>
      <w:r>
        <w:rPr>
          <w:rFonts w:hint="eastAsia" w:ascii="宋体" w:hAnsi="宋体" w:cs="宋体"/>
          <w:bCs/>
          <w:color w:val="auto"/>
          <w:sz w:val="21"/>
          <w:szCs w:val="21"/>
          <w:highlight w:val="none"/>
          <w:lang w:val="en-US" w:eastAsia="zh-CN"/>
        </w:rPr>
        <w:t>产品</w:t>
      </w:r>
      <w:r>
        <w:rPr>
          <w:rFonts w:hint="eastAsia" w:ascii="宋体" w:hAnsi="宋体" w:eastAsia="宋体" w:cs="宋体"/>
          <w:bCs/>
          <w:color w:val="auto"/>
          <w:sz w:val="21"/>
          <w:szCs w:val="21"/>
          <w:highlight w:val="none"/>
          <w:lang w:eastAsia="zh-CN"/>
        </w:rPr>
        <w:t>送达施工现场，安装调试</w:t>
      </w:r>
      <w:r>
        <w:rPr>
          <w:rFonts w:hint="eastAsia" w:ascii="宋体" w:hAnsi="宋体" w:cs="宋体"/>
          <w:bCs/>
          <w:color w:val="auto"/>
          <w:sz w:val="21"/>
          <w:szCs w:val="21"/>
          <w:highlight w:val="none"/>
          <w:lang w:val="en-US" w:eastAsia="zh-CN"/>
        </w:rPr>
        <w:t>完成并验收</w:t>
      </w:r>
      <w:r>
        <w:rPr>
          <w:rFonts w:hint="eastAsia" w:ascii="宋体" w:hAnsi="宋体" w:eastAsia="宋体" w:cs="宋体"/>
          <w:bCs/>
          <w:color w:val="auto"/>
          <w:sz w:val="21"/>
          <w:szCs w:val="21"/>
          <w:highlight w:val="none"/>
          <w:lang w:eastAsia="zh-CN"/>
        </w:rPr>
        <w:t>合格后，付至合同价的60%；</w:t>
      </w:r>
    </w:p>
    <w:p>
      <w:pPr>
        <w:keepNext w:val="0"/>
        <w:keepLines w:val="0"/>
        <w:pageBreakBefore w:val="0"/>
        <w:widowControl w:val="0"/>
        <w:kinsoku/>
        <w:wordWrap/>
        <w:overflowPunct/>
        <w:topLinePunct w:val="0"/>
        <w:autoSpaceDE/>
        <w:autoSpaceDN/>
        <w:bidi w:val="0"/>
        <w:adjustRightInd w:val="0"/>
        <w:spacing w:line="420" w:lineRule="exact"/>
        <w:ind w:firstLine="420" w:firstLineChars="200"/>
        <w:textAlignment w:val="auto"/>
        <w:rPr>
          <w:rFonts w:hint="eastAsia" w:ascii="宋体" w:hAnsi="宋体" w:cs="宋体"/>
          <w:bCs/>
          <w:color w:val="auto"/>
          <w:sz w:val="21"/>
          <w:szCs w:val="21"/>
          <w:highlight w:val="none"/>
          <w:lang w:val="en-US" w:eastAsia="zh-CN"/>
        </w:rPr>
      </w:pPr>
      <w:r>
        <w:rPr>
          <w:rFonts w:hint="eastAsia" w:ascii="宋体" w:hAnsi="宋体" w:cs="宋体"/>
          <w:bCs/>
          <w:color w:val="auto"/>
          <w:sz w:val="21"/>
          <w:szCs w:val="21"/>
          <w:highlight w:val="none"/>
          <w:lang w:val="en-US" w:eastAsia="zh-CN"/>
        </w:rPr>
        <w:t>产品</w:t>
      </w:r>
      <w:r>
        <w:rPr>
          <w:rFonts w:hint="eastAsia" w:ascii="宋体" w:hAnsi="宋体" w:eastAsia="宋体" w:cs="宋体"/>
          <w:bCs/>
          <w:color w:val="auto"/>
          <w:sz w:val="21"/>
          <w:szCs w:val="21"/>
          <w:highlight w:val="none"/>
          <w:lang w:eastAsia="zh-CN"/>
        </w:rPr>
        <w:t>安装调试</w:t>
      </w:r>
      <w:r>
        <w:rPr>
          <w:rFonts w:hint="eastAsia" w:ascii="宋体" w:hAnsi="宋体" w:cs="宋体"/>
          <w:bCs/>
          <w:color w:val="auto"/>
          <w:sz w:val="21"/>
          <w:szCs w:val="21"/>
          <w:highlight w:val="none"/>
          <w:lang w:val="en-US" w:eastAsia="zh-CN"/>
        </w:rPr>
        <w:t>完成并验收</w:t>
      </w:r>
      <w:r>
        <w:rPr>
          <w:rFonts w:hint="eastAsia" w:ascii="宋体" w:hAnsi="宋体" w:eastAsia="宋体" w:cs="宋体"/>
          <w:bCs/>
          <w:color w:val="auto"/>
          <w:sz w:val="21"/>
          <w:szCs w:val="21"/>
          <w:highlight w:val="none"/>
          <w:lang w:eastAsia="zh-CN"/>
        </w:rPr>
        <w:t>合格满一年后</w:t>
      </w:r>
      <w:r>
        <w:rPr>
          <w:rFonts w:hint="eastAsia" w:ascii="宋体" w:hAnsi="宋体" w:cs="宋体"/>
          <w:bCs/>
          <w:color w:val="auto"/>
          <w:sz w:val="21"/>
          <w:szCs w:val="21"/>
          <w:highlight w:val="none"/>
          <w:lang w:val="en-US" w:eastAsia="zh-CN"/>
        </w:rPr>
        <w:t>付至审定价的97%；</w:t>
      </w:r>
    </w:p>
    <w:p>
      <w:pPr>
        <w:keepNext w:val="0"/>
        <w:keepLines w:val="0"/>
        <w:pageBreakBefore w:val="0"/>
        <w:widowControl w:val="0"/>
        <w:kinsoku/>
        <w:wordWrap/>
        <w:overflowPunct/>
        <w:topLinePunct w:val="0"/>
        <w:autoSpaceDE/>
        <w:autoSpaceDN/>
        <w:bidi w:val="0"/>
        <w:adjustRightInd w:val="0"/>
        <w:spacing w:line="420" w:lineRule="exact"/>
        <w:ind w:firstLine="420" w:firstLineChars="200"/>
        <w:textAlignment w:val="auto"/>
        <w:rPr>
          <w:rFonts w:hint="eastAsia" w:ascii="宋体" w:hAnsi="宋体" w:eastAsia="宋体" w:cs="宋体"/>
          <w:bCs/>
          <w:color w:val="auto"/>
          <w:sz w:val="21"/>
          <w:szCs w:val="21"/>
          <w:highlight w:val="none"/>
          <w:lang w:eastAsia="zh-CN"/>
        </w:rPr>
      </w:pPr>
      <w:r>
        <w:rPr>
          <w:rFonts w:hint="eastAsia" w:ascii="宋体" w:hAnsi="宋体" w:cs="宋体"/>
          <w:bCs/>
          <w:color w:val="auto"/>
          <w:sz w:val="21"/>
          <w:szCs w:val="21"/>
          <w:highlight w:val="none"/>
          <w:lang w:val="en-US" w:eastAsia="zh-CN"/>
        </w:rPr>
        <w:t>承诺质保期期满后</w:t>
      </w:r>
      <w:r>
        <w:rPr>
          <w:rFonts w:hint="eastAsia" w:ascii="宋体" w:hAnsi="宋体" w:eastAsia="宋体" w:cs="宋体"/>
          <w:bCs/>
          <w:color w:val="auto"/>
          <w:sz w:val="21"/>
          <w:szCs w:val="21"/>
          <w:highlight w:val="none"/>
          <w:lang w:eastAsia="zh-CN"/>
        </w:rPr>
        <w:t>付清余款（质保金</w:t>
      </w:r>
      <w:r>
        <w:rPr>
          <w:rFonts w:hint="eastAsia" w:ascii="宋体" w:hAnsi="宋体" w:cs="宋体"/>
          <w:bCs/>
          <w:color w:val="auto"/>
          <w:sz w:val="21"/>
          <w:szCs w:val="21"/>
          <w:highlight w:val="none"/>
          <w:lang w:val="en-US" w:eastAsia="zh-CN"/>
        </w:rPr>
        <w:t>为审定价的3%</w:t>
      </w:r>
      <w:r>
        <w:rPr>
          <w:rFonts w:hint="eastAsia" w:ascii="宋体" w:hAnsi="宋体" w:eastAsia="宋体" w:cs="宋体"/>
          <w:bCs/>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val="0"/>
        <w:spacing w:line="420" w:lineRule="exact"/>
        <w:ind w:firstLine="420" w:firstLineChars="200"/>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注：付款时须提供等额的增值税专用发票。</w:t>
      </w:r>
    </w:p>
    <w:p>
      <w:pPr>
        <w:keepNext w:val="0"/>
        <w:keepLines w:val="0"/>
        <w:pageBreakBefore w:val="0"/>
        <w:widowControl w:val="0"/>
        <w:kinsoku/>
        <w:wordWrap/>
        <w:overflowPunct/>
        <w:topLinePunct w:val="0"/>
        <w:autoSpaceDE/>
        <w:autoSpaceDN/>
        <w:bidi w:val="0"/>
        <w:adjustRightInd w:val="0"/>
        <w:spacing w:line="42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10.3 </w:t>
      </w:r>
      <w:r>
        <w:rPr>
          <w:rFonts w:hint="eastAsia" w:ascii="宋体" w:hAnsi="宋体" w:eastAsia="宋体" w:cs="宋体"/>
          <w:color w:val="auto"/>
          <w:sz w:val="21"/>
          <w:szCs w:val="21"/>
          <w:highlight w:val="none"/>
        </w:rPr>
        <w:t>乙方应在工程结算送审前办理完所有与工程有关的签证，结算审核过程中一律不得补办；关于结算审计费：本工程结算审核的核减率控制在8%内（含8%）。如12%≥核减率＞8%时，审计费用乙方必须承担一半；核减率＞12%时，该工程所有审计费均由乙方承担。</w:t>
      </w:r>
      <w:r>
        <w:rPr>
          <w:rFonts w:hint="eastAsia" w:ascii="宋体" w:hAnsi="宋体" w:eastAsia="宋体" w:cs="宋体"/>
          <w:color w:val="auto"/>
          <w:sz w:val="21"/>
          <w:szCs w:val="21"/>
          <w:highlight w:val="none"/>
          <w:lang w:eastAsia="zh-CN"/>
        </w:rPr>
        <w:t>以上费用不累计。</w:t>
      </w:r>
      <w:r>
        <w:rPr>
          <w:rFonts w:hint="eastAsia" w:ascii="宋体" w:hAnsi="宋体" w:eastAsia="宋体" w:cs="宋体"/>
          <w:color w:val="auto"/>
          <w:sz w:val="21"/>
          <w:szCs w:val="21"/>
          <w:highlight w:val="none"/>
        </w:rPr>
        <w:t>结算送审资料按照审计部门相关规定执行。</w:t>
      </w:r>
    </w:p>
    <w:p>
      <w:pPr>
        <w:keepNext w:val="0"/>
        <w:keepLines w:val="0"/>
        <w:pageBreakBefore w:val="0"/>
        <w:widowControl w:val="0"/>
        <w:kinsoku/>
        <w:wordWrap/>
        <w:overflowPunct/>
        <w:topLinePunct w:val="0"/>
        <w:autoSpaceDE/>
        <w:autoSpaceDN/>
        <w:bidi w:val="0"/>
        <w:adjustRightInd w:val="0"/>
        <w:spacing w:line="420" w:lineRule="exact"/>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十一、质量保证及售后服务</w:t>
      </w:r>
    </w:p>
    <w:p>
      <w:pPr>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 乙方应按</w:t>
      </w:r>
      <w:r>
        <w:rPr>
          <w:rFonts w:hint="eastAsia" w:ascii="宋体" w:hAnsi="宋体" w:cs="宋体"/>
          <w:color w:val="auto"/>
          <w:sz w:val="21"/>
          <w:szCs w:val="21"/>
          <w:highlight w:val="none"/>
          <w:lang w:eastAsia="zh-CN"/>
        </w:rPr>
        <w:t>采购文件</w:t>
      </w:r>
      <w:r>
        <w:rPr>
          <w:rFonts w:hint="eastAsia" w:ascii="宋体" w:hAnsi="宋体" w:eastAsia="宋体" w:cs="宋体"/>
          <w:color w:val="auto"/>
          <w:sz w:val="21"/>
          <w:szCs w:val="21"/>
          <w:highlight w:val="none"/>
        </w:rPr>
        <w:t>规定的货物性能、技术要求、质量标准向甲方提供未经使用的全新产品。</w:t>
      </w:r>
    </w:p>
    <w:p>
      <w:pPr>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 乙方提供的货物在免费质保期内因货物本身的质量问题发生故障，乙方应负责免费更换。对达不到技术要求者，根据实际情况，经双方协商，可按以下办法处理：</w:t>
      </w:r>
    </w:p>
    <w:p>
      <w:pPr>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（1）更换：由乙方承担所发生的全部费用。</w:t>
      </w:r>
    </w:p>
    <w:p>
      <w:pPr>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（2）贬值处理：由甲乙双方</w:t>
      </w:r>
      <w:r>
        <w:rPr>
          <w:rFonts w:hint="eastAsia" w:ascii="宋体" w:hAnsi="宋体" w:eastAsia="宋体" w:cs="宋体"/>
          <w:color w:val="auto"/>
          <w:sz w:val="21"/>
          <w:szCs w:val="21"/>
          <w:highlight w:val="none"/>
          <w:lang w:eastAsia="zh-CN"/>
        </w:rPr>
        <w:t>协商</w:t>
      </w:r>
      <w:r>
        <w:rPr>
          <w:rFonts w:hint="eastAsia" w:ascii="宋体" w:hAnsi="宋体" w:eastAsia="宋体" w:cs="宋体"/>
          <w:color w:val="auto"/>
          <w:sz w:val="21"/>
          <w:szCs w:val="21"/>
          <w:highlight w:val="none"/>
        </w:rPr>
        <w:t>定价。</w:t>
      </w:r>
    </w:p>
    <w:p>
      <w:pPr>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（3）退货处理：乙方应退还甲方支付的合同款，同时应承担该货物的直接费用（运输、保险、检验、货款利息及银行手续费等）。</w:t>
      </w:r>
    </w:p>
    <w:p>
      <w:pPr>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（4）售后服务</w:t>
      </w:r>
    </w:p>
    <w:p>
      <w:pPr>
        <w:keepNext w:val="0"/>
        <w:keepLines w:val="0"/>
        <w:pageBreakBefore w:val="0"/>
        <w:widowControl w:val="0"/>
        <w:kinsoku/>
        <w:wordWrap/>
        <w:overflowPunct/>
        <w:topLinePunct w:val="0"/>
        <w:autoSpaceDE/>
        <w:autoSpaceDN/>
        <w:bidi w:val="0"/>
        <w:spacing w:line="420" w:lineRule="exact"/>
        <w:ind w:firstLine="384" w:firstLineChars="183"/>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4、售后服务</w:t>
      </w:r>
      <w:r>
        <w:rPr>
          <w:rFonts w:hint="eastAsia" w:ascii="宋体" w:hAnsi="宋体" w:eastAsia="宋体" w:cs="宋体"/>
          <w:color w:val="auto"/>
          <w:sz w:val="21"/>
          <w:szCs w:val="21"/>
          <w:highlight w:val="none"/>
          <w:lang w:eastAsia="zh-CN"/>
        </w:rPr>
        <w:t>年限</w:t>
      </w:r>
    </w:p>
    <w:p>
      <w:pPr>
        <w:keepNext w:val="0"/>
        <w:keepLines w:val="0"/>
        <w:pageBreakBefore w:val="0"/>
        <w:widowControl w:val="0"/>
        <w:kinsoku/>
        <w:wordWrap/>
        <w:overflowPunct/>
        <w:topLinePunct w:val="0"/>
        <w:autoSpaceDE/>
        <w:autoSpaceDN/>
        <w:bidi w:val="0"/>
        <w:snapToGrid w:val="0"/>
        <w:spacing w:line="420" w:lineRule="exact"/>
        <w:ind w:firstLine="315" w:firstLineChars="1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1）自产品安装、调试完成且经</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验收合格后（以双方在验收告报签订日期为准），提供</w:t>
      </w:r>
      <w:r>
        <w:rPr>
          <w:rFonts w:hint="eastAsia" w:ascii="宋体" w:hAnsi="宋体" w:eastAsia="宋体" w:cs="宋体"/>
          <w:b/>
          <w:color w:val="auto"/>
          <w:sz w:val="21"/>
          <w:szCs w:val="21"/>
          <w:highlight w:val="none"/>
          <w:u w:val="single"/>
        </w:rPr>
        <w:t xml:space="preserve">  </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b/>
          <w:color w:val="auto"/>
          <w:sz w:val="21"/>
          <w:szCs w:val="21"/>
          <w:highlight w:val="none"/>
          <w:u w:val="single"/>
        </w:rPr>
        <w:t xml:space="preserve">  </w:t>
      </w:r>
      <w:r>
        <w:rPr>
          <w:rFonts w:hint="eastAsia" w:ascii="宋体" w:hAnsi="宋体" w:eastAsia="宋体" w:cs="宋体"/>
          <w:b/>
          <w:color w:val="auto"/>
          <w:sz w:val="21"/>
          <w:szCs w:val="21"/>
          <w:highlight w:val="none"/>
        </w:rPr>
        <w:t>年</w:t>
      </w:r>
      <w:r>
        <w:rPr>
          <w:rFonts w:hint="eastAsia" w:ascii="宋体" w:hAnsi="宋体" w:eastAsia="宋体" w:cs="宋体"/>
          <w:color w:val="auto"/>
          <w:sz w:val="21"/>
          <w:szCs w:val="21"/>
          <w:highlight w:val="none"/>
          <w:lang w:eastAsia="zh-CN"/>
        </w:rPr>
        <w:t>保</w:t>
      </w:r>
      <w:r>
        <w:rPr>
          <w:rFonts w:hint="eastAsia" w:ascii="宋体" w:hAnsi="宋体" w:eastAsia="宋体" w:cs="宋体"/>
          <w:color w:val="auto"/>
          <w:sz w:val="21"/>
          <w:szCs w:val="21"/>
          <w:highlight w:val="none"/>
        </w:rPr>
        <w:t>修服务。</w:t>
      </w:r>
      <w:r>
        <w:rPr>
          <w:rFonts w:hint="eastAsia" w:ascii="宋体" w:hAnsi="宋体" w:eastAsia="宋体" w:cs="宋体"/>
          <w:color w:val="auto"/>
          <w:sz w:val="21"/>
          <w:szCs w:val="21"/>
          <w:highlight w:val="none"/>
          <w:lang w:eastAsia="zh-CN"/>
        </w:rPr>
        <w:t>保</w:t>
      </w:r>
      <w:r>
        <w:rPr>
          <w:rFonts w:hint="eastAsia" w:ascii="宋体" w:hAnsi="宋体" w:eastAsia="宋体" w:cs="宋体"/>
          <w:color w:val="auto"/>
          <w:sz w:val="21"/>
          <w:szCs w:val="21"/>
          <w:highlight w:val="none"/>
        </w:rPr>
        <w:t>修期内，除人为损坏和不可抗拒因素外，</w:t>
      </w:r>
      <w:r>
        <w:rPr>
          <w:rFonts w:hint="eastAsia" w:ascii="宋体" w:hAnsi="宋体" w:eastAsia="宋体" w:cs="宋体"/>
          <w:color w:val="auto"/>
          <w:sz w:val="21"/>
          <w:szCs w:val="21"/>
          <w:highlight w:val="none"/>
          <w:lang w:eastAsia="zh-CN"/>
        </w:rPr>
        <w:t>乙方</w:t>
      </w:r>
      <w:r>
        <w:rPr>
          <w:rFonts w:hint="eastAsia" w:ascii="宋体" w:hAnsi="宋体" w:eastAsia="宋体" w:cs="宋体"/>
          <w:color w:val="auto"/>
          <w:sz w:val="21"/>
          <w:szCs w:val="21"/>
          <w:highlight w:val="none"/>
        </w:rPr>
        <w:t>对物品进行免费维修及更换。</w:t>
      </w:r>
    </w:p>
    <w:p>
      <w:pPr>
        <w:keepNext w:val="0"/>
        <w:keepLines w:val="0"/>
        <w:pageBreakBefore w:val="0"/>
        <w:widowControl w:val="0"/>
        <w:kinsoku/>
        <w:wordWrap/>
        <w:overflowPunct/>
        <w:topLinePunct w:val="0"/>
        <w:autoSpaceDE/>
        <w:autoSpaceDN/>
        <w:bidi w:val="0"/>
        <w:snapToGrid w:val="0"/>
        <w:spacing w:line="420" w:lineRule="exact"/>
        <w:ind w:firstLine="315" w:firstLineChars="1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乙方</w:t>
      </w:r>
      <w:r>
        <w:rPr>
          <w:rFonts w:hint="eastAsia" w:ascii="宋体" w:hAnsi="宋体" w:eastAsia="宋体" w:cs="宋体"/>
          <w:color w:val="auto"/>
          <w:sz w:val="21"/>
          <w:szCs w:val="21"/>
          <w:highlight w:val="none"/>
        </w:rPr>
        <w:t>在接到</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函电后，必须在</w:t>
      </w:r>
      <w:r>
        <w:rPr>
          <w:rFonts w:hint="eastAsia" w:ascii="宋体" w:hAnsi="宋体" w:cs="宋体"/>
          <w:b/>
          <w:color w:val="auto"/>
          <w:sz w:val="21"/>
          <w:szCs w:val="21"/>
          <w:highlight w:val="none"/>
          <w:u w:val="single"/>
          <w:lang w:val="en-US" w:eastAsia="zh-CN"/>
        </w:rPr>
        <w:t xml:space="preserve">  </w:t>
      </w:r>
      <w:r>
        <w:rPr>
          <w:rFonts w:hint="eastAsia" w:ascii="宋体" w:hAnsi="宋体" w:eastAsia="宋体" w:cs="宋体"/>
          <w:b/>
          <w:color w:val="auto"/>
          <w:sz w:val="21"/>
          <w:szCs w:val="21"/>
          <w:highlight w:val="none"/>
          <w:u w:val="single"/>
        </w:rPr>
        <w:t>小时</w:t>
      </w:r>
      <w:r>
        <w:rPr>
          <w:rFonts w:hint="eastAsia" w:ascii="宋体" w:hAnsi="宋体" w:eastAsia="宋体" w:cs="宋体"/>
          <w:color w:val="auto"/>
          <w:sz w:val="21"/>
          <w:szCs w:val="21"/>
          <w:highlight w:val="none"/>
        </w:rPr>
        <w:t>内对</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所提出的维修要求作出响应，</w:t>
      </w:r>
      <w:r>
        <w:rPr>
          <w:rFonts w:hint="eastAsia" w:ascii="宋体" w:hAnsi="宋体" w:cs="宋体"/>
          <w:b/>
          <w:color w:val="auto"/>
          <w:sz w:val="21"/>
          <w:szCs w:val="21"/>
          <w:highlight w:val="none"/>
          <w:u w:val="single"/>
          <w:lang w:val="en-US" w:eastAsia="zh-CN"/>
        </w:rPr>
        <w:t xml:space="preserve">  </w:t>
      </w:r>
      <w:r>
        <w:rPr>
          <w:rFonts w:hint="eastAsia" w:ascii="宋体" w:hAnsi="宋体" w:eastAsia="宋体" w:cs="宋体"/>
          <w:b/>
          <w:color w:val="auto"/>
          <w:sz w:val="21"/>
          <w:szCs w:val="21"/>
          <w:highlight w:val="none"/>
          <w:u w:val="single"/>
        </w:rPr>
        <w:t>小时</w:t>
      </w:r>
      <w:r>
        <w:rPr>
          <w:rFonts w:hint="eastAsia" w:ascii="宋体" w:hAnsi="宋体" w:eastAsia="宋体" w:cs="宋体"/>
          <w:color w:val="auto"/>
          <w:sz w:val="21"/>
          <w:szCs w:val="21"/>
          <w:highlight w:val="none"/>
        </w:rPr>
        <w:t>内作出相应处理</w:t>
      </w:r>
      <w:r>
        <w:rPr>
          <w:rFonts w:hint="eastAsia" w:ascii="宋体" w:hAnsi="宋体" w:eastAsia="宋体" w:cs="宋体"/>
          <w:color w:val="auto"/>
          <w:sz w:val="21"/>
          <w:szCs w:val="21"/>
          <w:highlight w:val="none"/>
          <w:lang w:eastAsia="zh-CN"/>
        </w:rPr>
        <w:t>。未响应甲方要求，每出现一次，将按</w:t>
      </w:r>
      <w:r>
        <w:rPr>
          <w:rFonts w:hint="eastAsia" w:ascii="宋体" w:hAnsi="宋体" w:eastAsia="宋体" w:cs="宋体"/>
          <w:color w:val="auto"/>
          <w:sz w:val="21"/>
          <w:szCs w:val="21"/>
          <w:highlight w:val="none"/>
          <w:lang w:val="en-US" w:eastAsia="zh-CN"/>
        </w:rPr>
        <w:t>5000元/次向甲方支付违约金</w:t>
      </w: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3）乙方对售出商品的质量、维修、其他售后服务承诺均按国家规定的有关内容执行。</w:t>
      </w:r>
    </w:p>
    <w:p>
      <w:pPr>
        <w:keepNext w:val="0"/>
        <w:keepLines w:val="0"/>
        <w:pageBreakBefore w:val="0"/>
        <w:widowControl w:val="0"/>
        <w:kinsoku/>
        <w:wordWrap/>
        <w:overflowPunct/>
        <w:topLinePunct w:val="0"/>
        <w:autoSpaceDE/>
        <w:autoSpaceDN/>
        <w:bidi w:val="0"/>
        <w:adjustRightInd w:val="0"/>
        <w:snapToGrid w:val="0"/>
        <w:spacing w:line="420" w:lineRule="exact"/>
        <w:ind w:firstLine="413" w:firstLineChars="196"/>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十二、调试和验收</w:t>
      </w:r>
    </w:p>
    <w:p>
      <w:pPr>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12.1 甲方对乙方提交的货物依据</w:t>
      </w:r>
      <w:r>
        <w:rPr>
          <w:rFonts w:hint="eastAsia" w:ascii="宋体" w:hAnsi="宋体" w:cs="宋体"/>
          <w:color w:val="auto"/>
          <w:sz w:val="21"/>
          <w:szCs w:val="21"/>
          <w:highlight w:val="none"/>
          <w:lang w:eastAsia="zh-CN"/>
        </w:rPr>
        <w:t>采购文件</w:t>
      </w:r>
      <w:r>
        <w:rPr>
          <w:rFonts w:hint="eastAsia" w:ascii="宋体" w:hAnsi="宋体" w:eastAsia="宋体" w:cs="宋体"/>
          <w:color w:val="auto"/>
          <w:sz w:val="21"/>
          <w:szCs w:val="21"/>
          <w:highlight w:val="none"/>
        </w:rPr>
        <w:t>上的技术规格要求和国家有关质量标准进行现场验收，外观、说明书</w:t>
      </w:r>
      <w:r>
        <w:rPr>
          <w:rFonts w:hint="eastAsia" w:ascii="宋体" w:hAnsi="宋体" w:eastAsia="宋体" w:cs="宋体"/>
          <w:color w:val="auto"/>
          <w:sz w:val="21"/>
          <w:szCs w:val="21"/>
          <w:highlight w:val="none"/>
          <w:lang w:eastAsia="zh-CN"/>
        </w:rPr>
        <w:t>及产品的技术参数均</w:t>
      </w:r>
      <w:r>
        <w:rPr>
          <w:rFonts w:hint="eastAsia" w:ascii="宋体" w:hAnsi="宋体" w:eastAsia="宋体" w:cs="宋体"/>
          <w:color w:val="auto"/>
          <w:sz w:val="21"/>
          <w:szCs w:val="21"/>
          <w:highlight w:val="none"/>
        </w:rPr>
        <w:t>符合</w:t>
      </w:r>
      <w:r>
        <w:rPr>
          <w:rFonts w:hint="eastAsia" w:ascii="宋体" w:hAnsi="宋体" w:cs="宋体"/>
          <w:color w:val="auto"/>
          <w:sz w:val="21"/>
          <w:szCs w:val="21"/>
          <w:highlight w:val="none"/>
          <w:lang w:eastAsia="zh-CN"/>
        </w:rPr>
        <w:t>采购文件</w:t>
      </w:r>
      <w:r>
        <w:rPr>
          <w:rFonts w:hint="eastAsia" w:ascii="宋体" w:hAnsi="宋体" w:eastAsia="宋体" w:cs="宋体"/>
          <w:color w:val="auto"/>
          <w:sz w:val="21"/>
          <w:szCs w:val="21"/>
          <w:highlight w:val="none"/>
        </w:rPr>
        <w:t>技术要求的，给予签收，验收不合格的不予签收。</w:t>
      </w:r>
    </w:p>
    <w:p>
      <w:pPr>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12.2 乙方交货前应对产品作出全面检查和对验收文件进行整理，并列出清单，作为甲方收货验收和使用的技术条件依据，检验的结果应随货物交甲方。</w:t>
      </w:r>
    </w:p>
    <w:p>
      <w:pPr>
        <w:keepNext w:val="0"/>
        <w:keepLines w:val="0"/>
        <w:pageBreakBefore w:val="0"/>
        <w:widowControl w:val="0"/>
        <w:kinsoku/>
        <w:wordWrap/>
        <w:overflowPunct/>
        <w:topLinePunct w:val="0"/>
        <w:autoSpaceDE/>
        <w:autoSpaceDN/>
        <w:bidi w:val="0"/>
        <w:adjustRightInd w:val="0"/>
        <w:snapToGrid w:val="0"/>
        <w:spacing w:line="420" w:lineRule="exact"/>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十三、货物包装、发运及运输</w:t>
      </w:r>
    </w:p>
    <w:p>
      <w:pPr>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 乙方应在货物发运前对其进行满足运输距离、防潮、防震、防锈和防破损装卸等要求包装，以保证货物安全运达甲方指定地点。</w:t>
      </w:r>
    </w:p>
    <w:p>
      <w:pPr>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13.2 使用说明书、质量检验证明书、随配附件和工具以及清单一并附于货物内。</w:t>
      </w:r>
    </w:p>
    <w:p>
      <w:pPr>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 xml:space="preserve"> 货物在交付甲方前发生的风险均由乙方负责。</w:t>
      </w:r>
    </w:p>
    <w:p>
      <w:pPr>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 xml:space="preserve"> 货物在规定的交付期限内由乙方送达甲方指定</w:t>
      </w:r>
      <w:r>
        <w:rPr>
          <w:rFonts w:hint="eastAsia" w:ascii="宋体" w:hAnsi="宋体" w:eastAsia="宋体" w:cs="宋体"/>
          <w:color w:val="auto"/>
          <w:sz w:val="21"/>
          <w:szCs w:val="21"/>
          <w:highlight w:val="none"/>
          <w:lang w:eastAsia="zh-CN"/>
        </w:rPr>
        <w:t>地点并安装调试</w:t>
      </w:r>
      <w:r>
        <w:rPr>
          <w:rFonts w:hint="eastAsia" w:ascii="宋体" w:hAnsi="宋体" w:eastAsia="宋体" w:cs="宋体"/>
          <w:color w:val="auto"/>
          <w:sz w:val="21"/>
          <w:szCs w:val="21"/>
          <w:highlight w:val="none"/>
        </w:rPr>
        <w:t>，乙方同时需通知甲方货物已送达。</w:t>
      </w:r>
    </w:p>
    <w:p>
      <w:pPr>
        <w:keepNext w:val="0"/>
        <w:keepLines w:val="0"/>
        <w:pageBreakBefore w:val="0"/>
        <w:widowControl w:val="0"/>
        <w:kinsoku/>
        <w:wordWrap/>
        <w:overflowPunct/>
        <w:topLinePunct w:val="0"/>
        <w:autoSpaceDE/>
        <w:autoSpaceDN/>
        <w:bidi w:val="0"/>
        <w:adjustRightInd w:val="0"/>
        <w:snapToGrid w:val="0"/>
        <w:spacing w:line="420" w:lineRule="exact"/>
        <w:ind w:firstLine="413" w:firstLineChars="196"/>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rPr>
        <w:t>十四、违约责任</w:t>
      </w:r>
    </w:p>
    <w:p>
      <w:pPr>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 乙方逾期交付货物的，乙方应按</w:t>
      </w:r>
      <w:r>
        <w:rPr>
          <w:rFonts w:hint="eastAsia" w:ascii="宋体" w:hAnsi="宋体" w:eastAsia="宋体" w:cs="宋体"/>
          <w:color w:val="auto"/>
          <w:sz w:val="21"/>
          <w:szCs w:val="21"/>
          <w:highlight w:val="none"/>
          <w:lang w:val="en-US" w:eastAsia="zh-CN"/>
        </w:rPr>
        <w:t>20000元/天</w:t>
      </w:r>
      <w:r>
        <w:rPr>
          <w:rFonts w:hint="eastAsia" w:ascii="宋体" w:hAnsi="宋体" w:eastAsia="宋体" w:cs="宋体"/>
          <w:color w:val="auto"/>
          <w:sz w:val="21"/>
          <w:szCs w:val="21"/>
          <w:highlight w:val="none"/>
        </w:rPr>
        <w:t xml:space="preserve">向甲方支付违约金，由甲方从待付货款中扣除。逾期超过约定日期10个工作日不能交货的，甲方可解除本合同。乙方因逾期交货或因其他违约行为导致甲方解除合同的，乙方应向甲方支付合同总值10%的违约金，如造成甲方损失超过违约金的，超出部分由乙方继续承担赔偿责任。 </w:t>
      </w:r>
    </w:p>
    <w:p>
      <w:pPr>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14.2 乙方所交的货物品种、技术参数、质量不符合合同规定及</w:t>
      </w:r>
      <w:r>
        <w:rPr>
          <w:rFonts w:hint="eastAsia" w:ascii="宋体" w:hAnsi="宋体" w:cs="宋体"/>
          <w:color w:val="auto"/>
          <w:sz w:val="21"/>
          <w:szCs w:val="21"/>
          <w:highlight w:val="none"/>
          <w:lang w:eastAsia="zh-CN"/>
        </w:rPr>
        <w:t>采购文件</w:t>
      </w:r>
      <w:r>
        <w:rPr>
          <w:rFonts w:hint="eastAsia" w:ascii="宋体" w:hAnsi="宋体" w:eastAsia="宋体" w:cs="宋体"/>
          <w:color w:val="auto"/>
          <w:sz w:val="21"/>
          <w:szCs w:val="21"/>
          <w:highlight w:val="none"/>
        </w:rPr>
        <w:t>规定标准的，甲方有权拒收该货物，乙方愿意更换货物但逾期交货的，按乙方逾期交货处理。乙方拒绝更换货物的，甲方可单方面解除合同。若发现乙方有材料品牌、规格型号</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质量</w:t>
      </w:r>
      <w:r>
        <w:rPr>
          <w:rFonts w:hint="eastAsia" w:ascii="宋体" w:hAnsi="宋体" w:eastAsia="宋体" w:cs="宋体"/>
          <w:color w:val="auto"/>
          <w:sz w:val="21"/>
          <w:szCs w:val="21"/>
          <w:highlight w:val="none"/>
        </w:rPr>
        <w:t>与</w:t>
      </w:r>
      <w:r>
        <w:rPr>
          <w:rFonts w:hint="eastAsia" w:ascii="宋体" w:hAnsi="宋体" w:eastAsia="宋体" w:cs="宋体"/>
          <w:color w:val="auto"/>
          <w:sz w:val="21"/>
          <w:szCs w:val="21"/>
          <w:highlight w:val="none"/>
          <w:lang w:eastAsia="zh-CN"/>
        </w:rPr>
        <w:t>响应文件</w:t>
      </w:r>
      <w:r>
        <w:rPr>
          <w:rFonts w:hint="eastAsia" w:ascii="宋体" w:hAnsi="宋体" w:eastAsia="宋体" w:cs="宋体"/>
          <w:color w:val="auto"/>
          <w:sz w:val="21"/>
          <w:szCs w:val="21"/>
          <w:highlight w:val="none"/>
        </w:rPr>
        <w:t>中不符，每一项承担违约金</w:t>
      </w:r>
      <w:r>
        <w:rPr>
          <w:rFonts w:hint="eastAsia" w:ascii="宋体" w:hAnsi="宋体" w:eastAsia="宋体" w:cs="宋体"/>
          <w:color w:val="auto"/>
          <w:sz w:val="21"/>
          <w:szCs w:val="21"/>
          <w:highlight w:val="none"/>
          <w:u w:val="none"/>
        </w:rPr>
        <w:t>2万元</w:t>
      </w:r>
      <w:r>
        <w:rPr>
          <w:rFonts w:hint="eastAsia" w:ascii="宋体" w:hAnsi="宋体" w:eastAsia="宋体" w:cs="宋体"/>
          <w:color w:val="auto"/>
          <w:sz w:val="21"/>
          <w:szCs w:val="21"/>
          <w:highlight w:val="none"/>
        </w:rPr>
        <w:t>（违约金从当期应付款项中扣除），并要求无条件更换，同时承担由此造成的损失和相关责任。</w:t>
      </w:r>
    </w:p>
    <w:p>
      <w:pPr>
        <w:keepNext w:val="0"/>
        <w:keepLines w:val="0"/>
        <w:pageBreakBefore w:val="0"/>
        <w:widowControl w:val="0"/>
        <w:kinsoku/>
        <w:wordWrap/>
        <w:overflowPunct/>
        <w:topLinePunct w:val="0"/>
        <w:autoSpaceDE/>
        <w:autoSpaceDN/>
        <w:bidi w:val="0"/>
        <w:adjustRightInd w:val="0"/>
        <w:snapToGrid/>
        <w:spacing w:line="42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14.3 所供</w:t>
      </w:r>
      <w:r>
        <w:rPr>
          <w:rFonts w:hint="eastAsia" w:ascii="宋体" w:hAnsi="宋体" w:cs="宋体"/>
          <w:color w:val="auto"/>
          <w:kern w:val="0"/>
          <w:sz w:val="21"/>
          <w:szCs w:val="21"/>
          <w:highlight w:val="none"/>
          <w:lang w:val="en-US" w:eastAsia="zh-CN"/>
        </w:rPr>
        <w:t>货物</w:t>
      </w:r>
      <w:r>
        <w:rPr>
          <w:rFonts w:hint="eastAsia" w:ascii="宋体" w:hAnsi="宋体" w:eastAsia="宋体" w:cs="宋体"/>
          <w:color w:val="auto"/>
          <w:kern w:val="0"/>
          <w:sz w:val="21"/>
          <w:szCs w:val="21"/>
          <w:highlight w:val="none"/>
          <w:lang w:val="en-US" w:eastAsia="zh-CN"/>
        </w:rPr>
        <w:t>均应满足其参数要求，确保</w:t>
      </w:r>
      <w:r>
        <w:rPr>
          <w:rFonts w:hint="eastAsia" w:ascii="宋体" w:hAnsi="宋体" w:cs="宋体"/>
          <w:color w:val="auto"/>
          <w:kern w:val="0"/>
          <w:sz w:val="21"/>
          <w:szCs w:val="21"/>
          <w:highlight w:val="none"/>
          <w:lang w:val="en-US" w:eastAsia="zh-CN"/>
        </w:rPr>
        <w:t>验收时</w:t>
      </w:r>
      <w:r>
        <w:rPr>
          <w:rFonts w:hint="eastAsia" w:ascii="宋体" w:hAnsi="宋体" w:eastAsia="宋体" w:cs="宋体"/>
          <w:color w:val="auto"/>
          <w:kern w:val="0"/>
          <w:sz w:val="21"/>
          <w:szCs w:val="21"/>
          <w:highlight w:val="none"/>
          <w:lang w:val="en-US" w:eastAsia="zh-CN"/>
        </w:rPr>
        <w:t>一次性通过，同时乙方应配合甲方的验收工作，如有不配合需向甲方支付3000元/次的违约金。</w:t>
      </w:r>
    </w:p>
    <w:p>
      <w:pPr>
        <w:keepNext w:val="0"/>
        <w:keepLines w:val="0"/>
        <w:pageBreakBefore w:val="0"/>
        <w:widowControl w:val="0"/>
        <w:kinsoku/>
        <w:wordWrap/>
        <w:overflowPunct/>
        <w:topLinePunct w:val="0"/>
        <w:autoSpaceDE/>
        <w:autoSpaceDN/>
        <w:bidi w:val="0"/>
        <w:adjustRightInd w:val="0"/>
        <w:snapToGrid/>
        <w:spacing w:line="420" w:lineRule="exact"/>
        <w:ind w:firstLine="420" w:firstLineChars="200"/>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14.4  乙方</w:t>
      </w:r>
      <w:r>
        <w:rPr>
          <w:rFonts w:hint="eastAsia" w:ascii="宋体" w:hAnsi="宋体" w:cs="宋体"/>
          <w:color w:val="auto"/>
          <w:kern w:val="0"/>
          <w:sz w:val="21"/>
          <w:szCs w:val="21"/>
          <w:highlight w:val="none"/>
          <w:lang w:val="en-US" w:eastAsia="zh-CN"/>
        </w:rPr>
        <w:t>应对现场已完工程做好成品保护工作，如有损坏，除恢复外，需向甲方支付50</w:t>
      </w:r>
      <w:r>
        <w:rPr>
          <w:rFonts w:hint="eastAsia" w:ascii="宋体" w:hAnsi="宋体" w:eastAsia="宋体" w:cs="宋体"/>
          <w:color w:val="auto"/>
          <w:kern w:val="0"/>
          <w:sz w:val="21"/>
          <w:szCs w:val="21"/>
          <w:highlight w:val="none"/>
          <w:lang w:val="en-US" w:eastAsia="zh-CN"/>
        </w:rPr>
        <w:t>00元/</w:t>
      </w:r>
      <w:r>
        <w:rPr>
          <w:rFonts w:hint="eastAsia" w:ascii="宋体" w:hAnsi="宋体" w:cs="宋体"/>
          <w:color w:val="auto"/>
          <w:kern w:val="0"/>
          <w:sz w:val="21"/>
          <w:szCs w:val="21"/>
          <w:highlight w:val="none"/>
          <w:lang w:val="en-US" w:eastAsia="zh-CN"/>
        </w:rPr>
        <w:t>处</w:t>
      </w:r>
      <w:r>
        <w:rPr>
          <w:rFonts w:hint="eastAsia" w:ascii="宋体" w:hAnsi="宋体" w:eastAsia="宋体" w:cs="宋体"/>
          <w:color w:val="auto"/>
          <w:kern w:val="0"/>
          <w:sz w:val="21"/>
          <w:szCs w:val="21"/>
          <w:highlight w:val="none"/>
          <w:lang w:val="en-US" w:eastAsia="zh-CN"/>
        </w:rPr>
        <w:t>的违约金。</w:t>
      </w:r>
    </w:p>
    <w:p>
      <w:pPr>
        <w:keepNext w:val="0"/>
        <w:keepLines w:val="0"/>
        <w:pageBreakBefore w:val="0"/>
        <w:widowControl w:val="0"/>
        <w:kinsoku/>
        <w:wordWrap/>
        <w:overflowPunct/>
        <w:topLinePunct w:val="0"/>
        <w:autoSpaceDE/>
        <w:autoSpaceDN/>
        <w:bidi w:val="0"/>
        <w:adjustRightInd w:val="0"/>
        <w:snapToGrid/>
        <w:spacing w:line="42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 xml:space="preserve">14.5  </w:t>
      </w:r>
      <w:r>
        <w:rPr>
          <w:rFonts w:hint="eastAsia" w:ascii="宋体" w:hAnsi="宋体" w:eastAsia="宋体" w:cs="宋体"/>
          <w:color w:val="auto"/>
          <w:kern w:val="0"/>
          <w:sz w:val="21"/>
          <w:szCs w:val="21"/>
          <w:highlight w:val="none"/>
          <w:lang w:eastAsia="zh-CN"/>
        </w:rPr>
        <w:t>项目实施过程中所产生的垃圾，乙方应及时处理，否则将向甲方支付违约金</w:t>
      </w:r>
      <w:r>
        <w:rPr>
          <w:rFonts w:hint="eastAsia" w:ascii="宋体" w:hAnsi="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lang w:val="en-US" w:eastAsia="zh-CN"/>
        </w:rPr>
        <w:t>000元/次；</w:t>
      </w:r>
      <w:r>
        <w:rPr>
          <w:rFonts w:hint="eastAsia" w:ascii="宋体" w:hAnsi="宋体" w:eastAsia="宋体" w:cs="宋体"/>
          <w:color w:val="auto"/>
          <w:kern w:val="0"/>
          <w:sz w:val="21"/>
          <w:szCs w:val="21"/>
          <w:highlight w:val="none"/>
          <w:lang w:eastAsia="zh-CN"/>
        </w:rPr>
        <w:t>项目完工</w:t>
      </w:r>
      <w:r>
        <w:rPr>
          <w:rFonts w:hint="eastAsia" w:ascii="宋体" w:hAnsi="宋体" w:eastAsia="宋体" w:cs="宋体"/>
          <w:color w:val="auto"/>
          <w:kern w:val="0"/>
          <w:sz w:val="21"/>
          <w:szCs w:val="21"/>
          <w:highlight w:val="none"/>
        </w:rPr>
        <w:t>交付</w:t>
      </w:r>
      <w:r>
        <w:rPr>
          <w:rFonts w:hint="eastAsia" w:ascii="宋体" w:hAnsi="宋体" w:eastAsia="宋体" w:cs="宋体"/>
          <w:color w:val="auto"/>
          <w:kern w:val="0"/>
          <w:sz w:val="21"/>
          <w:szCs w:val="21"/>
          <w:highlight w:val="none"/>
          <w:lang w:eastAsia="zh-CN"/>
        </w:rPr>
        <w:t>前</w:t>
      </w:r>
      <w:r>
        <w:rPr>
          <w:rFonts w:hint="eastAsia" w:ascii="宋体" w:hAnsi="宋体" w:eastAsia="宋体" w:cs="宋体"/>
          <w:color w:val="auto"/>
          <w:kern w:val="0"/>
          <w:sz w:val="21"/>
          <w:szCs w:val="21"/>
          <w:highlight w:val="none"/>
        </w:rPr>
        <w:t>必须做到工完场清，确保</w:t>
      </w:r>
      <w:r>
        <w:rPr>
          <w:rFonts w:hint="eastAsia" w:ascii="宋体" w:hAnsi="宋体" w:eastAsia="宋体" w:cs="宋体"/>
          <w:color w:val="auto"/>
          <w:kern w:val="0"/>
          <w:sz w:val="21"/>
          <w:szCs w:val="21"/>
          <w:highlight w:val="none"/>
          <w:lang w:eastAsia="zh-CN"/>
        </w:rPr>
        <w:t>施工现场</w:t>
      </w:r>
      <w:r>
        <w:rPr>
          <w:rFonts w:hint="eastAsia" w:ascii="宋体" w:hAnsi="宋体" w:eastAsia="宋体" w:cs="宋体"/>
          <w:color w:val="auto"/>
          <w:kern w:val="0"/>
          <w:sz w:val="21"/>
          <w:szCs w:val="21"/>
          <w:highlight w:val="none"/>
        </w:rPr>
        <w:t>整洁、卫生</w:t>
      </w:r>
      <w:r>
        <w:rPr>
          <w:rFonts w:hint="eastAsia" w:ascii="宋体" w:hAnsi="宋体" w:eastAsia="宋体" w:cs="宋体"/>
          <w:color w:val="auto"/>
          <w:kern w:val="0"/>
          <w:sz w:val="21"/>
          <w:szCs w:val="21"/>
          <w:highlight w:val="none"/>
          <w:lang w:eastAsia="zh-CN"/>
        </w:rPr>
        <w:t>，否则将向甲方支付违约金</w:t>
      </w:r>
      <w:r>
        <w:rPr>
          <w:rFonts w:hint="eastAsia" w:ascii="宋体" w:hAnsi="宋体" w:cs="宋体"/>
          <w:color w:val="auto"/>
          <w:kern w:val="0"/>
          <w:sz w:val="21"/>
          <w:szCs w:val="21"/>
          <w:highlight w:val="none"/>
          <w:lang w:val="en-US" w:eastAsia="zh-CN"/>
        </w:rPr>
        <w:t>10</w:t>
      </w:r>
      <w:r>
        <w:rPr>
          <w:rFonts w:hint="eastAsia" w:ascii="宋体" w:hAnsi="宋体" w:eastAsia="宋体" w:cs="宋体"/>
          <w:color w:val="auto"/>
          <w:kern w:val="0"/>
          <w:sz w:val="21"/>
          <w:szCs w:val="21"/>
          <w:highlight w:val="none"/>
          <w:lang w:val="en-US" w:eastAsia="zh-CN"/>
        </w:rPr>
        <w:t>000元。</w:t>
      </w:r>
    </w:p>
    <w:p>
      <w:pPr>
        <w:keepNext w:val="0"/>
        <w:keepLines w:val="0"/>
        <w:pageBreakBefore w:val="0"/>
        <w:widowControl w:val="0"/>
        <w:kinsoku/>
        <w:wordWrap/>
        <w:overflowPunct/>
        <w:topLinePunct w:val="0"/>
        <w:autoSpaceDE/>
        <w:autoSpaceDN/>
        <w:bidi w:val="0"/>
        <w:adjustRightInd w:val="0"/>
        <w:snapToGrid/>
        <w:spacing w:line="42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 xml:space="preserve">14.6  </w:t>
      </w:r>
      <w:r>
        <w:rPr>
          <w:rFonts w:hint="eastAsia" w:ascii="宋体" w:hAnsi="宋体" w:eastAsia="宋体" w:cs="宋体"/>
          <w:color w:val="auto"/>
          <w:kern w:val="0"/>
          <w:sz w:val="21"/>
          <w:szCs w:val="21"/>
          <w:highlight w:val="none"/>
        </w:rPr>
        <w:t>施工过程中扬尘</w:t>
      </w:r>
      <w:r>
        <w:rPr>
          <w:rFonts w:hint="eastAsia" w:ascii="宋体" w:hAnsi="宋体" w:eastAsia="宋体" w:cs="宋体"/>
          <w:color w:val="auto"/>
          <w:kern w:val="0"/>
          <w:sz w:val="21"/>
          <w:szCs w:val="21"/>
          <w:highlight w:val="none"/>
          <w:lang w:eastAsia="zh-CN"/>
        </w:rPr>
        <w:t>（如有）</w:t>
      </w:r>
      <w:r>
        <w:rPr>
          <w:rFonts w:hint="eastAsia" w:ascii="宋体" w:hAnsi="宋体" w:eastAsia="宋体" w:cs="宋体"/>
          <w:color w:val="auto"/>
          <w:kern w:val="0"/>
          <w:sz w:val="21"/>
          <w:szCs w:val="21"/>
          <w:highlight w:val="none"/>
        </w:rPr>
        <w:t>、噪音控制等需符合相关文件规定，如被相关部门查处并通报，除按规定处罚以外还需向</w:t>
      </w:r>
      <w:r>
        <w:rPr>
          <w:rFonts w:hint="eastAsia" w:ascii="宋体" w:hAnsi="宋体" w:eastAsia="宋体" w:cs="宋体"/>
          <w:color w:val="auto"/>
          <w:kern w:val="0"/>
          <w:sz w:val="21"/>
          <w:szCs w:val="21"/>
          <w:highlight w:val="none"/>
          <w:lang w:eastAsia="zh-CN"/>
        </w:rPr>
        <w:t>甲方</w:t>
      </w:r>
      <w:r>
        <w:rPr>
          <w:rFonts w:hint="eastAsia" w:ascii="宋体" w:hAnsi="宋体" w:eastAsia="宋体" w:cs="宋体"/>
          <w:color w:val="auto"/>
          <w:kern w:val="0"/>
          <w:sz w:val="21"/>
          <w:szCs w:val="21"/>
          <w:highlight w:val="none"/>
        </w:rPr>
        <w:t>支付</w:t>
      </w:r>
      <w:r>
        <w:rPr>
          <w:rFonts w:hint="eastAsia" w:ascii="宋体" w:hAnsi="宋体" w:eastAsia="宋体" w:cs="宋体"/>
          <w:color w:val="auto"/>
          <w:kern w:val="0"/>
          <w:sz w:val="21"/>
          <w:szCs w:val="21"/>
          <w:highlight w:val="none"/>
          <w:lang w:val="en-US" w:eastAsia="zh-CN"/>
        </w:rPr>
        <w:t>5000</w:t>
      </w:r>
      <w:r>
        <w:rPr>
          <w:rFonts w:hint="eastAsia" w:ascii="宋体" w:hAnsi="宋体" w:eastAsia="宋体" w:cs="宋体"/>
          <w:color w:val="auto"/>
          <w:kern w:val="0"/>
          <w:sz w:val="21"/>
          <w:szCs w:val="21"/>
          <w:highlight w:val="none"/>
        </w:rPr>
        <w:t>元/次的违约金。</w:t>
      </w:r>
    </w:p>
    <w:p>
      <w:pPr>
        <w:keepNext w:val="0"/>
        <w:keepLines w:val="0"/>
        <w:pageBreakBefore w:val="0"/>
        <w:widowControl w:val="0"/>
        <w:kinsoku/>
        <w:wordWrap/>
        <w:overflowPunct/>
        <w:topLinePunct w:val="0"/>
        <w:autoSpaceDE/>
        <w:autoSpaceDN/>
        <w:bidi w:val="0"/>
        <w:adjustRightInd w:val="0"/>
        <w:snapToGrid/>
        <w:spacing w:line="42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 xml:space="preserve">14.7  </w:t>
      </w:r>
      <w:r>
        <w:rPr>
          <w:rFonts w:hint="eastAsia" w:ascii="宋体" w:hAnsi="宋体" w:eastAsia="宋体" w:cs="宋体"/>
          <w:color w:val="auto"/>
          <w:kern w:val="0"/>
          <w:sz w:val="21"/>
          <w:szCs w:val="21"/>
          <w:highlight w:val="none"/>
          <w:lang w:eastAsia="zh-CN"/>
        </w:rPr>
        <w:t>乙方</w:t>
      </w:r>
      <w:r>
        <w:rPr>
          <w:rFonts w:hint="eastAsia" w:ascii="宋体" w:hAnsi="宋体" w:eastAsia="宋体" w:cs="宋体"/>
          <w:color w:val="auto"/>
          <w:kern w:val="0"/>
          <w:sz w:val="21"/>
          <w:szCs w:val="21"/>
          <w:highlight w:val="none"/>
        </w:rPr>
        <w:t>应确保施工人员和工地现场其他人员的安全以及施工过程中的一切安全问题，由此造成的一切责任及经济损失自行承担。</w:t>
      </w:r>
      <w:r>
        <w:rPr>
          <w:rFonts w:hint="eastAsia" w:ascii="宋体" w:hAnsi="宋体" w:eastAsia="宋体" w:cs="宋体"/>
          <w:color w:val="auto"/>
          <w:kern w:val="0"/>
          <w:sz w:val="21"/>
          <w:szCs w:val="21"/>
          <w:highlight w:val="none"/>
          <w:lang w:eastAsia="zh-CN"/>
        </w:rPr>
        <w:t>如出现重大安全事故，须向甲方支付</w:t>
      </w:r>
      <w:r>
        <w:rPr>
          <w:rFonts w:hint="eastAsia" w:ascii="宋体" w:hAnsi="宋体" w:eastAsia="宋体" w:cs="宋体"/>
          <w:color w:val="auto"/>
          <w:kern w:val="0"/>
          <w:sz w:val="21"/>
          <w:szCs w:val="21"/>
          <w:highlight w:val="none"/>
          <w:lang w:val="en-US" w:eastAsia="zh-CN"/>
        </w:rPr>
        <w:t>10万元违约金。</w:t>
      </w:r>
    </w:p>
    <w:p>
      <w:pPr>
        <w:keepNext w:val="0"/>
        <w:keepLines w:val="0"/>
        <w:pageBreakBefore w:val="0"/>
        <w:widowControl w:val="0"/>
        <w:kinsoku/>
        <w:wordWrap/>
        <w:overflowPunct/>
        <w:topLinePunct w:val="0"/>
        <w:autoSpaceDE/>
        <w:autoSpaceDN/>
        <w:bidi w:val="0"/>
        <w:adjustRightInd w:val="0"/>
        <w:snapToGrid/>
        <w:spacing w:line="42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14.8  乙方实际交付的货物与清单不符的，乙方须向甲方支付5000元/处的违约金。</w:t>
      </w:r>
    </w:p>
    <w:p>
      <w:pPr>
        <w:pStyle w:val="12"/>
        <w:keepNext w:val="0"/>
        <w:keepLines w:val="0"/>
        <w:pageBreakBefore w:val="0"/>
        <w:widowControl w:val="0"/>
        <w:kinsoku/>
        <w:wordWrap/>
        <w:overflowPunct/>
        <w:topLinePunct w:val="0"/>
        <w:autoSpaceDE/>
        <w:autoSpaceDN/>
        <w:bidi w:val="0"/>
        <w:snapToGrid/>
        <w:spacing w:after="0" w:line="42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rPr>
        <w:t>14.9  交付前，乙方应做好成品保护，如出现丢失、损坏等现象，自行负责由此造成的一切损失。</w:t>
      </w:r>
    </w:p>
    <w:p>
      <w:pPr>
        <w:keepNext w:val="0"/>
        <w:keepLines w:val="0"/>
        <w:pageBreakBefore w:val="0"/>
        <w:widowControl w:val="0"/>
        <w:kinsoku/>
        <w:wordWrap/>
        <w:overflowPunct/>
        <w:topLinePunct w:val="0"/>
        <w:autoSpaceDE/>
        <w:autoSpaceDN/>
        <w:bidi w:val="0"/>
        <w:adjustRightInd w:val="0"/>
        <w:snapToGrid w:val="0"/>
        <w:spacing w:line="420" w:lineRule="exact"/>
        <w:ind w:firstLine="413" w:firstLineChars="196"/>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十五、不可抗力事件处理</w:t>
      </w:r>
    </w:p>
    <w:p>
      <w:pPr>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15.1 在合同有效期内，任何一方因不可抗力事件导致不能履行合同，则合同履行期可延长，其延长期与不可抗力影响期相同。</w:t>
      </w:r>
    </w:p>
    <w:p>
      <w:pPr>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15.2 不可抗力事件发生后，应立即通知对方，并寄送有关权威机构出具的证明。</w:t>
      </w:r>
    </w:p>
    <w:p>
      <w:pPr>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15.3 不可抗力事件延续120天以上，双方应通过友好协商，确定是否继续履行合同。</w:t>
      </w:r>
    </w:p>
    <w:p>
      <w:pPr>
        <w:keepNext w:val="0"/>
        <w:keepLines w:val="0"/>
        <w:pageBreakBefore w:val="0"/>
        <w:widowControl w:val="0"/>
        <w:kinsoku/>
        <w:wordWrap/>
        <w:overflowPunct/>
        <w:topLinePunct w:val="0"/>
        <w:autoSpaceDE/>
        <w:autoSpaceDN/>
        <w:bidi w:val="0"/>
        <w:adjustRightInd w:val="0"/>
        <w:snapToGrid w:val="0"/>
        <w:spacing w:line="420" w:lineRule="exact"/>
        <w:ind w:firstLine="413" w:firstLineChars="196"/>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十六、诉讼</w:t>
      </w:r>
    </w:p>
    <w:p>
      <w:pPr>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 双方在执行合同中所发生的一切争议，应通过协商解决。如协商不成，可向</w:t>
      </w:r>
      <w:r>
        <w:rPr>
          <w:rFonts w:hint="eastAsia" w:ascii="宋体" w:hAnsi="宋体" w:eastAsia="宋体" w:cs="宋体"/>
          <w:color w:val="auto"/>
          <w:sz w:val="21"/>
          <w:szCs w:val="21"/>
          <w:highlight w:val="none"/>
          <w:lang w:eastAsia="zh-CN"/>
        </w:rPr>
        <w:t>金坛区人民</w:t>
      </w:r>
      <w:r>
        <w:rPr>
          <w:rFonts w:hint="eastAsia" w:ascii="宋体" w:hAnsi="宋体" w:eastAsia="宋体" w:cs="宋体"/>
          <w:color w:val="auto"/>
          <w:sz w:val="21"/>
          <w:szCs w:val="21"/>
          <w:highlight w:val="none"/>
        </w:rPr>
        <w:t>法院起诉。</w:t>
      </w:r>
    </w:p>
    <w:p>
      <w:pPr>
        <w:keepNext w:val="0"/>
        <w:keepLines w:val="0"/>
        <w:pageBreakBefore w:val="0"/>
        <w:widowControl w:val="0"/>
        <w:kinsoku/>
        <w:wordWrap/>
        <w:overflowPunct/>
        <w:topLinePunct w:val="0"/>
        <w:autoSpaceDE/>
        <w:autoSpaceDN/>
        <w:bidi w:val="0"/>
        <w:adjustRightInd w:val="0"/>
        <w:snapToGrid w:val="0"/>
        <w:spacing w:line="420" w:lineRule="exact"/>
        <w:ind w:firstLine="413" w:firstLineChars="196"/>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十七、合同其他文件</w:t>
      </w:r>
    </w:p>
    <w:p>
      <w:pPr>
        <w:keepNext w:val="0"/>
        <w:keepLines w:val="0"/>
        <w:pageBreakBefore w:val="0"/>
        <w:widowControl w:val="0"/>
        <w:kinsoku/>
        <w:wordWrap/>
        <w:overflowPunct/>
        <w:topLinePunct w:val="0"/>
        <w:autoSpaceDE/>
        <w:autoSpaceDN/>
        <w:bidi w:val="0"/>
        <w:adjustRightInd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17.1下列文件为本合同不可分割部份，与本合同具有同等效力。</w:t>
      </w:r>
    </w:p>
    <w:p>
      <w:pPr>
        <w:keepNext w:val="0"/>
        <w:keepLines w:val="0"/>
        <w:pageBreakBefore w:val="0"/>
        <w:widowControl w:val="0"/>
        <w:kinsoku/>
        <w:wordWrap/>
        <w:overflowPunct/>
        <w:topLinePunct w:val="0"/>
        <w:autoSpaceDE/>
        <w:autoSpaceDN/>
        <w:bidi w:val="0"/>
        <w:adjustRightInd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(1)《中华人民共和国</w:t>
      </w:r>
      <w:r>
        <w:rPr>
          <w:rFonts w:hint="eastAsia" w:ascii="宋体" w:hAnsi="宋体" w:eastAsia="宋体" w:cs="宋体"/>
          <w:color w:val="auto"/>
          <w:sz w:val="21"/>
          <w:szCs w:val="21"/>
          <w:highlight w:val="none"/>
          <w:lang w:eastAsia="zh-CN"/>
        </w:rPr>
        <w:t>民法典</w:t>
      </w: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autoSpaceDE/>
        <w:autoSpaceDN/>
        <w:bidi w:val="0"/>
        <w:adjustRightInd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中标</w:t>
      </w:r>
      <w:r>
        <w:rPr>
          <w:rFonts w:hint="eastAsia" w:ascii="宋体" w:hAnsi="宋体" w:eastAsia="宋体" w:cs="宋体"/>
          <w:color w:val="auto"/>
          <w:sz w:val="21"/>
          <w:szCs w:val="21"/>
          <w:highlight w:val="none"/>
        </w:rPr>
        <w:t>通知书；</w:t>
      </w:r>
    </w:p>
    <w:p>
      <w:pPr>
        <w:keepNext w:val="0"/>
        <w:keepLines w:val="0"/>
        <w:pageBreakBefore w:val="0"/>
        <w:widowControl w:val="0"/>
        <w:kinsoku/>
        <w:wordWrap/>
        <w:overflowPunct/>
        <w:topLinePunct w:val="0"/>
        <w:autoSpaceDE/>
        <w:autoSpaceDN/>
        <w:bidi w:val="0"/>
        <w:adjustRightInd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(3)乙方的</w:t>
      </w:r>
      <w:r>
        <w:rPr>
          <w:rFonts w:hint="eastAsia" w:ascii="宋体" w:hAnsi="宋体" w:cs="宋体"/>
          <w:color w:val="auto"/>
          <w:sz w:val="21"/>
          <w:szCs w:val="21"/>
          <w:highlight w:val="none"/>
          <w:lang w:eastAsia="zh-CN"/>
        </w:rPr>
        <w:t>响应文件</w:t>
      </w: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autoSpaceDE/>
        <w:autoSpaceDN/>
        <w:bidi w:val="0"/>
        <w:adjustRightInd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cs="宋体"/>
          <w:color w:val="auto"/>
          <w:sz w:val="21"/>
          <w:szCs w:val="21"/>
          <w:highlight w:val="none"/>
          <w:lang w:eastAsia="zh-CN"/>
        </w:rPr>
        <w:t>采购文件</w:t>
      </w: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autoSpaceDE/>
        <w:autoSpaceDN/>
        <w:bidi w:val="0"/>
        <w:adjustRightInd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(5)乙方在投标过程中所作的其他承诺、声明、书面澄清等。</w:t>
      </w:r>
    </w:p>
    <w:p>
      <w:pPr>
        <w:keepNext w:val="0"/>
        <w:keepLines w:val="0"/>
        <w:pageBreakBefore w:val="0"/>
        <w:widowControl w:val="0"/>
        <w:kinsoku/>
        <w:wordWrap/>
        <w:overflowPunct/>
        <w:topLinePunct w:val="0"/>
        <w:autoSpaceDE/>
        <w:autoSpaceDN/>
        <w:bidi w:val="0"/>
        <w:adjustRightInd w:val="0"/>
        <w:snapToGrid w:val="0"/>
        <w:spacing w:line="420" w:lineRule="exact"/>
        <w:ind w:firstLine="413" w:firstLineChars="196"/>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十八、合同生效及其它</w:t>
      </w:r>
    </w:p>
    <w:p>
      <w:pPr>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18.1 合同经双方法定代表人或授权委托代表人签字并加盖单位公章后生效。</w:t>
      </w:r>
    </w:p>
    <w:p>
      <w:pPr>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18.2 本合同未尽事宜，遵照《</w:t>
      </w:r>
      <w:r>
        <w:rPr>
          <w:rFonts w:hint="eastAsia" w:ascii="宋体" w:hAnsi="宋体" w:eastAsia="宋体" w:cs="宋体"/>
          <w:color w:val="auto"/>
          <w:sz w:val="21"/>
          <w:szCs w:val="21"/>
          <w:highlight w:val="none"/>
          <w:lang w:eastAsia="zh-CN"/>
        </w:rPr>
        <w:t>中华人民共和国</w:t>
      </w:r>
      <w:r>
        <w:rPr>
          <w:rFonts w:hint="eastAsia" w:ascii="宋体" w:hAnsi="宋体" w:eastAsia="宋体" w:cs="宋体"/>
          <w:color w:val="auto"/>
          <w:sz w:val="21"/>
          <w:szCs w:val="21"/>
          <w:highlight w:val="none"/>
        </w:rPr>
        <w:t>民法典》有关条文执行。</w:t>
      </w:r>
    </w:p>
    <w:p>
      <w:pPr>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18.3本合同正本一式六份，具有同等法律效力，甲方、乙方各执二份</w:t>
      </w:r>
      <w:r>
        <w:rPr>
          <w:rFonts w:hint="eastAsia" w:ascii="宋体" w:hAnsi="宋体" w:eastAsia="宋体" w:cs="宋体"/>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420" w:lineRule="exact"/>
        <w:ind w:left="420" w:hanging="420" w:hangingChars="200"/>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line="420" w:lineRule="exact"/>
        <w:ind w:left="560" w:leftChars="20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甲方：                                 乙方： </w:t>
      </w:r>
    </w:p>
    <w:p>
      <w:pPr>
        <w:keepNext w:val="0"/>
        <w:keepLines w:val="0"/>
        <w:pageBreakBefore w:val="0"/>
        <w:widowControl w:val="0"/>
        <w:kinsoku/>
        <w:wordWrap/>
        <w:overflowPunct/>
        <w:topLinePunct w:val="0"/>
        <w:autoSpaceDE/>
        <w:autoSpaceDN/>
        <w:bidi w:val="0"/>
        <w:adjustRightInd w:val="0"/>
        <w:snapToGrid w:val="0"/>
        <w:spacing w:line="420" w:lineRule="exact"/>
        <w:ind w:left="560" w:leftChars="20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地址：                                 地址： </w:t>
      </w:r>
    </w:p>
    <w:p>
      <w:pPr>
        <w:keepNext w:val="0"/>
        <w:keepLines w:val="0"/>
        <w:pageBreakBefore w:val="0"/>
        <w:widowControl w:val="0"/>
        <w:kinsoku/>
        <w:wordWrap/>
        <w:overflowPunct/>
        <w:topLinePunct w:val="0"/>
        <w:autoSpaceDE/>
        <w:autoSpaceDN/>
        <w:bidi w:val="0"/>
        <w:adjustRightInd w:val="0"/>
        <w:snapToGrid w:val="0"/>
        <w:spacing w:line="420" w:lineRule="exact"/>
        <w:ind w:left="560" w:leftChars="20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法定代表人或授权代表：                 法定代表人或授权代表：</w:t>
      </w:r>
    </w:p>
    <w:p>
      <w:pPr>
        <w:keepNext w:val="0"/>
        <w:keepLines w:val="0"/>
        <w:pageBreakBefore w:val="0"/>
        <w:widowControl w:val="0"/>
        <w:kinsoku/>
        <w:wordWrap/>
        <w:overflowPunct/>
        <w:topLinePunct w:val="0"/>
        <w:autoSpaceDE/>
        <w:autoSpaceDN/>
        <w:bidi w:val="0"/>
        <w:adjustRightInd w:val="0"/>
        <w:snapToGrid w:val="0"/>
        <w:spacing w:line="420" w:lineRule="exact"/>
        <w:ind w:left="560" w:leftChars="20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联系电话：                             联系电话： </w:t>
      </w:r>
    </w:p>
    <w:p>
      <w:pPr>
        <w:keepNext w:val="0"/>
        <w:keepLines w:val="0"/>
        <w:pageBreakBefore w:val="0"/>
        <w:widowControl w:val="0"/>
        <w:kinsoku/>
        <w:wordWrap/>
        <w:overflowPunct/>
        <w:topLinePunct w:val="0"/>
        <w:autoSpaceDE/>
        <w:autoSpaceDN/>
        <w:bidi w:val="0"/>
        <w:adjustRightInd w:val="0"/>
        <w:snapToGrid w:val="0"/>
        <w:spacing w:line="420" w:lineRule="exact"/>
        <w:ind w:left="560" w:leftChars="20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签订日期：  年    月    日</w:t>
      </w:r>
      <w:bookmarkEnd w:id="59"/>
      <w:bookmarkEnd w:id="60"/>
      <w:bookmarkEnd w:id="61"/>
      <w:bookmarkEnd w:id="62"/>
    </w:p>
    <w:p>
      <w:pPr>
        <w:rPr>
          <w:rFonts w:hint="eastAsia" w:ascii="宋体" w:hAnsi="宋体"/>
          <w:color w:val="auto"/>
          <w:spacing w:val="-10"/>
          <w:szCs w:val="21"/>
          <w:highlight w:val="none"/>
        </w:rPr>
      </w:pPr>
      <w:r>
        <w:rPr>
          <w:rFonts w:hint="eastAsia" w:ascii="宋体" w:hAnsi="宋体" w:cs="宋体"/>
          <w:b/>
          <w:bCs/>
          <w:color w:val="auto"/>
          <w:sz w:val="32"/>
          <w:szCs w:val="32"/>
          <w:highlight w:val="none"/>
          <w:u w:color="000000"/>
        </w:rPr>
        <w:br w:type="page"/>
      </w:r>
    </w:p>
    <w:p>
      <w:pPr>
        <w:rPr>
          <w:rFonts w:hint="eastAsia" w:ascii="宋体" w:hAnsi="宋体" w:cs="宋体"/>
          <w:b/>
          <w:bCs/>
          <w:color w:val="auto"/>
          <w:sz w:val="32"/>
          <w:szCs w:val="32"/>
          <w:highlight w:val="none"/>
          <w:u w:color="000000"/>
        </w:rPr>
      </w:pPr>
    </w:p>
    <w:p>
      <w:pPr>
        <w:snapToGrid w:val="0"/>
        <w:spacing w:line="400" w:lineRule="exact"/>
        <w:jc w:val="center"/>
        <w:outlineLvl w:val="0"/>
        <w:rPr>
          <w:rFonts w:ascii="宋体" w:hAnsi="宋体" w:cs="宋体"/>
          <w:b/>
          <w:bCs/>
          <w:color w:val="auto"/>
          <w:sz w:val="32"/>
          <w:szCs w:val="32"/>
          <w:highlight w:val="none"/>
          <w:u w:color="000000"/>
        </w:rPr>
      </w:pPr>
      <w:r>
        <w:rPr>
          <w:rFonts w:hint="eastAsia" w:ascii="宋体" w:hAnsi="宋体" w:cs="宋体"/>
          <w:b/>
          <w:bCs/>
          <w:color w:val="auto"/>
          <w:sz w:val="32"/>
          <w:szCs w:val="32"/>
          <w:highlight w:val="none"/>
          <w:u w:color="000000"/>
        </w:rPr>
        <w:t>第七部分   响应文件格式</w:t>
      </w:r>
    </w:p>
    <w:p>
      <w:pPr>
        <w:pStyle w:val="7"/>
        <w:spacing w:line="400" w:lineRule="exact"/>
        <w:ind w:left="560"/>
        <w:rPr>
          <w:rFonts w:ascii="宋体" w:hAnsi="宋体" w:cs="宋体"/>
          <w:color w:val="auto"/>
          <w:sz w:val="21"/>
          <w:szCs w:val="21"/>
          <w:highlight w:val="none"/>
        </w:rPr>
      </w:pPr>
    </w:p>
    <w:p>
      <w:pPr>
        <w:spacing w:line="480" w:lineRule="auto"/>
        <w:jc w:val="center"/>
        <w:rPr>
          <w:rFonts w:ascii="宋体" w:hAnsi="宋体" w:cs="宋体"/>
          <w:b/>
          <w:color w:val="auto"/>
          <w:sz w:val="44"/>
          <w:szCs w:val="44"/>
          <w:highlight w:val="none"/>
        </w:rPr>
      </w:pPr>
    </w:p>
    <w:p>
      <w:pPr>
        <w:rPr>
          <w:color w:val="auto"/>
          <w:highlight w:val="none"/>
        </w:rPr>
      </w:pPr>
    </w:p>
    <w:p>
      <w:pPr>
        <w:spacing w:line="480" w:lineRule="auto"/>
        <w:jc w:val="center"/>
        <w:rPr>
          <w:rFonts w:ascii="宋体" w:hAnsi="宋体" w:cs="宋体"/>
          <w:b/>
          <w:color w:val="auto"/>
          <w:sz w:val="44"/>
          <w:szCs w:val="44"/>
          <w:highlight w:val="none"/>
        </w:rPr>
      </w:pPr>
    </w:p>
    <w:p>
      <w:pPr>
        <w:spacing w:line="480" w:lineRule="auto"/>
        <w:jc w:val="center"/>
        <w:rPr>
          <w:rFonts w:ascii="宋体" w:hAnsi="宋体" w:cs="宋体"/>
          <w:b/>
          <w:color w:val="auto"/>
          <w:sz w:val="44"/>
          <w:szCs w:val="44"/>
          <w:highlight w:val="none"/>
        </w:rPr>
      </w:pPr>
      <w:r>
        <w:rPr>
          <w:rFonts w:hint="eastAsia" w:ascii="宋体" w:hAnsi="宋体" w:cs="宋体"/>
          <w:b/>
          <w:color w:val="auto"/>
          <w:sz w:val="44"/>
          <w:szCs w:val="44"/>
          <w:highlight w:val="none"/>
        </w:rPr>
        <w:t>响 应 文 件</w:t>
      </w:r>
    </w:p>
    <w:p>
      <w:pPr>
        <w:spacing w:line="480" w:lineRule="auto"/>
        <w:jc w:val="center"/>
        <w:rPr>
          <w:rFonts w:ascii="宋体" w:hAnsi="宋体" w:cs="宋体"/>
          <w:b/>
          <w:color w:val="auto"/>
          <w:sz w:val="32"/>
          <w:szCs w:val="32"/>
          <w:highlight w:val="none"/>
        </w:rPr>
      </w:pPr>
    </w:p>
    <w:p>
      <w:pPr>
        <w:spacing w:line="480" w:lineRule="auto"/>
        <w:jc w:val="center"/>
        <w:rPr>
          <w:rFonts w:ascii="宋体" w:hAnsi="宋体" w:cs="宋体"/>
          <w:b/>
          <w:color w:val="auto"/>
          <w:sz w:val="32"/>
          <w:szCs w:val="32"/>
          <w:highlight w:val="none"/>
        </w:rPr>
      </w:pPr>
    </w:p>
    <w:p>
      <w:pPr>
        <w:spacing w:line="480" w:lineRule="auto"/>
        <w:jc w:val="center"/>
        <w:rPr>
          <w:rFonts w:ascii="宋体" w:hAnsi="宋体" w:cs="宋体"/>
          <w:b/>
          <w:color w:val="auto"/>
          <w:sz w:val="32"/>
          <w:szCs w:val="32"/>
          <w:highlight w:val="none"/>
        </w:rPr>
      </w:pPr>
    </w:p>
    <w:p>
      <w:pPr>
        <w:spacing w:line="480" w:lineRule="auto"/>
        <w:jc w:val="center"/>
        <w:rPr>
          <w:rFonts w:ascii="宋体" w:hAnsi="宋体" w:cs="宋体"/>
          <w:b/>
          <w:color w:val="auto"/>
          <w:sz w:val="32"/>
          <w:szCs w:val="32"/>
          <w:highlight w:val="none"/>
        </w:rPr>
      </w:pPr>
    </w:p>
    <w:p>
      <w:pPr>
        <w:rPr>
          <w:color w:val="auto"/>
          <w:highlight w:val="none"/>
        </w:rPr>
      </w:pPr>
    </w:p>
    <w:p>
      <w:pPr>
        <w:spacing w:line="480" w:lineRule="auto"/>
        <w:rPr>
          <w:rFonts w:ascii="宋体" w:hAnsi="宋体" w:cs="宋体"/>
          <w:b/>
          <w:color w:val="auto"/>
          <w:sz w:val="32"/>
          <w:szCs w:val="32"/>
          <w:highlight w:val="none"/>
        </w:rPr>
      </w:pPr>
    </w:p>
    <w:p>
      <w:pPr>
        <w:pStyle w:val="14"/>
        <w:spacing w:line="400" w:lineRule="exact"/>
        <w:ind w:firstLine="560" w:firstLineChars="200"/>
        <w:rPr>
          <w:rFonts w:hint="default" w:hAnsi="宋体" w:cs="宋体"/>
          <w:color w:val="auto"/>
          <w:sz w:val="28"/>
          <w:szCs w:val="28"/>
          <w:highlight w:val="none"/>
        </w:rPr>
      </w:pPr>
      <w:r>
        <w:rPr>
          <w:rFonts w:hAnsi="宋体" w:cs="宋体"/>
          <w:color w:val="auto"/>
          <w:sz w:val="28"/>
          <w:szCs w:val="28"/>
          <w:highlight w:val="none"/>
        </w:rPr>
        <w:t xml:space="preserve">采购项目名称：               </w:t>
      </w:r>
    </w:p>
    <w:p>
      <w:pPr>
        <w:pStyle w:val="14"/>
        <w:spacing w:line="400" w:lineRule="exact"/>
        <w:ind w:firstLine="560" w:firstLineChars="200"/>
        <w:rPr>
          <w:rFonts w:hint="default" w:hAnsi="宋体" w:cs="宋体"/>
          <w:color w:val="auto"/>
          <w:sz w:val="28"/>
          <w:szCs w:val="28"/>
          <w:highlight w:val="none"/>
        </w:rPr>
      </w:pPr>
      <w:r>
        <w:rPr>
          <w:rFonts w:hAnsi="宋体" w:cs="宋体"/>
          <w:color w:val="auto"/>
          <w:sz w:val="28"/>
          <w:szCs w:val="28"/>
          <w:highlight w:val="none"/>
        </w:rPr>
        <w:t xml:space="preserve">响应人名称：               </w:t>
      </w:r>
    </w:p>
    <w:p>
      <w:pPr>
        <w:pStyle w:val="14"/>
        <w:spacing w:line="400" w:lineRule="exact"/>
        <w:ind w:firstLine="560" w:firstLineChars="200"/>
        <w:rPr>
          <w:rFonts w:hint="default" w:hAnsi="宋体" w:cs="宋体"/>
          <w:color w:val="auto"/>
          <w:sz w:val="28"/>
          <w:szCs w:val="28"/>
          <w:highlight w:val="none"/>
        </w:rPr>
      </w:pPr>
      <w:r>
        <w:rPr>
          <w:rFonts w:hAnsi="宋体" w:cs="宋体"/>
          <w:color w:val="auto"/>
          <w:sz w:val="28"/>
          <w:szCs w:val="28"/>
          <w:highlight w:val="none"/>
        </w:rPr>
        <w:t xml:space="preserve">日      期：               </w:t>
      </w:r>
    </w:p>
    <w:p>
      <w:pPr>
        <w:pStyle w:val="14"/>
        <w:spacing w:line="400" w:lineRule="exact"/>
        <w:ind w:firstLine="560" w:firstLineChars="200"/>
        <w:rPr>
          <w:rFonts w:hint="default" w:hAnsi="宋体" w:cs="宋体"/>
          <w:color w:val="auto"/>
          <w:sz w:val="28"/>
          <w:szCs w:val="28"/>
          <w:highlight w:val="none"/>
        </w:rPr>
      </w:pPr>
    </w:p>
    <w:p>
      <w:pPr>
        <w:pStyle w:val="14"/>
        <w:spacing w:line="400" w:lineRule="exact"/>
        <w:ind w:firstLine="420" w:firstLineChars="200"/>
        <w:rPr>
          <w:rFonts w:hint="default" w:hAnsi="宋体" w:cs="宋体"/>
          <w:color w:val="auto"/>
          <w:sz w:val="21"/>
          <w:szCs w:val="21"/>
          <w:highlight w:val="none"/>
        </w:rPr>
      </w:pPr>
    </w:p>
    <w:p>
      <w:pPr>
        <w:rPr>
          <w:rFonts w:ascii="宋体" w:hAnsi="宋体" w:cs="宋体"/>
          <w:b/>
          <w:bCs/>
          <w:color w:val="auto"/>
          <w:sz w:val="32"/>
          <w:szCs w:val="32"/>
          <w:highlight w:val="none"/>
        </w:rPr>
      </w:pPr>
      <w:r>
        <w:rPr>
          <w:rFonts w:hint="eastAsia" w:ascii="宋体" w:hAnsi="宋体" w:cs="宋体"/>
          <w:b/>
          <w:bCs/>
          <w:color w:val="auto"/>
          <w:sz w:val="32"/>
          <w:szCs w:val="32"/>
          <w:highlight w:val="none"/>
        </w:rPr>
        <w:br w:type="page"/>
      </w:r>
    </w:p>
    <w:p>
      <w:pPr>
        <w:spacing w:line="400" w:lineRule="exact"/>
        <w:jc w:val="center"/>
        <w:outlineLvl w:val="0"/>
        <w:rPr>
          <w:rFonts w:ascii="宋体" w:hAnsi="宋体" w:cs="宋体"/>
          <w:b/>
          <w:bCs/>
          <w:color w:val="auto"/>
          <w:sz w:val="32"/>
          <w:szCs w:val="32"/>
          <w:highlight w:val="none"/>
        </w:rPr>
      </w:pPr>
      <w:r>
        <w:rPr>
          <w:rFonts w:hint="eastAsia" w:ascii="宋体" w:hAnsi="宋体" w:cs="宋体"/>
          <w:b/>
          <w:bCs/>
          <w:color w:val="auto"/>
          <w:sz w:val="32"/>
          <w:szCs w:val="32"/>
          <w:highlight w:val="none"/>
        </w:rPr>
        <w:t>目   录</w:t>
      </w:r>
    </w:p>
    <w:p>
      <w:pPr>
        <w:spacing w:line="400" w:lineRule="exact"/>
        <w:jc w:val="center"/>
        <w:rPr>
          <w:rFonts w:ascii="宋体" w:hAnsi="宋体" w:cs="宋体"/>
          <w:b/>
          <w:bCs/>
          <w:color w:val="auto"/>
          <w:szCs w:val="21"/>
          <w:highlight w:val="none"/>
        </w:rPr>
      </w:pPr>
    </w:p>
    <w:p>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（1）响应函；</w:t>
      </w:r>
    </w:p>
    <w:p>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（2）法定代表人资格证明书；</w:t>
      </w:r>
    </w:p>
    <w:p>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kern w:val="0"/>
          <w:sz w:val="21"/>
          <w:szCs w:val="21"/>
          <w:highlight w:val="none"/>
        </w:rPr>
        <w:t>（3）授权委托书</w:t>
      </w:r>
      <w:r>
        <w:rPr>
          <w:rFonts w:hint="eastAsia" w:ascii="宋体" w:hAnsi="宋体" w:cs="宋体"/>
          <w:color w:val="auto"/>
          <w:sz w:val="21"/>
          <w:szCs w:val="21"/>
          <w:highlight w:val="none"/>
        </w:rPr>
        <w:t>；</w:t>
      </w:r>
    </w:p>
    <w:p>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（4）具备履行合同所必需的设备和专业技术能力的书面声明；</w:t>
      </w:r>
    </w:p>
    <w:p>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（5）报价一览表；</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（6）分项报价明细表；</w:t>
      </w:r>
    </w:p>
    <w:p>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（7）响应偏离表；</w:t>
      </w:r>
    </w:p>
    <w:p>
      <w:pPr>
        <w:snapToGrid w:val="0"/>
        <w:spacing w:line="40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（8）承诺函；</w:t>
      </w:r>
    </w:p>
    <w:p>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（9）</w:t>
      </w:r>
      <w:r>
        <w:rPr>
          <w:rFonts w:hint="eastAsia" w:ascii="宋体" w:hAnsi="宋体" w:cs="宋体"/>
          <w:color w:val="auto"/>
          <w:sz w:val="21"/>
          <w:szCs w:val="21"/>
          <w:highlight w:val="none"/>
          <w:lang w:eastAsia="zh-CN"/>
        </w:rPr>
        <w:t>响应人</w:t>
      </w:r>
      <w:r>
        <w:rPr>
          <w:rFonts w:hint="eastAsia" w:ascii="宋体" w:hAnsi="宋体" w:cs="宋体"/>
          <w:color w:val="auto"/>
          <w:sz w:val="21"/>
          <w:szCs w:val="21"/>
          <w:highlight w:val="none"/>
        </w:rPr>
        <w:t>信用承诺书；</w:t>
      </w:r>
    </w:p>
    <w:p>
      <w:pPr>
        <w:snapToGrid w:val="0"/>
        <w:spacing w:line="40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（10）响应人基本资格条件承诺书；</w:t>
      </w:r>
    </w:p>
    <w:p>
      <w:pPr>
        <w:snapToGrid w:val="0"/>
        <w:spacing w:line="40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11</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投标货物数量配置表、原辅材料明细表</w:t>
      </w:r>
    </w:p>
    <w:p>
      <w:pPr>
        <w:snapToGrid w:val="0"/>
        <w:spacing w:line="400" w:lineRule="exact"/>
        <w:ind w:firstLine="420" w:firstLineChars="200"/>
        <w:rPr>
          <w:rFonts w:hint="default" w:ascii="宋体" w:hAnsi="宋体" w:cs="宋体"/>
          <w:color w:val="auto"/>
          <w:sz w:val="21"/>
          <w:szCs w:val="21"/>
          <w:highlight w:val="none"/>
        </w:rPr>
      </w:pP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12</w:t>
      </w:r>
      <w:r>
        <w:rPr>
          <w:rFonts w:hint="eastAsia" w:ascii="宋体" w:hAnsi="宋体" w:cs="宋体"/>
          <w:color w:val="auto"/>
          <w:sz w:val="21"/>
          <w:szCs w:val="21"/>
          <w:highlight w:val="none"/>
          <w:lang w:eastAsia="zh-CN"/>
        </w:rPr>
        <w:t>）</w:t>
      </w:r>
      <w:r>
        <w:rPr>
          <w:rFonts w:hint="default" w:ascii="宋体" w:hAnsi="宋体" w:cs="宋体"/>
          <w:color w:val="auto"/>
          <w:sz w:val="21"/>
          <w:szCs w:val="21"/>
          <w:highlight w:val="none"/>
        </w:rPr>
        <w:t>相关业绩案例一览表</w:t>
      </w:r>
    </w:p>
    <w:p>
      <w:pPr>
        <w:snapToGrid w:val="0"/>
        <w:spacing w:line="40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rPr>
        <w:t>）其他证明材料。</w:t>
      </w:r>
    </w:p>
    <w:p>
      <w:pPr>
        <w:snapToGrid w:val="0"/>
        <w:spacing w:line="400" w:lineRule="exact"/>
        <w:ind w:firstLine="420" w:firstLineChars="200"/>
        <w:rPr>
          <w:rFonts w:hint="eastAsia" w:ascii="宋体" w:hAnsi="宋体" w:cs="宋体"/>
          <w:color w:val="auto"/>
          <w:sz w:val="21"/>
          <w:szCs w:val="21"/>
          <w:highlight w:val="none"/>
        </w:rPr>
      </w:pPr>
    </w:p>
    <w:p>
      <w:pPr>
        <w:snapToGrid w:val="0"/>
        <w:spacing w:line="400" w:lineRule="exact"/>
        <w:ind w:firstLine="420" w:firstLineChars="200"/>
        <w:rPr>
          <w:rFonts w:hint="eastAsia" w:ascii="宋体" w:hAnsi="宋体" w:cs="宋体"/>
          <w:color w:val="auto"/>
          <w:sz w:val="21"/>
          <w:szCs w:val="21"/>
          <w:highlight w:val="none"/>
        </w:rPr>
      </w:pPr>
    </w:p>
    <w:p>
      <w:pPr>
        <w:pStyle w:val="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column"/>
      </w:r>
      <w:r>
        <w:rPr>
          <w:rFonts w:hint="eastAsia" w:ascii="宋体" w:hAnsi="宋体" w:eastAsia="宋体" w:cs="宋体"/>
          <w:color w:val="auto"/>
          <w:sz w:val="21"/>
          <w:szCs w:val="21"/>
          <w:highlight w:val="none"/>
        </w:rPr>
        <w:t>附件一：</w:t>
      </w:r>
    </w:p>
    <w:p>
      <w:pPr>
        <w:spacing w:line="400" w:lineRule="exact"/>
        <w:jc w:val="center"/>
        <w:rPr>
          <w:rFonts w:hint="eastAsia" w:ascii="宋体" w:hAnsi="宋体" w:cs="宋体"/>
          <w:b/>
          <w:color w:val="auto"/>
          <w:sz w:val="21"/>
          <w:szCs w:val="21"/>
          <w:highlight w:val="none"/>
        </w:rPr>
      </w:pPr>
      <w:r>
        <w:rPr>
          <w:rFonts w:hint="eastAsia" w:ascii="宋体" w:hAnsi="宋体" w:cs="宋体"/>
          <w:b/>
          <w:color w:val="auto"/>
          <w:sz w:val="21"/>
          <w:szCs w:val="21"/>
          <w:highlight w:val="none"/>
        </w:rPr>
        <w:t xml:space="preserve">  响  应  函</w:t>
      </w:r>
    </w:p>
    <w:p>
      <w:pPr>
        <w:spacing w:line="400" w:lineRule="exact"/>
        <w:rPr>
          <w:rFonts w:hint="eastAsia" w:ascii="宋体" w:hAnsi="宋体" w:cs="宋体"/>
          <w:color w:val="auto"/>
          <w:sz w:val="21"/>
          <w:szCs w:val="21"/>
          <w:highlight w:val="none"/>
        </w:rPr>
      </w:pPr>
    </w:p>
    <w:p>
      <w:pPr>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u w:val="single"/>
          <w:lang w:eastAsia="zh-CN"/>
        </w:rPr>
        <w:t>招标人</w:t>
      </w:r>
      <w:r>
        <w:rPr>
          <w:rFonts w:hint="eastAsia" w:ascii="宋体" w:hAnsi="宋体" w:eastAsia="宋体" w:cs="宋体"/>
          <w:color w:val="auto"/>
          <w:sz w:val="21"/>
          <w:szCs w:val="21"/>
          <w:highlight w:val="none"/>
          <w:u w:val="single"/>
        </w:rPr>
        <w:t>名称）</w:t>
      </w:r>
    </w:p>
    <w:p>
      <w:pPr>
        <w:pStyle w:val="14"/>
        <w:spacing w:line="400" w:lineRule="exact"/>
        <w:ind w:firstLine="420" w:firstLineChars="200"/>
        <w:rPr>
          <w:rFonts w:hint="eastAsia" w:hAnsi="宋体" w:cs="宋体"/>
          <w:color w:val="auto"/>
          <w:sz w:val="21"/>
          <w:szCs w:val="21"/>
          <w:highlight w:val="none"/>
        </w:rPr>
      </w:pPr>
      <w:r>
        <w:rPr>
          <w:rFonts w:hint="eastAsia" w:hAnsi="宋体" w:cs="宋体"/>
          <w:color w:val="auto"/>
          <w:sz w:val="21"/>
          <w:szCs w:val="21"/>
          <w:highlight w:val="none"/>
        </w:rPr>
        <w:t>我单位收到贵单位</w:t>
      </w:r>
      <w:r>
        <w:rPr>
          <w:rFonts w:hint="eastAsia" w:hAnsi="宋体" w:cs="宋体"/>
          <w:color w:val="auto"/>
          <w:sz w:val="21"/>
          <w:szCs w:val="21"/>
          <w:highlight w:val="none"/>
          <w:u w:val="single"/>
          <w:lang w:val="en-US" w:eastAsia="zh-CN"/>
        </w:rPr>
        <w:t xml:space="preserve">                   （项目编号）</w:t>
      </w:r>
      <w:r>
        <w:rPr>
          <w:rFonts w:hint="eastAsia" w:hAnsi="宋体" w:cs="宋体"/>
          <w:color w:val="auto"/>
          <w:sz w:val="21"/>
          <w:szCs w:val="21"/>
          <w:highlight w:val="none"/>
          <w:lang w:eastAsia="zh-CN"/>
        </w:rPr>
        <w:t>磋商文件</w:t>
      </w:r>
      <w:r>
        <w:rPr>
          <w:rFonts w:hint="eastAsia" w:hAnsi="宋体" w:cs="宋体"/>
          <w:color w:val="auto"/>
          <w:sz w:val="21"/>
          <w:szCs w:val="21"/>
          <w:highlight w:val="none"/>
        </w:rPr>
        <w:t>后，经详细研究，我们决定参加该项目采购活动。为此，我方郑重声明以下诸点，并负法律责任。</w:t>
      </w:r>
    </w:p>
    <w:p>
      <w:pPr>
        <w:pStyle w:val="14"/>
        <w:numPr>
          <w:ilvl w:val="0"/>
          <w:numId w:val="5"/>
        </w:numPr>
        <w:spacing w:line="400" w:lineRule="exact"/>
        <w:ind w:firstLine="420" w:firstLineChars="200"/>
        <w:rPr>
          <w:rFonts w:hint="eastAsia" w:hAnsi="宋体" w:cs="宋体"/>
          <w:color w:val="auto"/>
          <w:sz w:val="21"/>
          <w:szCs w:val="21"/>
          <w:highlight w:val="none"/>
        </w:rPr>
      </w:pPr>
      <w:r>
        <w:rPr>
          <w:rFonts w:hint="eastAsia" w:hAnsi="宋体" w:cs="宋体"/>
          <w:color w:val="auto"/>
          <w:sz w:val="21"/>
          <w:szCs w:val="21"/>
          <w:highlight w:val="none"/>
        </w:rPr>
        <w:t>按</w:t>
      </w:r>
      <w:r>
        <w:rPr>
          <w:rFonts w:hint="eastAsia" w:hAnsi="宋体" w:cs="宋体"/>
          <w:color w:val="auto"/>
          <w:sz w:val="21"/>
          <w:szCs w:val="21"/>
          <w:highlight w:val="none"/>
          <w:lang w:eastAsia="zh-CN"/>
        </w:rPr>
        <w:t>磋商文件</w:t>
      </w:r>
      <w:r>
        <w:rPr>
          <w:rFonts w:hint="eastAsia" w:hAnsi="宋体" w:cs="宋体"/>
          <w:color w:val="auto"/>
          <w:sz w:val="21"/>
          <w:szCs w:val="21"/>
          <w:highlight w:val="none"/>
        </w:rPr>
        <w:t>规定的各项要求，向采购人提供所需货物与服务。</w:t>
      </w:r>
    </w:p>
    <w:p>
      <w:pPr>
        <w:pStyle w:val="14"/>
        <w:numPr>
          <w:ilvl w:val="0"/>
          <w:numId w:val="5"/>
        </w:numPr>
        <w:spacing w:line="400" w:lineRule="exact"/>
        <w:ind w:firstLine="420" w:firstLineChars="200"/>
        <w:rPr>
          <w:rFonts w:hint="eastAsia" w:hAnsi="宋体" w:cs="宋体"/>
          <w:color w:val="auto"/>
          <w:sz w:val="21"/>
          <w:szCs w:val="21"/>
          <w:highlight w:val="none"/>
        </w:rPr>
      </w:pPr>
      <w:r>
        <w:rPr>
          <w:rFonts w:hint="eastAsia" w:hAnsi="宋体" w:cs="宋体"/>
          <w:color w:val="auto"/>
          <w:sz w:val="21"/>
          <w:szCs w:val="21"/>
          <w:highlight w:val="none"/>
        </w:rPr>
        <w:t>2、我方承诺质量、工期满足</w:t>
      </w:r>
      <w:r>
        <w:rPr>
          <w:rFonts w:hint="eastAsia" w:hAnsi="宋体" w:cs="宋体"/>
          <w:color w:val="auto"/>
          <w:sz w:val="21"/>
          <w:szCs w:val="21"/>
          <w:highlight w:val="none"/>
          <w:lang w:eastAsia="zh-CN"/>
        </w:rPr>
        <w:t>采购人</w:t>
      </w:r>
      <w:r>
        <w:rPr>
          <w:rFonts w:hint="eastAsia" w:hAnsi="宋体" w:cs="宋体"/>
          <w:color w:val="auto"/>
          <w:sz w:val="21"/>
          <w:szCs w:val="21"/>
          <w:highlight w:val="none"/>
        </w:rPr>
        <w:t>要求。</w:t>
      </w:r>
    </w:p>
    <w:p>
      <w:pPr>
        <w:pStyle w:val="14"/>
        <w:spacing w:line="400" w:lineRule="exact"/>
        <w:ind w:firstLine="420" w:firstLineChars="200"/>
        <w:rPr>
          <w:rFonts w:hint="eastAsia" w:hAnsi="宋体" w:cs="宋体"/>
          <w:color w:val="auto"/>
          <w:sz w:val="21"/>
          <w:szCs w:val="21"/>
          <w:highlight w:val="none"/>
        </w:rPr>
      </w:pPr>
      <w:r>
        <w:rPr>
          <w:rFonts w:hint="eastAsia" w:hAnsi="宋体" w:cs="宋体"/>
          <w:color w:val="auto"/>
          <w:sz w:val="21"/>
          <w:szCs w:val="21"/>
          <w:highlight w:val="none"/>
        </w:rPr>
        <w:t>3、我方承诺财务状况良好，依法缴纳税收和社会保障资金，具备履行合同所必需的设备和专业技术能力，参加采购活动前3年内在经营活动中没有重大违法记录。</w:t>
      </w:r>
    </w:p>
    <w:p>
      <w:pPr>
        <w:pStyle w:val="14"/>
        <w:spacing w:line="400" w:lineRule="exact"/>
        <w:ind w:firstLine="420" w:firstLineChars="200"/>
        <w:rPr>
          <w:rFonts w:hint="eastAsia" w:hAnsi="宋体" w:cs="宋体"/>
          <w:color w:val="auto"/>
          <w:sz w:val="21"/>
          <w:szCs w:val="21"/>
          <w:highlight w:val="none"/>
        </w:rPr>
      </w:pPr>
      <w:r>
        <w:rPr>
          <w:rFonts w:hint="eastAsia" w:hAnsi="宋体" w:cs="宋体"/>
          <w:color w:val="auto"/>
          <w:sz w:val="21"/>
          <w:szCs w:val="21"/>
          <w:highlight w:val="none"/>
        </w:rPr>
        <w:t>4、我方承诺该响应文件在该项目的全过程中保持有效，不作任何更改和变动。</w:t>
      </w:r>
    </w:p>
    <w:p>
      <w:pPr>
        <w:pStyle w:val="14"/>
        <w:spacing w:line="400" w:lineRule="exact"/>
        <w:ind w:firstLine="420" w:firstLineChars="200"/>
        <w:rPr>
          <w:rFonts w:hint="eastAsia" w:hAnsi="宋体" w:cs="宋体"/>
          <w:color w:val="auto"/>
          <w:sz w:val="21"/>
          <w:szCs w:val="21"/>
          <w:highlight w:val="none"/>
        </w:rPr>
      </w:pPr>
      <w:r>
        <w:rPr>
          <w:rFonts w:hint="eastAsia" w:hAnsi="宋体" w:cs="宋体"/>
          <w:color w:val="auto"/>
          <w:sz w:val="21"/>
          <w:szCs w:val="21"/>
          <w:highlight w:val="none"/>
        </w:rPr>
        <w:t>5、我们愿按《中华人民共和国民法典》履行自己的全部责任。</w:t>
      </w:r>
    </w:p>
    <w:p>
      <w:pPr>
        <w:pStyle w:val="14"/>
        <w:spacing w:line="400" w:lineRule="exact"/>
        <w:ind w:firstLine="420" w:firstLineChars="200"/>
        <w:rPr>
          <w:rFonts w:hint="eastAsia" w:hAnsi="宋体" w:cs="宋体"/>
          <w:color w:val="auto"/>
          <w:sz w:val="21"/>
          <w:szCs w:val="21"/>
          <w:highlight w:val="none"/>
        </w:rPr>
      </w:pPr>
      <w:r>
        <w:rPr>
          <w:rFonts w:hint="eastAsia" w:hAnsi="宋体" w:cs="宋体"/>
          <w:color w:val="auto"/>
          <w:sz w:val="21"/>
          <w:szCs w:val="21"/>
          <w:highlight w:val="none"/>
        </w:rPr>
        <w:t>6、我方同意按</w:t>
      </w:r>
      <w:r>
        <w:rPr>
          <w:rFonts w:hint="eastAsia" w:hAnsi="宋体" w:cs="宋体"/>
          <w:color w:val="auto"/>
          <w:sz w:val="21"/>
          <w:szCs w:val="21"/>
          <w:highlight w:val="none"/>
          <w:lang w:eastAsia="zh-CN"/>
        </w:rPr>
        <w:t>磋商文件</w:t>
      </w:r>
      <w:r>
        <w:rPr>
          <w:rFonts w:hint="eastAsia" w:hAnsi="宋体" w:cs="宋体"/>
          <w:color w:val="auto"/>
          <w:sz w:val="21"/>
          <w:szCs w:val="21"/>
          <w:highlight w:val="none"/>
        </w:rPr>
        <w:t>规定交纳</w:t>
      </w:r>
      <w:r>
        <w:rPr>
          <w:rFonts w:hint="eastAsia" w:hAnsi="宋体" w:cs="宋体"/>
          <w:color w:val="auto"/>
          <w:sz w:val="21"/>
          <w:szCs w:val="21"/>
          <w:highlight w:val="none"/>
          <w:lang w:val="en-US" w:eastAsia="zh-CN"/>
        </w:rPr>
        <w:t>措施</w:t>
      </w:r>
      <w:r>
        <w:rPr>
          <w:rFonts w:hint="eastAsia" w:hAnsi="宋体" w:cs="宋体"/>
          <w:color w:val="auto"/>
          <w:sz w:val="21"/>
          <w:szCs w:val="21"/>
          <w:highlight w:val="none"/>
        </w:rPr>
        <w:t>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如需）</w:t>
      </w:r>
      <w:r>
        <w:rPr>
          <w:rFonts w:hint="eastAsia" w:hAnsi="宋体" w:cs="宋体"/>
          <w:color w:val="auto"/>
          <w:sz w:val="21"/>
          <w:szCs w:val="21"/>
          <w:highlight w:val="none"/>
        </w:rPr>
        <w:t>，遵守贵机构有关采购活动的各项规定。</w:t>
      </w:r>
    </w:p>
    <w:p>
      <w:pPr>
        <w:pStyle w:val="14"/>
        <w:spacing w:line="400" w:lineRule="exact"/>
        <w:ind w:firstLine="420" w:firstLineChars="200"/>
        <w:rPr>
          <w:rFonts w:hint="eastAsia" w:hAnsi="宋体" w:cs="宋体"/>
          <w:color w:val="auto"/>
          <w:sz w:val="21"/>
          <w:szCs w:val="21"/>
          <w:highlight w:val="none"/>
        </w:rPr>
      </w:pPr>
      <w:r>
        <w:rPr>
          <w:rFonts w:hint="eastAsia" w:hAnsi="宋体" w:cs="宋体"/>
          <w:color w:val="auto"/>
          <w:sz w:val="21"/>
          <w:szCs w:val="21"/>
          <w:highlight w:val="none"/>
        </w:rPr>
        <w:t>7、愿意提供</w:t>
      </w:r>
      <w:r>
        <w:rPr>
          <w:rFonts w:hint="eastAsia" w:hAnsi="宋体" w:cs="宋体"/>
          <w:color w:val="auto"/>
          <w:sz w:val="21"/>
          <w:szCs w:val="21"/>
          <w:highlight w:val="none"/>
          <w:lang w:eastAsia="zh-CN"/>
        </w:rPr>
        <w:t>磋商文件</w:t>
      </w:r>
      <w:r>
        <w:rPr>
          <w:rFonts w:hint="eastAsia" w:hAnsi="宋体" w:cs="宋体"/>
          <w:color w:val="auto"/>
          <w:sz w:val="21"/>
          <w:szCs w:val="21"/>
          <w:highlight w:val="none"/>
        </w:rPr>
        <w:t>中要求所有资料，并保证完全真实准确，若有虚假和违背，我公司愿意承担由此而产生的一切后果。</w:t>
      </w:r>
    </w:p>
    <w:p>
      <w:pPr>
        <w:spacing w:line="40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8、与本次采购活动有关的正式通讯地址为：</w:t>
      </w:r>
    </w:p>
    <w:p>
      <w:pPr>
        <w:spacing w:line="400" w:lineRule="exact"/>
        <w:rPr>
          <w:rFonts w:hint="eastAsia" w:ascii="宋体" w:hAnsi="宋体" w:cs="宋体"/>
          <w:color w:val="auto"/>
          <w:sz w:val="21"/>
          <w:szCs w:val="21"/>
          <w:highlight w:val="none"/>
        </w:rPr>
      </w:pPr>
    </w:p>
    <w:p>
      <w:pPr>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地   址：                  </w:t>
      </w:r>
    </w:p>
    <w:p>
      <w:pPr>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电   话：                  </w:t>
      </w:r>
    </w:p>
    <w:p>
      <w:pPr>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传   真：                  </w:t>
      </w:r>
    </w:p>
    <w:p>
      <w:pPr>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响应人法定代表人或代理人（签字或盖章）：       </w:t>
      </w:r>
    </w:p>
    <w:p>
      <w:pPr>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响应人名称（盖章）：             </w:t>
      </w:r>
    </w:p>
    <w:p>
      <w:pPr>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日    期：     年    月    日</w:t>
      </w:r>
    </w:p>
    <w:p>
      <w:pPr>
        <w:spacing w:line="400" w:lineRule="exact"/>
        <w:rPr>
          <w:rFonts w:hint="eastAsia" w:ascii="宋体" w:hAnsi="宋体" w:cs="宋体"/>
          <w:b/>
          <w:color w:val="auto"/>
          <w:sz w:val="21"/>
          <w:szCs w:val="21"/>
          <w:highlight w:val="none"/>
        </w:rPr>
      </w:pPr>
      <w:r>
        <w:rPr>
          <w:rFonts w:hint="eastAsia" w:ascii="宋体" w:hAnsi="宋体" w:cs="宋体"/>
          <w:b/>
          <w:color w:val="auto"/>
          <w:sz w:val="21"/>
          <w:szCs w:val="21"/>
          <w:highlight w:val="none"/>
        </w:rPr>
        <w:br w:type="page"/>
      </w:r>
      <w:r>
        <w:rPr>
          <w:rFonts w:hint="eastAsia" w:ascii="宋体" w:hAnsi="宋体" w:cs="宋体"/>
          <w:b/>
          <w:color w:val="auto"/>
          <w:sz w:val="21"/>
          <w:szCs w:val="21"/>
          <w:highlight w:val="none"/>
        </w:rPr>
        <w:t>附件二：</w:t>
      </w:r>
    </w:p>
    <w:p>
      <w:pPr>
        <w:snapToGrid w:val="0"/>
        <w:spacing w:line="400" w:lineRule="exact"/>
        <w:jc w:val="center"/>
        <w:rPr>
          <w:rFonts w:hint="eastAsia" w:ascii="宋体" w:hAnsi="宋体" w:cs="宋体"/>
          <w:b/>
          <w:color w:val="auto"/>
          <w:sz w:val="21"/>
          <w:szCs w:val="21"/>
          <w:highlight w:val="none"/>
        </w:rPr>
      </w:pPr>
      <w:r>
        <w:rPr>
          <w:rFonts w:hint="eastAsia" w:ascii="宋体" w:hAnsi="宋体" w:cs="宋体"/>
          <w:b/>
          <w:color w:val="auto"/>
          <w:sz w:val="21"/>
          <w:szCs w:val="21"/>
          <w:highlight w:val="none"/>
        </w:rPr>
        <w:t>法定代表人资格证明书</w:t>
      </w:r>
    </w:p>
    <w:p>
      <w:pPr>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单位名称:</w:t>
      </w:r>
    </w:p>
    <w:p>
      <w:pPr>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地址:</w:t>
      </w:r>
    </w:p>
    <w:p>
      <w:pPr>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姓名:            性别:        年龄:        职务:</w:t>
      </w:r>
    </w:p>
    <w:p>
      <w:pPr>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系</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 的法定代表人。为实施</w:t>
      </w:r>
      <w:r>
        <w:rPr>
          <w:rFonts w:hint="eastAsia" w:ascii="宋体" w:hAnsi="宋体" w:cs="宋体"/>
          <w:color w:val="auto"/>
          <w:sz w:val="21"/>
          <w:szCs w:val="21"/>
          <w:highlight w:val="none"/>
          <w:u w:val="single"/>
          <w:lang w:val="en-US" w:eastAsia="zh-CN"/>
        </w:rPr>
        <w:t xml:space="preserve">            </w:t>
      </w:r>
      <w:r>
        <w:rPr>
          <w:rFonts w:hint="eastAsia" w:hAnsi="宋体" w:cs="宋体"/>
          <w:color w:val="auto"/>
          <w:sz w:val="21"/>
          <w:szCs w:val="21"/>
          <w:highlight w:val="none"/>
          <w:u w:val="single"/>
          <w:lang w:val="en-US" w:eastAsia="zh-CN"/>
        </w:rPr>
        <w:t>（项目编号）</w:t>
      </w:r>
      <w:r>
        <w:rPr>
          <w:rFonts w:hint="eastAsia" w:ascii="宋体" w:hAnsi="宋体" w:cs="宋体"/>
          <w:color w:val="auto"/>
          <w:sz w:val="21"/>
          <w:szCs w:val="21"/>
          <w:highlight w:val="none"/>
        </w:rPr>
        <w:t>的工作，签署上述项目的响应文件、进行合同谈判、签署合同和处理与之有关的一切事务。</w:t>
      </w:r>
    </w:p>
    <w:p>
      <w:pPr>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特此证明。</w:t>
      </w:r>
    </w:p>
    <w:p>
      <w:pPr>
        <w:spacing w:line="400" w:lineRule="exact"/>
        <w:rPr>
          <w:rFonts w:hint="eastAsia" w:ascii="宋体" w:hAnsi="宋体" w:cs="宋体"/>
          <w:color w:val="auto"/>
          <w:sz w:val="21"/>
          <w:szCs w:val="21"/>
          <w:highlight w:val="none"/>
        </w:rPr>
      </w:pPr>
    </w:p>
    <w:p>
      <w:pPr>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                 响应人：（盖章）</w:t>
      </w:r>
    </w:p>
    <w:p>
      <w:pPr>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                     法定代表人</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签字或盖章</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w:t>
      </w:r>
    </w:p>
    <w:p>
      <w:pPr>
        <w:spacing w:line="400" w:lineRule="exact"/>
        <w:ind w:firstLine="3570" w:firstLineChars="1700"/>
        <w:rPr>
          <w:rFonts w:hint="eastAsia" w:ascii="宋体" w:hAnsi="宋体" w:cs="宋体"/>
          <w:color w:val="auto"/>
          <w:sz w:val="21"/>
          <w:szCs w:val="21"/>
          <w:highlight w:val="none"/>
        </w:rPr>
      </w:pPr>
      <w:r>
        <w:rPr>
          <w:rFonts w:hint="eastAsia" w:ascii="宋体" w:hAnsi="宋体" w:cs="宋体"/>
          <w:color w:val="auto"/>
          <w:sz w:val="21"/>
          <w:szCs w:val="21"/>
          <w:highlight w:val="none"/>
        </w:rPr>
        <w:t>日期：    年    月    日</w:t>
      </w:r>
    </w:p>
    <w:p>
      <w:pPr>
        <w:spacing w:line="400" w:lineRule="exact"/>
        <w:jc w:val="center"/>
        <w:rPr>
          <w:rFonts w:hint="eastAsia" w:ascii="宋体" w:hAnsi="宋体" w:cs="宋体"/>
          <w:color w:val="auto"/>
          <w:sz w:val="21"/>
          <w:szCs w:val="21"/>
          <w:highlight w:val="none"/>
        </w:rPr>
      </w:pPr>
    </w:p>
    <w:p>
      <w:pPr>
        <w:spacing w:line="400" w:lineRule="exact"/>
        <w:jc w:val="center"/>
        <w:rPr>
          <w:rFonts w:hint="eastAsia" w:ascii="宋体" w:hAnsi="宋体" w:cs="宋体"/>
          <w:color w:val="auto"/>
          <w:sz w:val="21"/>
          <w:szCs w:val="21"/>
          <w:highlight w:val="none"/>
        </w:rPr>
      </w:pPr>
    </w:p>
    <w:p>
      <w:pPr>
        <w:spacing w:line="400" w:lineRule="exact"/>
        <w:jc w:val="center"/>
        <w:rPr>
          <w:rFonts w:hint="eastAsia" w:ascii="宋体" w:hAnsi="宋体" w:cs="宋体"/>
          <w:color w:val="auto"/>
          <w:sz w:val="21"/>
          <w:szCs w:val="21"/>
          <w:highlight w:val="none"/>
        </w:rPr>
      </w:pPr>
    </w:p>
    <w:p>
      <w:pPr>
        <w:spacing w:line="400" w:lineRule="exact"/>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法定代表人身份证</w:t>
      </w:r>
    </w:p>
    <w:p>
      <w:pPr>
        <w:spacing w:line="400" w:lineRule="exact"/>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（复印件）</w:t>
      </w:r>
    </w:p>
    <w:p>
      <w:pPr>
        <w:snapToGrid w:val="0"/>
        <w:spacing w:line="400" w:lineRule="exact"/>
        <w:rPr>
          <w:rFonts w:hint="eastAsia" w:ascii="宋体" w:hAnsi="宋体" w:cs="宋体"/>
          <w:b/>
          <w:color w:val="auto"/>
          <w:sz w:val="21"/>
          <w:szCs w:val="21"/>
          <w:highlight w:val="none"/>
        </w:rPr>
      </w:pPr>
    </w:p>
    <w:p>
      <w:pPr>
        <w:snapToGrid w:val="0"/>
        <w:spacing w:line="400" w:lineRule="exact"/>
        <w:rPr>
          <w:rFonts w:hint="eastAsia" w:ascii="宋体" w:hAnsi="宋体" w:cs="宋体"/>
          <w:b/>
          <w:color w:val="auto"/>
          <w:sz w:val="21"/>
          <w:szCs w:val="21"/>
          <w:highlight w:val="none"/>
        </w:rPr>
      </w:pPr>
    </w:p>
    <w:p>
      <w:pPr>
        <w:snapToGrid w:val="0"/>
        <w:spacing w:line="400" w:lineRule="exact"/>
        <w:rPr>
          <w:rFonts w:hint="eastAsia" w:ascii="宋体" w:hAnsi="宋体" w:cs="宋体"/>
          <w:b/>
          <w:color w:val="auto"/>
          <w:sz w:val="21"/>
          <w:szCs w:val="21"/>
          <w:highlight w:val="none"/>
        </w:rPr>
      </w:pPr>
    </w:p>
    <w:p>
      <w:pPr>
        <w:snapToGrid w:val="0"/>
        <w:spacing w:line="400" w:lineRule="exact"/>
        <w:rPr>
          <w:rFonts w:hint="eastAsia" w:ascii="宋体" w:hAnsi="宋体" w:cs="宋体"/>
          <w:b/>
          <w:color w:val="auto"/>
          <w:sz w:val="21"/>
          <w:szCs w:val="21"/>
          <w:highlight w:val="none"/>
        </w:rPr>
      </w:pPr>
    </w:p>
    <w:p>
      <w:pPr>
        <w:snapToGrid w:val="0"/>
        <w:spacing w:line="400" w:lineRule="exact"/>
        <w:rPr>
          <w:rFonts w:hint="eastAsia" w:ascii="宋体" w:hAnsi="宋体" w:cs="宋体"/>
          <w:b/>
          <w:color w:val="auto"/>
          <w:sz w:val="21"/>
          <w:szCs w:val="21"/>
          <w:highlight w:val="none"/>
        </w:rPr>
      </w:pPr>
    </w:p>
    <w:p>
      <w:pPr>
        <w:snapToGrid w:val="0"/>
        <w:spacing w:line="400" w:lineRule="exact"/>
        <w:rPr>
          <w:rFonts w:hint="eastAsia" w:ascii="宋体" w:hAnsi="宋体" w:cs="宋体"/>
          <w:b/>
          <w:color w:val="auto"/>
          <w:sz w:val="21"/>
          <w:szCs w:val="21"/>
          <w:highlight w:val="none"/>
        </w:rPr>
      </w:pPr>
    </w:p>
    <w:p>
      <w:pPr>
        <w:snapToGrid w:val="0"/>
        <w:spacing w:line="400" w:lineRule="exact"/>
        <w:rPr>
          <w:rFonts w:hint="eastAsia" w:ascii="宋体" w:hAnsi="宋体" w:cs="宋体"/>
          <w:b/>
          <w:color w:val="auto"/>
          <w:sz w:val="21"/>
          <w:szCs w:val="21"/>
          <w:highlight w:val="none"/>
        </w:rPr>
      </w:pPr>
    </w:p>
    <w:p>
      <w:pPr>
        <w:snapToGrid w:val="0"/>
        <w:spacing w:line="400" w:lineRule="exact"/>
        <w:rPr>
          <w:rFonts w:hint="eastAsia" w:ascii="宋体" w:hAnsi="宋体" w:cs="宋体"/>
          <w:b/>
          <w:color w:val="auto"/>
          <w:sz w:val="21"/>
          <w:szCs w:val="21"/>
          <w:highlight w:val="none"/>
        </w:rPr>
      </w:pPr>
    </w:p>
    <w:p>
      <w:pPr>
        <w:snapToGrid w:val="0"/>
        <w:spacing w:line="400" w:lineRule="exact"/>
        <w:rPr>
          <w:rFonts w:hint="eastAsia" w:ascii="宋体" w:hAnsi="宋体" w:cs="宋体"/>
          <w:b/>
          <w:color w:val="auto"/>
          <w:sz w:val="21"/>
          <w:szCs w:val="21"/>
          <w:highlight w:val="none"/>
        </w:rPr>
      </w:pPr>
    </w:p>
    <w:p>
      <w:pPr>
        <w:snapToGrid w:val="0"/>
        <w:spacing w:line="400" w:lineRule="exact"/>
        <w:rPr>
          <w:rFonts w:hint="eastAsia" w:ascii="宋体" w:hAnsi="宋体" w:cs="宋体"/>
          <w:b/>
          <w:color w:val="auto"/>
          <w:sz w:val="21"/>
          <w:szCs w:val="21"/>
          <w:highlight w:val="none"/>
        </w:rPr>
      </w:pPr>
    </w:p>
    <w:p>
      <w:pPr>
        <w:snapToGrid w:val="0"/>
        <w:spacing w:line="400" w:lineRule="exact"/>
        <w:rPr>
          <w:rFonts w:hint="eastAsia" w:ascii="宋体" w:hAnsi="宋体" w:cs="宋体"/>
          <w:b/>
          <w:color w:val="auto"/>
          <w:sz w:val="21"/>
          <w:szCs w:val="21"/>
          <w:highlight w:val="none"/>
        </w:rPr>
      </w:pPr>
    </w:p>
    <w:p>
      <w:pPr>
        <w:snapToGrid w:val="0"/>
        <w:spacing w:line="400" w:lineRule="exact"/>
        <w:rPr>
          <w:rFonts w:hint="eastAsia" w:ascii="宋体" w:hAnsi="宋体" w:cs="宋体"/>
          <w:b/>
          <w:color w:val="auto"/>
          <w:sz w:val="21"/>
          <w:szCs w:val="21"/>
          <w:highlight w:val="none"/>
        </w:rPr>
      </w:pPr>
    </w:p>
    <w:p>
      <w:pPr>
        <w:snapToGrid w:val="0"/>
        <w:spacing w:line="400" w:lineRule="exact"/>
        <w:rPr>
          <w:rFonts w:hint="eastAsia" w:ascii="宋体" w:hAnsi="宋体" w:cs="宋体"/>
          <w:b/>
          <w:color w:val="auto"/>
          <w:sz w:val="21"/>
          <w:szCs w:val="21"/>
          <w:highlight w:val="none"/>
        </w:rPr>
      </w:pPr>
    </w:p>
    <w:p>
      <w:pPr>
        <w:snapToGrid w:val="0"/>
        <w:spacing w:line="400" w:lineRule="exact"/>
        <w:rPr>
          <w:rFonts w:hint="eastAsia" w:ascii="宋体" w:hAnsi="宋体" w:cs="宋体"/>
          <w:b/>
          <w:color w:val="auto"/>
          <w:sz w:val="21"/>
          <w:szCs w:val="21"/>
          <w:highlight w:val="none"/>
        </w:rPr>
      </w:pPr>
    </w:p>
    <w:p>
      <w:pPr>
        <w:snapToGrid w:val="0"/>
        <w:spacing w:line="400" w:lineRule="exact"/>
        <w:rPr>
          <w:rFonts w:hint="eastAsia" w:ascii="宋体" w:hAnsi="宋体" w:cs="宋体"/>
          <w:b/>
          <w:color w:val="auto"/>
          <w:sz w:val="21"/>
          <w:szCs w:val="21"/>
          <w:highlight w:val="none"/>
        </w:rPr>
      </w:pPr>
    </w:p>
    <w:p>
      <w:pPr>
        <w:snapToGrid w:val="0"/>
        <w:spacing w:line="400" w:lineRule="exact"/>
        <w:rPr>
          <w:rFonts w:hint="eastAsia" w:ascii="宋体" w:hAnsi="宋体" w:cs="宋体"/>
          <w:b/>
          <w:color w:val="auto"/>
          <w:sz w:val="21"/>
          <w:szCs w:val="21"/>
          <w:highlight w:val="none"/>
        </w:rPr>
      </w:pPr>
    </w:p>
    <w:p>
      <w:pPr>
        <w:spacing w:line="400" w:lineRule="exact"/>
        <w:rPr>
          <w:rFonts w:hint="eastAsia" w:ascii="宋体" w:hAnsi="宋体" w:cs="宋体"/>
          <w:b/>
          <w:color w:val="auto"/>
          <w:sz w:val="21"/>
          <w:szCs w:val="21"/>
          <w:highlight w:val="none"/>
        </w:rPr>
      </w:pPr>
      <w:bookmarkStart w:id="64" w:name="_Toc517793379"/>
      <w:r>
        <w:rPr>
          <w:rFonts w:hint="eastAsia" w:ascii="宋体" w:hAnsi="宋体" w:cs="宋体"/>
          <w:b/>
          <w:color w:val="auto"/>
          <w:sz w:val="21"/>
          <w:szCs w:val="21"/>
          <w:highlight w:val="none"/>
        </w:rPr>
        <w:t>附件三：</w:t>
      </w:r>
      <w:bookmarkEnd w:id="64"/>
    </w:p>
    <w:p>
      <w:pPr>
        <w:snapToGrid w:val="0"/>
        <w:spacing w:line="400" w:lineRule="exact"/>
        <w:jc w:val="center"/>
        <w:rPr>
          <w:rFonts w:hint="eastAsia" w:ascii="宋体" w:hAnsi="宋体" w:cs="宋体"/>
          <w:b/>
          <w:color w:val="auto"/>
          <w:sz w:val="21"/>
          <w:szCs w:val="21"/>
          <w:highlight w:val="none"/>
        </w:rPr>
      </w:pPr>
      <w:r>
        <w:rPr>
          <w:rFonts w:hint="eastAsia" w:ascii="宋体" w:hAnsi="宋体" w:cs="宋体"/>
          <w:b/>
          <w:color w:val="auto"/>
          <w:sz w:val="21"/>
          <w:szCs w:val="21"/>
          <w:highlight w:val="none"/>
        </w:rPr>
        <w:t>授权委托书</w:t>
      </w:r>
    </w:p>
    <w:p>
      <w:pPr>
        <w:snapToGrid w:val="0"/>
        <w:spacing w:line="400" w:lineRule="exact"/>
        <w:ind w:firstLine="420" w:firstLineChars="200"/>
        <w:rPr>
          <w:rFonts w:hint="eastAsia" w:ascii="宋体" w:hAnsi="宋体" w:cs="宋体"/>
          <w:color w:val="auto"/>
          <w:sz w:val="21"/>
          <w:szCs w:val="21"/>
          <w:highlight w:val="none"/>
        </w:rPr>
      </w:pPr>
    </w:p>
    <w:p>
      <w:pPr>
        <w:snapToGrid w:val="0"/>
        <w:spacing w:line="40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本授权委托书声明：__________________（响应人名称）的________________（法定代表人姓名、职务）代表响应人授权_______________（被授权人的姓名、职务）为</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项目投标的合法代理人，全权负责参加本次采购项目谈判、签订合约以及与之相关的各项工作。本响应人对代理人的签名负全部责任。</w:t>
      </w:r>
    </w:p>
    <w:p>
      <w:pPr>
        <w:snapToGrid w:val="0"/>
        <w:spacing w:line="40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本授权书于__________年_______月________日签字生效，特此声明。</w:t>
      </w:r>
    </w:p>
    <w:p>
      <w:pPr>
        <w:snapToGrid w:val="0"/>
        <w:spacing w:line="400" w:lineRule="exact"/>
        <w:rPr>
          <w:rFonts w:hint="eastAsia" w:ascii="宋体" w:hAnsi="宋体" w:cs="宋体"/>
          <w:color w:val="auto"/>
          <w:sz w:val="21"/>
          <w:szCs w:val="21"/>
          <w:highlight w:val="none"/>
        </w:rPr>
      </w:pPr>
    </w:p>
    <w:p>
      <w:pPr>
        <w:snapToGrid w:val="0"/>
        <w:spacing w:line="400" w:lineRule="exact"/>
        <w:rPr>
          <w:rFonts w:hint="eastAsia" w:ascii="宋体" w:hAnsi="宋体" w:cs="宋体"/>
          <w:color w:val="auto"/>
          <w:sz w:val="21"/>
          <w:szCs w:val="21"/>
          <w:highlight w:val="none"/>
        </w:rPr>
      </w:pPr>
    </w:p>
    <w:p>
      <w:pPr>
        <w:snapToGri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响应人章：</w:t>
      </w:r>
    </w:p>
    <w:p>
      <w:pPr>
        <w:snapToGrid w:val="0"/>
        <w:spacing w:line="400" w:lineRule="exact"/>
        <w:rPr>
          <w:rFonts w:hint="eastAsia" w:ascii="宋体" w:hAnsi="宋体" w:cs="宋体"/>
          <w:color w:val="auto"/>
          <w:sz w:val="21"/>
          <w:szCs w:val="21"/>
          <w:highlight w:val="none"/>
        </w:rPr>
      </w:pPr>
    </w:p>
    <w:p>
      <w:pPr>
        <w:snapToGri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法定代表人签字或盖章：                   日期：</w:t>
      </w:r>
    </w:p>
    <w:p>
      <w:pPr>
        <w:snapToGri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职务：                                   联系电话：</w:t>
      </w:r>
    </w:p>
    <w:p>
      <w:pPr>
        <w:snapToGri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单位名称：                               地址：</w:t>
      </w:r>
    </w:p>
    <w:p>
      <w:pPr>
        <w:snapToGri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身份证号码：</w:t>
      </w:r>
    </w:p>
    <w:p>
      <w:pPr>
        <w:snapToGrid w:val="0"/>
        <w:spacing w:line="400" w:lineRule="exact"/>
        <w:rPr>
          <w:rFonts w:hint="eastAsia" w:ascii="宋体" w:hAnsi="宋体" w:cs="宋体"/>
          <w:color w:val="auto"/>
          <w:sz w:val="21"/>
          <w:szCs w:val="21"/>
          <w:highlight w:val="none"/>
        </w:rPr>
      </w:pPr>
    </w:p>
    <w:p>
      <w:pPr>
        <w:snapToGri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代理人签字或盖章：                       日期：</w:t>
      </w:r>
    </w:p>
    <w:p>
      <w:pPr>
        <w:snapToGri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职务：                                   联系电话：</w:t>
      </w:r>
    </w:p>
    <w:p>
      <w:pPr>
        <w:snapToGri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单位名称：                               地址：</w:t>
      </w:r>
    </w:p>
    <w:p>
      <w:pPr>
        <w:snapToGri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身份证号码：</w:t>
      </w:r>
    </w:p>
    <w:p>
      <w:pPr>
        <w:snapToGrid w:val="0"/>
        <w:spacing w:line="400" w:lineRule="exact"/>
        <w:rPr>
          <w:rFonts w:hint="eastAsia" w:ascii="宋体" w:hAnsi="宋体" w:cs="宋体"/>
          <w:color w:val="auto"/>
          <w:sz w:val="21"/>
          <w:szCs w:val="21"/>
          <w:highlight w:val="none"/>
        </w:rPr>
      </w:pPr>
    </w:p>
    <w:p>
      <w:pPr>
        <w:snapToGrid w:val="0"/>
        <w:spacing w:line="400" w:lineRule="exact"/>
        <w:rPr>
          <w:rFonts w:hint="eastAsia" w:ascii="宋体" w:hAnsi="宋体" w:cs="宋体"/>
          <w:color w:val="auto"/>
          <w:sz w:val="21"/>
          <w:szCs w:val="21"/>
          <w:highlight w:val="none"/>
        </w:rPr>
      </w:pPr>
    </w:p>
    <w:p>
      <w:pPr>
        <w:snapToGrid w:val="0"/>
        <w:spacing w:line="400" w:lineRule="exact"/>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代理人身份证</w:t>
      </w:r>
    </w:p>
    <w:p>
      <w:pPr>
        <w:snapToGrid w:val="0"/>
        <w:spacing w:line="400" w:lineRule="exact"/>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（复印件）</w:t>
      </w:r>
    </w:p>
    <w:p>
      <w:pPr>
        <w:pStyle w:val="7"/>
        <w:rPr>
          <w:rFonts w:hint="eastAsia" w:ascii="宋体" w:hAnsi="宋体" w:cs="宋体"/>
          <w:color w:val="auto"/>
          <w:sz w:val="21"/>
          <w:szCs w:val="21"/>
          <w:highlight w:val="none"/>
        </w:rPr>
      </w:pPr>
    </w:p>
    <w:p>
      <w:pPr>
        <w:rPr>
          <w:rFonts w:hint="eastAsia" w:ascii="宋体" w:hAnsi="宋体" w:cs="宋体"/>
          <w:color w:val="auto"/>
          <w:sz w:val="21"/>
          <w:szCs w:val="21"/>
          <w:highlight w:val="none"/>
        </w:rPr>
      </w:pPr>
    </w:p>
    <w:p>
      <w:pPr>
        <w:pStyle w:val="7"/>
        <w:rPr>
          <w:rFonts w:hint="eastAsia" w:ascii="宋体" w:hAnsi="宋体" w:cs="宋体"/>
          <w:color w:val="auto"/>
          <w:sz w:val="21"/>
          <w:szCs w:val="21"/>
          <w:highlight w:val="none"/>
        </w:rPr>
      </w:pPr>
    </w:p>
    <w:p>
      <w:pPr>
        <w:rPr>
          <w:rFonts w:hint="eastAsia" w:ascii="宋体" w:hAnsi="宋体" w:cs="宋体"/>
          <w:color w:val="auto"/>
          <w:sz w:val="21"/>
          <w:szCs w:val="21"/>
          <w:highlight w:val="none"/>
        </w:rPr>
      </w:pPr>
    </w:p>
    <w:p>
      <w:pPr>
        <w:snapToGri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备注：</w:t>
      </w:r>
    </w:p>
    <w:p>
      <w:pPr>
        <w:snapToGri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1、法定代表人参加谈判时，需携带法人资格证明和本人身份证原件</w:t>
      </w:r>
      <w:r>
        <w:rPr>
          <w:rFonts w:hint="eastAsia" w:ascii="宋体" w:hAnsi="宋体" w:cs="宋体"/>
          <w:b/>
          <w:color w:val="auto"/>
          <w:spacing w:val="2"/>
          <w:sz w:val="21"/>
          <w:szCs w:val="21"/>
          <w:highlight w:val="none"/>
        </w:rPr>
        <w:t>（</w:t>
      </w:r>
      <w:r>
        <w:rPr>
          <w:rFonts w:hint="eastAsia" w:ascii="宋体" w:hAnsi="宋体" w:cs="宋体"/>
          <w:b/>
          <w:bCs/>
          <w:color w:val="auto"/>
          <w:sz w:val="21"/>
          <w:szCs w:val="21"/>
          <w:highlight w:val="none"/>
        </w:rPr>
        <w:t>若身份证遗失的，可提供临时身份证或居民户口簿</w:t>
      </w:r>
      <w:r>
        <w:rPr>
          <w:rFonts w:hint="eastAsia" w:ascii="宋体" w:hAnsi="宋体" w:cs="宋体"/>
          <w:b/>
          <w:color w:val="auto"/>
          <w:spacing w:val="2"/>
          <w:sz w:val="21"/>
          <w:szCs w:val="21"/>
          <w:highlight w:val="none"/>
        </w:rPr>
        <w:t>）</w:t>
      </w:r>
      <w:r>
        <w:rPr>
          <w:rFonts w:hint="eastAsia" w:ascii="宋体" w:hAnsi="宋体" w:cs="宋体"/>
          <w:color w:val="auto"/>
          <w:sz w:val="21"/>
          <w:szCs w:val="21"/>
          <w:highlight w:val="none"/>
        </w:rPr>
        <w:t>。</w:t>
      </w:r>
    </w:p>
    <w:p>
      <w:pPr>
        <w:snapToGri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2、代理人参加谈判时，需携带授权委托书和本人身份证原件</w:t>
      </w:r>
      <w:r>
        <w:rPr>
          <w:rFonts w:hint="eastAsia" w:ascii="宋体" w:hAnsi="宋体" w:cs="宋体"/>
          <w:b/>
          <w:color w:val="auto"/>
          <w:spacing w:val="2"/>
          <w:sz w:val="21"/>
          <w:szCs w:val="21"/>
          <w:highlight w:val="none"/>
        </w:rPr>
        <w:t>（</w:t>
      </w:r>
      <w:r>
        <w:rPr>
          <w:rFonts w:hint="eastAsia" w:ascii="宋体" w:hAnsi="宋体" w:cs="宋体"/>
          <w:b/>
          <w:bCs/>
          <w:color w:val="auto"/>
          <w:sz w:val="21"/>
          <w:szCs w:val="21"/>
          <w:highlight w:val="none"/>
        </w:rPr>
        <w:t>若身份证遗失的，可提供临时身份证或居民户口簿</w:t>
      </w:r>
      <w:r>
        <w:rPr>
          <w:rFonts w:hint="eastAsia" w:ascii="宋体" w:hAnsi="宋体" w:cs="宋体"/>
          <w:b/>
          <w:color w:val="auto"/>
          <w:spacing w:val="2"/>
          <w:sz w:val="21"/>
          <w:szCs w:val="21"/>
          <w:highlight w:val="none"/>
        </w:rPr>
        <w:t>）</w:t>
      </w:r>
      <w:r>
        <w:rPr>
          <w:rFonts w:hint="eastAsia" w:ascii="宋体" w:hAnsi="宋体" w:cs="宋体"/>
          <w:color w:val="auto"/>
          <w:sz w:val="21"/>
          <w:szCs w:val="21"/>
          <w:highlight w:val="none"/>
        </w:rPr>
        <w:t>。</w:t>
      </w:r>
      <w:bookmarkStart w:id="65" w:name="_Toc288738836"/>
      <w:bookmarkStart w:id="66" w:name="_Toc288738394"/>
    </w:p>
    <w:p>
      <w:pPr>
        <w:pStyle w:val="8"/>
        <w:ind w:firstLine="0" w:firstLineChars="0"/>
        <w:jc w:val="left"/>
        <w:rPr>
          <w:rFonts w:hint="eastAsia" w:ascii="宋体" w:hAnsi="宋体" w:cs="宋体"/>
          <w:b/>
          <w:color w:val="auto"/>
          <w:sz w:val="21"/>
          <w:szCs w:val="21"/>
          <w:highlight w:val="none"/>
        </w:rPr>
      </w:pPr>
      <w:r>
        <w:rPr>
          <w:rFonts w:hint="eastAsia" w:ascii="宋体" w:hAnsi="宋体" w:cs="宋体"/>
          <w:b/>
          <w:color w:val="auto"/>
          <w:sz w:val="21"/>
          <w:szCs w:val="21"/>
          <w:highlight w:val="none"/>
        </w:rPr>
        <w:br w:type="page"/>
      </w:r>
      <w:r>
        <w:rPr>
          <w:rFonts w:hint="eastAsia" w:ascii="宋体" w:hAnsi="宋体" w:cs="宋体"/>
          <w:b/>
          <w:color w:val="auto"/>
          <w:sz w:val="21"/>
          <w:szCs w:val="21"/>
          <w:highlight w:val="none"/>
        </w:rPr>
        <w:t>附件四：</w:t>
      </w:r>
    </w:p>
    <w:bookmarkEnd w:id="65"/>
    <w:bookmarkEnd w:id="66"/>
    <w:p>
      <w:pPr>
        <w:spacing w:line="400" w:lineRule="exact"/>
        <w:jc w:val="center"/>
        <w:rPr>
          <w:rFonts w:hint="eastAsia" w:ascii="宋体" w:hAnsi="宋体" w:cs="宋体"/>
          <w:b/>
          <w:color w:val="auto"/>
          <w:sz w:val="21"/>
          <w:szCs w:val="21"/>
          <w:highlight w:val="none"/>
        </w:rPr>
      </w:pPr>
      <w:bookmarkStart w:id="67" w:name="_Toc288738396"/>
      <w:bookmarkStart w:id="68" w:name="_Toc288738838"/>
      <w:r>
        <w:rPr>
          <w:rFonts w:hint="eastAsia" w:ascii="宋体" w:hAnsi="宋体" w:cs="宋体"/>
          <w:b/>
          <w:color w:val="auto"/>
          <w:sz w:val="21"/>
          <w:szCs w:val="21"/>
          <w:highlight w:val="none"/>
        </w:rPr>
        <w:t>具备履行合同所必需的设备和专业技术能力的书面声明</w:t>
      </w:r>
    </w:p>
    <w:p>
      <w:pPr>
        <w:spacing w:line="400" w:lineRule="exact"/>
        <w:rPr>
          <w:rFonts w:hint="eastAsia" w:ascii="宋体" w:hAnsi="宋体" w:cs="宋体"/>
          <w:color w:val="auto"/>
          <w:sz w:val="21"/>
          <w:szCs w:val="21"/>
          <w:highlight w:val="none"/>
        </w:rPr>
      </w:pPr>
    </w:p>
    <w:p>
      <w:pPr>
        <w:spacing w:line="40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我公司郑重声明：我公司具备履行本项采购合同所必需的设备和专业技术能力，为履行本项采购合同我公司具备如下主要设备和主要专业技术能力：</w:t>
      </w:r>
    </w:p>
    <w:p>
      <w:pPr>
        <w:spacing w:line="40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主要设备有：</w:t>
      </w:r>
    </w:p>
    <w:p>
      <w:pPr>
        <w:spacing w:line="40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主要专业技术能力有：</w:t>
      </w:r>
    </w:p>
    <w:p>
      <w:pPr>
        <w:snapToGrid w:val="0"/>
        <w:spacing w:line="400" w:lineRule="exact"/>
        <w:ind w:firstLine="420" w:firstLineChars="200"/>
        <w:rPr>
          <w:rFonts w:hint="eastAsia" w:ascii="宋体" w:hAnsi="宋体" w:cs="宋体"/>
          <w:color w:val="auto"/>
          <w:sz w:val="21"/>
          <w:szCs w:val="21"/>
          <w:highlight w:val="none"/>
        </w:rPr>
      </w:pPr>
    </w:p>
    <w:p>
      <w:pPr>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响应人（盖章）：</w:t>
      </w:r>
    </w:p>
    <w:p>
      <w:pPr>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法定代表人</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签字或盖章</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w:t>
      </w:r>
    </w:p>
    <w:p>
      <w:pPr>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日期：    年    月    日</w:t>
      </w:r>
    </w:p>
    <w:p>
      <w:pPr>
        <w:spacing w:line="400" w:lineRule="exact"/>
        <w:rPr>
          <w:rFonts w:hint="eastAsia" w:ascii="宋体" w:hAnsi="宋体" w:cs="宋体"/>
          <w:color w:val="auto"/>
          <w:sz w:val="21"/>
          <w:szCs w:val="21"/>
          <w:highlight w:val="none"/>
        </w:rPr>
      </w:pPr>
    </w:p>
    <w:p>
      <w:pPr>
        <w:spacing w:line="400" w:lineRule="exact"/>
        <w:rPr>
          <w:rFonts w:hint="eastAsia" w:ascii="宋体" w:hAnsi="宋体" w:cs="宋体"/>
          <w:color w:val="auto"/>
          <w:sz w:val="21"/>
          <w:szCs w:val="21"/>
          <w:highlight w:val="none"/>
        </w:rPr>
      </w:pPr>
    </w:p>
    <w:p>
      <w:pPr>
        <w:spacing w:line="360" w:lineRule="auto"/>
        <w:jc w:val="left"/>
        <w:rPr>
          <w:rFonts w:hint="eastAsia" w:ascii="宋体" w:hAnsi="宋体" w:cs="宋体"/>
          <w:b/>
          <w:color w:val="auto"/>
          <w:sz w:val="21"/>
          <w:szCs w:val="21"/>
          <w:highlight w:val="none"/>
        </w:rPr>
      </w:pPr>
      <w:r>
        <w:rPr>
          <w:rFonts w:hint="eastAsia" w:ascii="宋体" w:hAnsi="宋体" w:cs="宋体"/>
          <w:b/>
          <w:color w:val="auto"/>
          <w:sz w:val="21"/>
          <w:szCs w:val="21"/>
          <w:highlight w:val="none"/>
        </w:rPr>
        <w:br w:type="page"/>
      </w:r>
      <w:r>
        <w:rPr>
          <w:rFonts w:hint="eastAsia" w:ascii="宋体" w:hAnsi="宋体" w:cs="宋体"/>
          <w:b/>
          <w:color w:val="auto"/>
          <w:sz w:val="21"/>
          <w:szCs w:val="21"/>
          <w:highlight w:val="none"/>
        </w:rPr>
        <w:t>附件五：</w:t>
      </w:r>
    </w:p>
    <w:p>
      <w:pPr>
        <w:spacing w:line="360" w:lineRule="auto"/>
        <w:jc w:val="center"/>
        <w:rPr>
          <w:rFonts w:hint="eastAsia" w:ascii="宋体" w:hAnsi="宋体" w:cs="宋体"/>
          <w:color w:val="auto"/>
          <w:sz w:val="21"/>
          <w:szCs w:val="21"/>
          <w:highlight w:val="none"/>
        </w:rPr>
      </w:pPr>
      <w:r>
        <w:rPr>
          <w:rFonts w:hint="eastAsia" w:ascii="宋体" w:hAnsi="宋体" w:cs="宋体"/>
          <w:b/>
          <w:color w:val="auto"/>
          <w:sz w:val="21"/>
          <w:szCs w:val="21"/>
          <w:highlight w:val="none"/>
        </w:rPr>
        <w:t>报价一览表</w:t>
      </w:r>
      <w:r>
        <w:rPr>
          <w:rFonts w:hint="eastAsia" w:ascii="宋体" w:hAnsi="宋体" w:cs="宋体"/>
          <w:color w:val="auto"/>
          <w:sz w:val="21"/>
          <w:szCs w:val="21"/>
          <w:highlight w:val="none"/>
        </w:rPr>
        <w:t xml:space="preserve"> </w:t>
      </w:r>
    </w:p>
    <w:p>
      <w:pPr>
        <w:pStyle w:val="7"/>
        <w:rPr>
          <w:rFonts w:hint="eastAsia" w:ascii="宋体" w:hAnsi="宋体" w:cs="宋体"/>
          <w:color w:val="auto"/>
          <w:sz w:val="21"/>
          <w:szCs w:val="21"/>
          <w:highlight w:val="none"/>
        </w:rPr>
      </w:pP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940"/>
        <w:gridCol w:w="1701"/>
        <w:gridCol w:w="25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130" w:type="dxa"/>
            <w:noWrap w:val="0"/>
            <w:vAlign w:val="center"/>
          </w:tcPr>
          <w:p>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响应单位名称</w:t>
            </w:r>
          </w:p>
        </w:tc>
        <w:tc>
          <w:tcPr>
            <w:tcW w:w="7214" w:type="dxa"/>
            <w:gridSpan w:val="3"/>
            <w:noWrap w:val="0"/>
            <w:vAlign w:val="center"/>
          </w:tcPr>
          <w:p>
            <w:pPr>
              <w:spacing w:line="360" w:lineRule="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2130" w:type="dxa"/>
            <w:noWrap w:val="0"/>
            <w:vAlign w:val="center"/>
          </w:tcPr>
          <w:p>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项目名称</w:t>
            </w:r>
          </w:p>
        </w:tc>
        <w:tc>
          <w:tcPr>
            <w:tcW w:w="7214" w:type="dxa"/>
            <w:gridSpan w:val="3"/>
            <w:noWrap w:val="0"/>
            <w:vAlign w:val="center"/>
          </w:tcPr>
          <w:p>
            <w:pPr>
              <w:spacing w:line="360" w:lineRule="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2130" w:type="dxa"/>
            <w:vMerge w:val="restart"/>
            <w:noWrap w:val="0"/>
            <w:vAlign w:val="center"/>
          </w:tcPr>
          <w:p>
            <w:pPr>
              <w:spacing w:line="360" w:lineRule="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投标报价</w:t>
            </w:r>
          </w:p>
        </w:tc>
        <w:tc>
          <w:tcPr>
            <w:tcW w:w="7214" w:type="dxa"/>
            <w:gridSpan w:val="3"/>
            <w:noWrap w:val="0"/>
            <w:vAlign w:val="center"/>
          </w:tcPr>
          <w:p>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大写：</w:t>
            </w:r>
            <w:r>
              <w:rPr>
                <w:rFonts w:hint="eastAsia" w:ascii="宋体" w:hAnsi="宋体" w:cs="宋体"/>
                <w:color w:val="auto"/>
                <w:sz w:val="21"/>
                <w:szCs w:val="21"/>
                <w:highlight w:val="none"/>
                <w:u w:val="none"/>
              </w:rPr>
              <w:t>人民币</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none"/>
                <w:lang w:val="en-US" w:eastAsia="zh-CN"/>
              </w:rPr>
              <w:t xml:space="preserve"> 元</w:t>
            </w:r>
            <w:r>
              <w:rPr>
                <w:rFonts w:hint="eastAsia" w:ascii="宋体" w:hAnsi="宋体" w:cs="宋体"/>
                <w:color w:val="auto"/>
                <w:sz w:val="21"/>
                <w:szCs w:val="21"/>
                <w:highlight w:val="none"/>
                <w:u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2130" w:type="dxa"/>
            <w:vMerge w:val="continue"/>
            <w:noWrap w:val="0"/>
            <w:vAlign w:val="center"/>
          </w:tcPr>
          <w:p>
            <w:pPr>
              <w:spacing w:line="360" w:lineRule="auto"/>
              <w:rPr>
                <w:rFonts w:hint="eastAsia" w:ascii="宋体" w:hAnsi="宋体" w:cs="宋体"/>
                <w:color w:val="auto"/>
                <w:sz w:val="21"/>
                <w:szCs w:val="21"/>
                <w:highlight w:val="none"/>
              </w:rPr>
            </w:pPr>
          </w:p>
        </w:tc>
        <w:tc>
          <w:tcPr>
            <w:tcW w:w="7214" w:type="dxa"/>
            <w:gridSpan w:val="3"/>
            <w:noWrap w:val="0"/>
            <w:vAlign w:val="center"/>
          </w:tcPr>
          <w:p>
            <w:pPr>
              <w:spacing w:line="360" w:lineRule="auto"/>
              <w:rPr>
                <w:rFonts w:hint="eastAsia" w:ascii="宋体" w:hAnsi="宋体" w:cs="宋体"/>
                <w:color w:val="auto"/>
                <w:sz w:val="21"/>
                <w:szCs w:val="21"/>
                <w:highlight w:val="none"/>
                <w:u w:val="single"/>
              </w:rPr>
            </w:pPr>
            <w:r>
              <w:rPr>
                <w:rFonts w:hint="eastAsia" w:ascii="宋体" w:hAnsi="宋体" w:cs="宋体"/>
                <w:color w:val="auto"/>
                <w:sz w:val="21"/>
                <w:szCs w:val="21"/>
                <w:highlight w:val="none"/>
                <w:u w:val="none"/>
                <w:lang w:val="en-US" w:eastAsia="zh-CN"/>
              </w:rPr>
              <w:t>小写：</w:t>
            </w:r>
            <w:r>
              <w:rPr>
                <w:rFonts w:hint="eastAsia" w:ascii="宋体" w:hAnsi="宋体" w:cs="宋体"/>
                <w:color w:val="auto"/>
                <w:sz w:val="21"/>
                <w:szCs w:val="21"/>
                <w:highlight w:val="none"/>
                <w:u w:val="none"/>
              </w:rPr>
              <w:t>人民币</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none"/>
                <w:lang w:val="en-US" w:eastAsia="zh-CN"/>
              </w:rPr>
              <w:t xml:space="preserve"> 元</w:t>
            </w:r>
            <w:r>
              <w:rPr>
                <w:rFonts w:hint="eastAsia" w:ascii="宋体" w:hAnsi="宋体" w:cs="宋体"/>
                <w:color w:val="auto"/>
                <w:sz w:val="21"/>
                <w:szCs w:val="21"/>
                <w:highlight w:val="none"/>
                <w:u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2130" w:type="dxa"/>
            <w:noWrap w:val="0"/>
            <w:vAlign w:val="center"/>
          </w:tcPr>
          <w:p>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合同有效期</w:t>
            </w:r>
          </w:p>
        </w:tc>
        <w:tc>
          <w:tcPr>
            <w:tcW w:w="7214" w:type="dxa"/>
            <w:gridSpan w:val="3"/>
            <w:noWrap w:val="0"/>
            <w:vAlign w:val="center"/>
          </w:tcPr>
          <w:p>
            <w:pPr>
              <w:spacing w:line="360" w:lineRule="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2130" w:type="dxa"/>
            <w:noWrap w:val="0"/>
            <w:vAlign w:val="center"/>
          </w:tcPr>
          <w:p>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质量等级</w:t>
            </w:r>
          </w:p>
        </w:tc>
        <w:tc>
          <w:tcPr>
            <w:tcW w:w="2940" w:type="dxa"/>
            <w:noWrap w:val="0"/>
            <w:vAlign w:val="center"/>
          </w:tcPr>
          <w:p>
            <w:pPr>
              <w:spacing w:line="360" w:lineRule="auto"/>
              <w:rPr>
                <w:rFonts w:hint="eastAsia" w:ascii="宋体" w:hAnsi="宋体" w:cs="宋体"/>
                <w:color w:val="auto"/>
                <w:sz w:val="21"/>
                <w:szCs w:val="21"/>
                <w:highlight w:val="none"/>
              </w:rPr>
            </w:pPr>
          </w:p>
        </w:tc>
        <w:tc>
          <w:tcPr>
            <w:tcW w:w="1701" w:type="dxa"/>
            <w:noWrap w:val="0"/>
            <w:vAlign w:val="center"/>
          </w:tcPr>
          <w:p>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项目负责人</w:t>
            </w:r>
          </w:p>
        </w:tc>
        <w:tc>
          <w:tcPr>
            <w:tcW w:w="2573" w:type="dxa"/>
            <w:noWrap w:val="0"/>
            <w:vAlign w:val="center"/>
          </w:tcPr>
          <w:p>
            <w:pPr>
              <w:spacing w:line="360" w:lineRule="auto"/>
              <w:rPr>
                <w:rFonts w:hint="eastAsia" w:ascii="宋体" w:hAnsi="宋体" w:cs="宋体"/>
                <w:color w:val="auto"/>
                <w:sz w:val="21"/>
                <w:szCs w:val="21"/>
                <w:highlight w:val="none"/>
              </w:rPr>
            </w:pPr>
          </w:p>
        </w:tc>
      </w:tr>
    </w:tbl>
    <w:p>
      <w:pPr>
        <w:snapToGrid w:val="0"/>
        <w:spacing w:line="400" w:lineRule="exact"/>
        <w:ind w:firstLine="422" w:firstLineChars="200"/>
        <w:rPr>
          <w:rFonts w:hint="eastAsia" w:ascii="宋体" w:hAnsi="宋体" w:cs="宋体"/>
          <w:b/>
          <w:color w:val="auto"/>
          <w:sz w:val="21"/>
          <w:szCs w:val="21"/>
          <w:highlight w:val="none"/>
        </w:rPr>
      </w:pPr>
    </w:p>
    <w:p>
      <w:pPr>
        <w:snapToGrid w:val="0"/>
        <w:spacing w:line="360" w:lineRule="auto"/>
        <w:rPr>
          <w:rFonts w:hint="eastAsia" w:ascii="宋体" w:hAnsi="宋体" w:cs="宋体"/>
          <w:color w:val="auto"/>
          <w:sz w:val="21"/>
          <w:szCs w:val="21"/>
          <w:highlight w:val="none"/>
        </w:rPr>
      </w:pPr>
    </w:p>
    <w:p>
      <w:pPr>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响应人（盖章）：</w:t>
      </w:r>
    </w:p>
    <w:p>
      <w:pPr>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法定代表人</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签字或盖章</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w:t>
      </w:r>
    </w:p>
    <w:p>
      <w:pPr>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日期：    年    月    日</w:t>
      </w:r>
    </w:p>
    <w:p>
      <w:pPr>
        <w:pStyle w:val="8"/>
        <w:rPr>
          <w:rFonts w:hint="eastAsia" w:ascii="宋体" w:hAnsi="宋体" w:cs="宋体"/>
          <w:color w:val="auto"/>
          <w:sz w:val="21"/>
          <w:szCs w:val="21"/>
          <w:highlight w:val="none"/>
        </w:rPr>
      </w:pPr>
    </w:p>
    <w:p>
      <w:pPr>
        <w:pStyle w:val="8"/>
        <w:rPr>
          <w:rFonts w:hint="eastAsia" w:ascii="宋体" w:hAnsi="宋体" w:cs="宋体"/>
          <w:color w:val="auto"/>
          <w:sz w:val="21"/>
          <w:szCs w:val="21"/>
          <w:highlight w:val="none"/>
        </w:rPr>
      </w:pPr>
    </w:p>
    <w:p>
      <w:pPr>
        <w:snapToGrid w:val="0"/>
        <w:spacing w:line="400" w:lineRule="exact"/>
        <w:rPr>
          <w:rFonts w:ascii="宋体" w:hAnsi="宋体" w:cs="宋体"/>
          <w:bCs/>
          <w:color w:val="auto"/>
          <w:sz w:val="21"/>
          <w:szCs w:val="21"/>
          <w:highlight w:val="none"/>
        </w:rPr>
      </w:pPr>
    </w:p>
    <w:p>
      <w:pPr>
        <w:snapToGrid w:val="0"/>
        <w:spacing w:line="400" w:lineRule="exact"/>
        <w:rPr>
          <w:rFonts w:ascii="宋体" w:hAnsi="宋体" w:cs="宋体"/>
          <w:bCs/>
          <w:color w:val="auto"/>
          <w:sz w:val="21"/>
          <w:szCs w:val="21"/>
          <w:highlight w:val="none"/>
        </w:rPr>
      </w:pPr>
      <w:r>
        <w:rPr>
          <w:rFonts w:hint="eastAsia" w:ascii="宋体" w:hAnsi="宋体" w:cs="宋体"/>
          <w:bCs/>
          <w:color w:val="auto"/>
          <w:sz w:val="21"/>
          <w:szCs w:val="21"/>
          <w:highlight w:val="none"/>
        </w:rPr>
        <w:t xml:space="preserve">声明：开标一览表中的“投标总报价”是投标服务的全部费用的报价。 </w:t>
      </w:r>
    </w:p>
    <w:p>
      <w:pPr>
        <w:pStyle w:val="23"/>
        <w:ind w:firstLine="422"/>
        <w:rPr>
          <w:rFonts w:hint="eastAsia" w:ascii="宋体" w:hAnsi="宋体" w:cs="宋体"/>
          <w:b/>
          <w:bCs/>
          <w:color w:val="auto"/>
          <w:sz w:val="21"/>
          <w:szCs w:val="21"/>
          <w:highlight w:val="none"/>
        </w:rPr>
      </w:pPr>
    </w:p>
    <w:p>
      <w:pPr>
        <w:pStyle w:val="23"/>
        <w:ind w:firstLine="422"/>
        <w:rPr>
          <w:rFonts w:hint="eastAsia" w:ascii="宋体" w:hAnsi="宋体" w:cs="宋体"/>
          <w:b/>
          <w:bCs/>
          <w:color w:val="auto"/>
          <w:sz w:val="21"/>
          <w:szCs w:val="21"/>
          <w:highlight w:val="none"/>
        </w:rPr>
      </w:pPr>
    </w:p>
    <w:p>
      <w:pPr>
        <w:pStyle w:val="23"/>
        <w:ind w:firstLine="422"/>
        <w:rPr>
          <w:rFonts w:hint="eastAsia" w:ascii="宋体" w:hAnsi="宋体" w:cs="宋体"/>
          <w:b/>
          <w:bCs/>
          <w:color w:val="auto"/>
          <w:sz w:val="21"/>
          <w:szCs w:val="21"/>
          <w:highlight w:val="none"/>
        </w:rPr>
      </w:pPr>
    </w:p>
    <w:p>
      <w:pPr>
        <w:pStyle w:val="23"/>
        <w:ind w:firstLine="422"/>
        <w:rPr>
          <w:rFonts w:hint="eastAsia" w:ascii="宋体" w:hAnsi="宋体" w:cs="宋体"/>
          <w:b/>
          <w:bCs/>
          <w:color w:val="auto"/>
          <w:sz w:val="21"/>
          <w:szCs w:val="21"/>
          <w:highlight w:val="none"/>
        </w:rPr>
      </w:pPr>
    </w:p>
    <w:p>
      <w:pPr>
        <w:pStyle w:val="23"/>
        <w:ind w:firstLine="422"/>
        <w:rPr>
          <w:rFonts w:hint="eastAsia" w:ascii="宋体" w:hAnsi="宋体" w:cs="宋体"/>
          <w:b/>
          <w:bCs/>
          <w:color w:val="auto"/>
          <w:sz w:val="21"/>
          <w:szCs w:val="21"/>
          <w:highlight w:val="none"/>
        </w:rPr>
      </w:pPr>
    </w:p>
    <w:p>
      <w:pPr>
        <w:pStyle w:val="23"/>
        <w:ind w:firstLine="422"/>
        <w:rPr>
          <w:rFonts w:hint="eastAsia" w:ascii="宋体" w:hAnsi="宋体" w:cs="宋体"/>
          <w:b/>
          <w:bCs/>
          <w:color w:val="auto"/>
          <w:sz w:val="21"/>
          <w:szCs w:val="21"/>
          <w:highlight w:val="none"/>
        </w:rPr>
      </w:pPr>
    </w:p>
    <w:p>
      <w:pPr>
        <w:pStyle w:val="23"/>
        <w:ind w:firstLine="422"/>
        <w:rPr>
          <w:rFonts w:hint="eastAsia" w:ascii="宋体" w:hAnsi="宋体" w:cs="宋体"/>
          <w:b/>
          <w:bCs/>
          <w:color w:val="auto"/>
          <w:sz w:val="21"/>
          <w:szCs w:val="21"/>
          <w:highlight w:val="none"/>
        </w:rPr>
      </w:pPr>
    </w:p>
    <w:p>
      <w:pPr>
        <w:pStyle w:val="23"/>
        <w:ind w:firstLine="422"/>
        <w:rPr>
          <w:rFonts w:hint="eastAsia" w:ascii="宋体" w:hAnsi="宋体" w:cs="宋体"/>
          <w:b/>
          <w:bCs/>
          <w:color w:val="auto"/>
          <w:sz w:val="21"/>
          <w:szCs w:val="21"/>
          <w:highlight w:val="none"/>
        </w:rPr>
      </w:pPr>
    </w:p>
    <w:p>
      <w:pPr>
        <w:pStyle w:val="23"/>
        <w:ind w:firstLine="422"/>
        <w:rPr>
          <w:rFonts w:hint="eastAsia" w:ascii="宋体" w:hAnsi="宋体" w:cs="宋体"/>
          <w:b/>
          <w:bCs/>
          <w:color w:val="auto"/>
          <w:sz w:val="21"/>
          <w:szCs w:val="21"/>
          <w:highlight w:val="none"/>
        </w:rPr>
      </w:pPr>
    </w:p>
    <w:p>
      <w:pPr>
        <w:pStyle w:val="23"/>
        <w:ind w:left="0" w:leftChars="0" w:firstLine="0" w:firstLineChars="0"/>
        <w:rPr>
          <w:rFonts w:hint="eastAsia" w:ascii="宋体" w:hAnsi="宋体" w:cs="宋体"/>
          <w:b/>
          <w:bCs/>
          <w:color w:val="auto"/>
          <w:sz w:val="21"/>
          <w:szCs w:val="21"/>
          <w:highlight w:val="none"/>
        </w:rPr>
      </w:pPr>
      <w:r>
        <w:rPr>
          <w:rFonts w:hint="eastAsia" w:ascii="宋体" w:hAnsi="宋体" w:cs="宋体"/>
          <w:b/>
          <w:bCs/>
          <w:color w:val="auto"/>
          <w:sz w:val="21"/>
          <w:szCs w:val="21"/>
          <w:highlight w:val="none"/>
        </w:rPr>
        <w:t xml:space="preserve">附件六：                          </w:t>
      </w:r>
    </w:p>
    <w:p>
      <w:pPr>
        <w:pStyle w:val="23"/>
        <w:ind w:left="0" w:leftChars="0" w:firstLine="0" w:firstLineChars="0"/>
        <w:jc w:val="center"/>
        <w:rPr>
          <w:rFonts w:hint="eastAsia" w:ascii="宋体" w:hAnsi="宋体" w:cs="宋体"/>
          <w:b/>
          <w:color w:val="auto"/>
          <w:sz w:val="21"/>
          <w:szCs w:val="21"/>
          <w:highlight w:val="none"/>
        </w:rPr>
      </w:pPr>
      <w:r>
        <w:rPr>
          <w:rFonts w:hint="eastAsia" w:ascii="宋体" w:hAnsi="宋体" w:cs="宋体"/>
          <w:b/>
          <w:color w:val="auto"/>
          <w:sz w:val="21"/>
          <w:szCs w:val="21"/>
          <w:highlight w:val="none"/>
        </w:rPr>
        <w:t>分项报价明细表</w:t>
      </w:r>
    </w:p>
    <w:p>
      <w:pPr>
        <w:jc w:val="center"/>
        <w:rPr>
          <w:rFonts w:hint="eastAsia" w:eastAsia="宋体"/>
          <w:color w:val="auto"/>
          <w:sz w:val="21"/>
          <w:szCs w:val="21"/>
          <w:highlight w:val="none"/>
          <w:lang w:val="en-US" w:eastAsia="zh-CN"/>
        </w:rPr>
      </w:pPr>
      <w:r>
        <w:rPr>
          <w:rFonts w:hint="eastAsia" w:ascii="宋体" w:hAnsi="宋体" w:cs="宋体"/>
          <w:b/>
          <w:color w:val="auto"/>
          <w:sz w:val="21"/>
          <w:szCs w:val="21"/>
          <w:highlight w:val="none"/>
          <w:lang w:val="en-US" w:eastAsia="zh-CN"/>
        </w:rPr>
        <w:t>附后</w:t>
      </w:r>
    </w:p>
    <w:p>
      <w:pPr>
        <w:pStyle w:val="23"/>
        <w:rPr>
          <w:rFonts w:hint="eastAsia" w:ascii="宋体" w:hAnsi="宋体" w:cs="宋体"/>
          <w:color w:val="auto"/>
          <w:sz w:val="21"/>
          <w:szCs w:val="21"/>
          <w:highlight w:val="none"/>
        </w:rPr>
      </w:pPr>
    </w:p>
    <w:p>
      <w:pPr>
        <w:spacing w:line="400" w:lineRule="exact"/>
        <w:rPr>
          <w:rFonts w:hint="eastAsia" w:ascii="宋体" w:hAnsi="宋体" w:cs="宋体"/>
          <w:color w:val="auto"/>
          <w:sz w:val="21"/>
          <w:szCs w:val="21"/>
          <w:highlight w:val="none"/>
        </w:rPr>
      </w:pPr>
    </w:p>
    <w:p>
      <w:pPr>
        <w:spacing w:line="400" w:lineRule="exact"/>
        <w:rPr>
          <w:rFonts w:hint="eastAsia" w:ascii="宋体" w:hAnsi="宋体" w:cs="宋体"/>
          <w:color w:val="auto"/>
          <w:sz w:val="21"/>
          <w:szCs w:val="21"/>
          <w:highlight w:val="none"/>
        </w:rPr>
      </w:pPr>
    </w:p>
    <w:p>
      <w:pPr>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响应人（盖章）：</w:t>
      </w:r>
    </w:p>
    <w:p>
      <w:pPr>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法定代表人</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签字或盖章</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w:t>
      </w:r>
    </w:p>
    <w:p>
      <w:pPr>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日期：    年    月    日</w:t>
      </w:r>
    </w:p>
    <w:p>
      <w:pPr>
        <w:pStyle w:val="23"/>
        <w:ind w:firstLine="0" w:firstLineChars="0"/>
        <w:rPr>
          <w:rFonts w:hint="eastAsia" w:ascii="宋体" w:hAnsi="宋体" w:cs="宋体"/>
          <w:b/>
          <w:bCs/>
          <w:color w:val="auto"/>
          <w:sz w:val="21"/>
          <w:szCs w:val="21"/>
          <w:highlight w:val="none"/>
        </w:rPr>
      </w:pPr>
    </w:p>
    <w:p>
      <w:pPr>
        <w:pStyle w:val="23"/>
        <w:ind w:firstLine="0" w:firstLineChars="0"/>
        <w:rPr>
          <w:rFonts w:hint="eastAsia" w:ascii="宋体" w:hAnsi="宋体" w:cs="宋体"/>
          <w:b/>
          <w:bCs/>
          <w:color w:val="auto"/>
          <w:sz w:val="21"/>
          <w:szCs w:val="21"/>
          <w:highlight w:val="none"/>
        </w:rPr>
      </w:pPr>
    </w:p>
    <w:p>
      <w:pPr>
        <w:pStyle w:val="23"/>
        <w:ind w:firstLine="0" w:firstLineChars="0"/>
        <w:rPr>
          <w:rFonts w:hint="eastAsia" w:ascii="宋体" w:hAnsi="宋体" w:cs="宋体"/>
          <w:b/>
          <w:bCs/>
          <w:color w:val="auto"/>
          <w:sz w:val="21"/>
          <w:szCs w:val="21"/>
          <w:highlight w:val="none"/>
        </w:rPr>
      </w:pPr>
    </w:p>
    <w:p>
      <w:pPr>
        <w:pStyle w:val="23"/>
        <w:ind w:firstLine="0" w:firstLineChars="0"/>
        <w:rPr>
          <w:rFonts w:hint="eastAsia" w:ascii="宋体" w:hAnsi="宋体" w:cs="宋体"/>
          <w:b/>
          <w:bCs/>
          <w:color w:val="auto"/>
          <w:sz w:val="21"/>
          <w:szCs w:val="21"/>
          <w:highlight w:val="none"/>
        </w:rPr>
      </w:pPr>
    </w:p>
    <w:p>
      <w:pPr>
        <w:pStyle w:val="23"/>
        <w:ind w:firstLine="0" w:firstLineChars="0"/>
        <w:rPr>
          <w:rFonts w:hint="eastAsia" w:ascii="宋体" w:hAnsi="宋体" w:cs="宋体"/>
          <w:b/>
          <w:bCs/>
          <w:color w:val="auto"/>
          <w:sz w:val="21"/>
          <w:szCs w:val="21"/>
          <w:highlight w:val="none"/>
        </w:rPr>
      </w:pPr>
    </w:p>
    <w:p>
      <w:pPr>
        <w:pStyle w:val="23"/>
        <w:ind w:firstLine="0" w:firstLineChars="0"/>
        <w:rPr>
          <w:rFonts w:hint="eastAsia" w:ascii="宋体" w:hAnsi="宋体" w:cs="宋体"/>
          <w:b/>
          <w:bCs/>
          <w:color w:val="auto"/>
          <w:sz w:val="21"/>
          <w:szCs w:val="21"/>
          <w:highlight w:val="none"/>
        </w:rPr>
      </w:pPr>
    </w:p>
    <w:p>
      <w:pPr>
        <w:pStyle w:val="23"/>
        <w:ind w:firstLine="0" w:firstLineChars="0"/>
        <w:rPr>
          <w:rFonts w:hint="eastAsia" w:ascii="宋体" w:hAnsi="宋体" w:cs="宋体"/>
          <w:b/>
          <w:bCs/>
          <w:color w:val="auto"/>
          <w:sz w:val="21"/>
          <w:szCs w:val="21"/>
          <w:highlight w:val="none"/>
        </w:rPr>
      </w:pPr>
    </w:p>
    <w:p>
      <w:pPr>
        <w:pStyle w:val="23"/>
        <w:ind w:left="0" w:leftChars="0" w:firstLine="0" w:firstLineChars="0"/>
        <w:rPr>
          <w:rFonts w:hint="eastAsia" w:ascii="宋体" w:hAnsi="宋体" w:cs="宋体"/>
          <w:b/>
          <w:bCs/>
          <w:color w:val="auto"/>
          <w:sz w:val="21"/>
          <w:szCs w:val="21"/>
          <w:highlight w:val="none"/>
        </w:rPr>
      </w:pPr>
      <w:r>
        <w:rPr>
          <w:rFonts w:hint="eastAsia" w:ascii="宋体" w:hAnsi="宋体" w:cs="宋体"/>
          <w:b/>
          <w:bCs/>
          <w:color w:val="auto"/>
          <w:sz w:val="21"/>
          <w:szCs w:val="21"/>
          <w:highlight w:val="none"/>
        </w:rPr>
        <w:br w:type="page"/>
      </w:r>
      <w:r>
        <w:rPr>
          <w:rFonts w:hint="eastAsia" w:ascii="宋体" w:hAnsi="宋体" w:cs="宋体"/>
          <w:b/>
          <w:bCs/>
          <w:color w:val="auto"/>
          <w:sz w:val="21"/>
          <w:szCs w:val="21"/>
          <w:highlight w:val="none"/>
        </w:rPr>
        <w:t xml:space="preserve">附件七：               </w:t>
      </w:r>
    </w:p>
    <w:p>
      <w:pPr>
        <w:snapToGrid w:val="0"/>
        <w:spacing w:line="400" w:lineRule="exact"/>
        <w:jc w:val="center"/>
        <w:rPr>
          <w:rFonts w:ascii="宋体" w:hAnsi="宋体" w:cs="宋体"/>
          <w:b/>
          <w:bCs/>
          <w:color w:val="auto"/>
          <w:sz w:val="21"/>
          <w:szCs w:val="21"/>
          <w:highlight w:val="none"/>
        </w:rPr>
      </w:pPr>
      <w:r>
        <w:rPr>
          <w:rFonts w:hint="eastAsia" w:ascii="宋体" w:hAnsi="宋体" w:cs="宋体"/>
          <w:b/>
          <w:bCs/>
          <w:color w:val="auto"/>
          <w:kern w:val="0"/>
          <w:sz w:val="21"/>
          <w:szCs w:val="21"/>
          <w:highlight w:val="none"/>
        </w:rPr>
        <w:t xml:space="preserve">  </w:t>
      </w:r>
      <w:r>
        <w:rPr>
          <w:rFonts w:hint="eastAsia" w:ascii="宋体" w:hAnsi="宋体" w:cs="宋体"/>
          <w:b/>
          <w:bCs/>
          <w:color w:val="auto"/>
          <w:sz w:val="21"/>
          <w:szCs w:val="21"/>
          <w:highlight w:val="none"/>
        </w:rPr>
        <w:t>响应偏离表</w:t>
      </w:r>
    </w:p>
    <w:tbl>
      <w:tblPr>
        <w:tblStyle w:val="24"/>
        <w:tblW w:w="9060" w:type="dxa"/>
        <w:jc w:val="center"/>
        <w:tblLayout w:type="fixed"/>
        <w:tblCellMar>
          <w:top w:w="0" w:type="dxa"/>
          <w:left w:w="108" w:type="dxa"/>
          <w:bottom w:w="0" w:type="dxa"/>
          <w:right w:w="108" w:type="dxa"/>
        </w:tblCellMar>
      </w:tblPr>
      <w:tblGrid>
        <w:gridCol w:w="2411"/>
        <w:gridCol w:w="2787"/>
        <w:gridCol w:w="2374"/>
        <w:gridCol w:w="1488"/>
      </w:tblGrid>
      <w:tr>
        <w:tblPrEx>
          <w:tblCellMar>
            <w:top w:w="0" w:type="dxa"/>
            <w:left w:w="108" w:type="dxa"/>
            <w:bottom w:w="0" w:type="dxa"/>
            <w:right w:w="108" w:type="dxa"/>
          </w:tblCellMar>
        </w:tblPrEx>
        <w:trPr>
          <w:trHeight w:val="573" w:hRule="atLeast"/>
          <w:jc w:val="center"/>
        </w:trPr>
        <w:tc>
          <w:tcPr>
            <w:tcW w:w="2411" w:type="dxa"/>
            <w:tcBorders>
              <w:top w:val="single" w:color="auto" w:sz="6" w:space="0"/>
              <w:left w:val="single" w:color="auto" w:sz="6" w:space="0"/>
              <w:bottom w:val="single" w:color="auto" w:sz="6" w:space="0"/>
              <w:right w:val="single" w:color="auto" w:sz="6" w:space="0"/>
            </w:tcBorders>
            <w:noWrap w:val="0"/>
            <w:vAlign w:val="center"/>
          </w:tcPr>
          <w:p>
            <w:pPr>
              <w:keepNext/>
              <w:autoSpaceDE w:val="0"/>
              <w:autoSpaceDN w:val="0"/>
              <w:adjustRightInd w:val="0"/>
              <w:snapToGrid w:val="0"/>
              <w:spacing w:line="400" w:lineRule="exact"/>
              <w:jc w:val="center"/>
              <w:rPr>
                <w:rFonts w:ascii="宋体" w:hAnsi="宋体" w:cs="宋体"/>
                <w:b w:val="0"/>
                <w:bCs w:val="0"/>
                <w:color w:val="auto"/>
                <w:sz w:val="21"/>
                <w:szCs w:val="21"/>
                <w:highlight w:val="none"/>
                <w:lang w:val="zh-CN"/>
              </w:rPr>
            </w:pPr>
            <w:r>
              <w:rPr>
                <w:rFonts w:hint="eastAsia" w:ascii="宋体" w:hAnsi="宋体" w:cs="宋体"/>
                <w:b w:val="0"/>
                <w:bCs w:val="0"/>
                <w:color w:val="auto"/>
                <w:sz w:val="21"/>
                <w:szCs w:val="21"/>
                <w:highlight w:val="none"/>
                <w:lang w:val="zh-CN"/>
              </w:rPr>
              <w:t>设备名称</w:t>
            </w:r>
          </w:p>
          <w:p>
            <w:pPr>
              <w:keepNext/>
              <w:autoSpaceDE w:val="0"/>
              <w:autoSpaceDN w:val="0"/>
              <w:adjustRightInd w:val="0"/>
              <w:snapToGrid w:val="0"/>
              <w:spacing w:line="400" w:lineRule="exact"/>
              <w:jc w:val="center"/>
              <w:rPr>
                <w:rFonts w:ascii="宋体" w:hAnsi="宋体" w:cs="宋体"/>
                <w:b w:val="0"/>
                <w:bCs w:val="0"/>
                <w:color w:val="auto"/>
                <w:sz w:val="21"/>
                <w:szCs w:val="21"/>
                <w:highlight w:val="none"/>
                <w:lang w:val="zh-CN"/>
              </w:rPr>
            </w:pPr>
            <w:r>
              <w:rPr>
                <w:rFonts w:hint="eastAsia" w:ascii="宋体" w:hAnsi="宋体" w:cs="宋体"/>
                <w:b w:val="0"/>
                <w:bCs w:val="0"/>
                <w:color w:val="auto"/>
                <w:sz w:val="21"/>
                <w:szCs w:val="21"/>
                <w:highlight w:val="none"/>
                <w:lang w:val="zh-CN"/>
              </w:rPr>
              <w:t>或者服务项目</w:t>
            </w:r>
          </w:p>
        </w:tc>
        <w:tc>
          <w:tcPr>
            <w:tcW w:w="2787" w:type="dxa"/>
            <w:tcBorders>
              <w:top w:val="single" w:color="auto" w:sz="6" w:space="0"/>
              <w:left w:val="single" w:color="auto" w:sz="6" w:space="0"/>
              <w:bottom w:val="single" w:color="auto" w:sz="6" w:space="0"/>
              <w:right w:val="single" w:color="auto" w:sz="6" w:space="0"/>
            </w:tcBorders>
            <w:noWrap w:val="0"/>
            <w:vAlign w:val="center"/>
          </w:tcPr>
          <w:p>
            <w:pPr>
              <w:keepNext/>
              <w:autoSpaceDE w:val="0"/>
              <w:autoSpaceDN w:val="0"/>
              <w:adjustRightInd w:val="0"/>
              <w:snapToGrid w:val="0"/>
              <w:spacing w:line="400" w:lineRule="exact"/>
              <w:jc w:val="center"/>
              <w:rPr>
                <w:rFonts w:ascii="宋体" w:hAnsi="宋体" w:cs="宋体"/>
                <w:b w:val="0"/>
                <w:bCs w:val="0"/>
                <w:color w:val="auto"/>
                <w:sz w:val="21"/>
                <w:szCs w:val="21"/>
                <w:highlight w:val="none"/>
                <w:lang w:val="zh-CN"/>
              </w:rPr>
            </w:pPr>
            <w:r>
              <w:rPr>
                <w:rFonts w:hint="eastAsia" w:ascii="宋体" w:hAnsi="宋体" w:cs="宋体"/>
                <w:b w:val="0"/>
                <w:bCs w:val="0"/>
                <w:color w:val="auto"/>
                <w:sz w:val="21"/>
                <w:szCs w:val="21"/>
                <w:highlight w:val="none"/>
                <w:lang w:val="zh-CN"/>
              </w:rPr>
              <w:t>采购文件要求的技术参数或者服务标准</w:t>
            </w:r>
          </w:p>
        </w:tc>
        <w:tc>
          <w:tcPr>
            <w:tcW w:w="2374" w:type="dxa"/>
            <w:tcBorders>
              <w:top w:val="single" w:color="auto" w:sz="6" w:space="0"/>
              <w:left w:val="single" w:color="auto" w:sz="6" w:space="0"/>
              <w:bottom w:val="single" w:color="auto" w:sz="6" w:space="0"/>
              <w:right w:val="single" w:color="auto" w:sz="6" w:space="0"/>
            </w:tcBorders>
            <w:noWrap w:val="0"/>
            <w:vAlign w:val="center"/>
          </w:tcPr>
          <w:p>
            <w:pPr>
              <w:keepNext/>
              <w:autoSpaceDE w:val="0"/>
              <w:autoSpaceDN w:val="0"/>
              <w:adjustRightInd w:val="0"/>
              <w:snapToGrid w:val="0"/>
              <w:spacing w:line="400" w:lineRule="exact"/>
              <w:jc w:val="center"/>
              <w:rPr>
                <w:rFonts w:ascii="宋体" w:hAnsi="宋体" w:cs="宋体"/>
                <w:b w:val="0"/>
                <w:bCs w:val="0"/>
                <w:color w:val="auto"/>
                <w:sz w:val="21"/>
                <w:szCs w:val="21"/>
                <w:highlight w:val="none"/>
                <w:lang w:val="zh-CN"/>
              </w:rPr>
            </w:pPr>
            <w:r>
              <w:rPr>
                <w:rFonts w:hint="eastAsia" w:ascii="宋体" w:hAnsi="宋体" w:cs="宋体"/>
                <w:b w:val="0"/>
                <w:bCs w:val="0"/>
                <w:color w:val="auto"/>
                <w:sz w:val="21"/>
                <w:szCs w:val="21"/>
                <w:highlight w:val="none"/>
                <w:lang w:val="zh-CN"/>
              </w:rPr>
              <w:t>响应文件的技术参数或者服务标准</w:t>
            </w:r>
          </w:p>
        </w:tc>
        <w:tc>
          <w:tcPr>
            <w:tcW w:w="1488" w:type="dxa"/>
            <w:tcBorders>
              <w:top w:val="single" w:color="auto" w:sz="6" w:space="0"/>
              <w:left w:val="single" w:color="auto" w:sz="6" w:space="0"/>
              <w:bottom w:val="single" w:color="auto" w:sz="6" w:space="0"/>
              <w:right w:val="single" w:color="auto" w:sz="6" w:space="0"/>
            </w:tcBorders>
            <w:noWrap w:val="0"/>
            <w:vAlign w:val="center"/>
          </w:tcPr>
          <w:p>
            <w:pPr>
              <w:keepNext/>
              <w:autoSpaceDE w:val="0"/>
              <w:autoSpaceDN w:val="0"/>
              <w:adjustRightInd w:val="0"/>
              <w:snapToGrid w:val="0"/>
              <w:spacing w:line="400" w:lineRule="exact"/>
              <w:jc w:val="center"/>
              <w:rPr>
                <w:rFonts w:ascii="宋体" w:hAnsi="宋体" w:cs="宋体"/>
                <w:b w:val="0"/>
                <w:bCs w:val="0"/>
                <w:color w:val="auto"/>
                <w:sz w:val="21"/>
                <w:szCs w:val="21"/>
                <w:highlight w:val="none"/>
                <w:lang w:val="zh-CN"/>
              </w:rPr>
            </w:pPr>
            <w:r>
              <w:rPr>
                <w:rFonts w:hint="eastAsia" w:ascii="宋体" w:hAnsi="宋体" w:cs="宋体"/>
                <w:b w:val="0"/>
                <w:bCs w:val="0"/>
                <w:color w:val="auto"/>
                <w:sz w:val="21"/>
                <w:szCs w:val="21"/>
                <w:highlight w:val="none"/>
                <w:lang w:val="zh-CN"/>
              </w:rPr>
              <w:t>偏离值</w:t>
            </w:r>
          </w:p>
        </w:tc>
      </w:tr>
      <w:tr>
        <w:tblPrEx>
          <w:tblCellMar>
            <w:top w:w="0" w:type="dxa"/>
            <w:left w:w="108" w:type="dxa"/>
            <w:bottom w:w="0" w:type="dxa"/>
            <w:right w:w="108" w:type="dxa"/>
          </w:tblCellMar>
        </w:tblPrEx>
        <w:trPr>
          <w:trHeight w:val="486" w:hRule="atLeast"/>
          <w:jc w:val="center"/>
        </w:trPr>
        <w:tc>
          <w:tcPr>
            <w:tcW w:w="241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ascii="宋体" w:hAnsi="宋体" w:cs="宋体"/>
                <w:b w:val="0"/>
                <w:bCs w:val="0"/>
                <w:color w:val="auto"/>
                <w:sz w:val="21"/>
                <w:szCs w:val="21"/>
                <w:highlight w:val="none"/>
                <w:lang w:val="zh-CN"/>
              </w:rPr>
            </w:pPr>
          </w:p>
        </w:tc>
        <w:tc>
          <w:tcPr>
            <w:tcW w:w="2787"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ascii="宋体" w:hAnsi="宋体" w:cs="宋体"/>
                <w:b w:val="0"/>
                <w:bCs w:val="0"/>
                <w:color w:val="auto"/>
                <w:sz w:val="21"/>
                <w:szCs w:val="21"/>
                <w:highlight w:val="none"/>
                <w:lang w:val="zh-CN"/>
              </w:rPr>
            </w:pPr>
          </w:p>
        </w:tc>
        <w:tc>
          <w:tcPr>
            <w:tcW w:w="237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ascii="宋体" w:hAnsi="宋体" w:cs="宋体"/>
                <w:b w:val="0"/>
                <w:bCs w:val="0"/>
                <w:color w:val="auto"/>
                <w:sz w:val="21"/>
                <w:szCs w:val="21"/>
                <w:highlight w:val="none"/>
                <w:lang w:val="zh-CN"/>
              </w:rPr>
            </w:pPr>
          </w:p>
        </w:tc>
        <w:tc>
          <w:tcPr>
            <w:tcW w:w="148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ascii="宋体" w:hAnsi="宋体" w:cs="宋体"/>
                <w:b w:val="0"/>
                <w:bCs w:val="0"/>
                <w:color w:val="auto"/>
                <w:sz w:val="21"/>
                <w:szCs w:val="21"/>
                <w:highlight w:val="none"/>
                <w:lang w:val="zh-CN"/>
              </w:rPr>
            </w:pPr>
          </w:p>
        </w:tc>
      </w:tr>
      <w:tr>
        <w:tblPrEx>
          <w:tblCellMar>
            <w:top w:w="0" w:type="dxa"/>
            <w:left w:w="108" w:type="dxa"/>
            <w:bottom w:w="0" w:type="dxa"/>
            <w:right w:w="108" w:type="dxa"/>
          </w:tblCellMar>
        </w:tblPrEx>
        <w:trPr>
          <w:trHeight w:val="460" w:hRule="atLeast"/>
          <w:jc w:val="center"/>
        </w:trPr>
        <w:tc>
          <w:tcPr>
            <w:tcW w:w="241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ascii="宋体" w:hAnsi="宋体" w:cs="宋体"/>
                <w:b w:val="0"/>
                <w:bCs w:val="0"/>
                <w:color w:val="auto"/>
                <w:sz w:val="21"/>
                <w:szCs w:val="21"/>
                <w:highlight w:val="none"/>
                <w:lang w:val="zh-CN"/>
              </w:rPr>
            </w:pPr>
          </w:p>
        </w:tc>
        <w:tc>
          <w:tcPr>
            <w:tcW w:w="2787"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ascii="宋体" w:hAnsi="宋体" w:cs="宋体"/>
                <w:b w:val="0"/>
                <w:bCs w:val="0"/>
                <w:color w:val="auto"/>
                <w:sz w:val="21"/>
                <w:szCs w:val="21"/>
                <w:highlight w:val="none"/>
                <w:lang w:val="zh-CN"/>
              </w:rPr>
            </w:pPr>
          </w:p>
        </w:tc>
        <w:tc>
          <w:tcPr>
            <w:tcW w:w="237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ascii="宋体" w:hAnsi="宋体" w:cs="宋体"/>
                <w:b w:val="0"/>
                <w:bCs w:val="0"/>
                <w:color w:val="auto"/>
                <w:sz w:val="21"/>
                <w:szCs w:val="21"/>
                <w:highlight w:val="none"/>
                <w:lang w:val="zh-CN"/>
              </w:rPr>
            </w:pPr>
          </w:p>
        </w:tc>
        <w:tc>
          <w:tcPr>
            <w:tcW w:w="148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ascii="宋体" w:hAnsi="宋体" w:cs="宋体"/>
                <w:b w:val="0"/>
                <w:bCs w:val="0"/>
                <w:color w:val="auto"/>
                <w:sz w:val="21"/>
                <w:szCs w:val="21"/>
                <w:highlight w:val="none"/>
                <w:lang w:val="zh-CN"/>
              </w:rPr>
            </w:pPr>
          </w:p>
        </w:tc>
      </w:tr>
      <w:tr>
        <w:tblPrEx>
          <w:tblCellMar>
            <w:top w:w="0" w:type="dxa"/>
            <w:left w:w="108" w:type="dxa"/>
            <w:bottom w:w="0" w:type="dxa"/>
            <w:right w:w="108" w:type="dxa"/>
          </w:tblCellMar>
        </w:tblPrEx>
        <w:trPr>
          <w:trHeight w:val="435" w:hRule="atLeast"/>
          <w:jc w:val="center"/>
        </w:trPr>
        <w:tc>
          <w:tcPr>
            <w:tcW w:w="241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ascii="宋体" w:hAnsi="宋体" w:cs="宋体"/>
                <w:b w:val="0"/>
                <w:bCs w:val="0"/>
                <w:color w:val="auto"/>
                <w:sz w:val="21"/>
                <w:szCs w:val="21"/>
                <w:highlight w:val="none"/>
                <w:lang w:val="zh-CN"/>
              </w:rPr>
            </w:pPr>
          </w:p>
        </w:tc>
        <w:tc>
          <w:tcPr>
            <w:tcW w:w="2787"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ascii="宋体" w:hAnsi="宋体" w:cs="宋体"/>
                <w:b w:val="0"/>
                <w:bCs w:val="0"/>
                <w:color w:val="auto"/>
                <w:sz w:val="21"/>
                <w:szCs w:val="21"/>
                <w:highlight w:val="none"/>
                <w:lang w:val="zh-CN"/>
              </w:rPr>
            </w:pPr>
          </w:p>
        </w:tc>
        <w:tc>
          <w:tcPr>
            <w:tcW w:w="237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ascii="宋体" w:hAnsi="宋体" w:cs="宋体"/>
                <w:b w:val="0"/>
                <w:bCs w:val="0"/>
                <w:color w:val="auto"/>
                <w:sz w:val="21"/>
                <w:szCs w:val="21"/>
                <w:highlight w:val="none"/>
                <w:lang w:val="zh-CN"/>
              </w:rPr>
            </w:pPr>
          </w:p>
        </w:tc>
        <w:tc>
          <w:tcPr>
            <w:tcW w:w="148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ascii="宋体" w:hAnsi="宋体" w:cs="宋体"/>
                <w:b w:val="0"/>
                <w:bCs w:val="0"/>
                <w:color w:val="auto"/>
                <w:sz w:val="21"/>
                <w:szCs w:val="21"/>
                <w:highlight w:val="none"/>
                <w:lang w:val="zh-CN"/>
              </w:rPr>
            </w:pPr>
          </w:p>
        </w:tc>
      </w:tr>
      <w:tr>
        <w:tblPrEx>
          <w:tblCellMar>
            <w:top w:w="0" w:type="dxa"/>
            <w:left w:w="108" w:type="dxa"/>
            <w:bottom w:w="0" w:type="dxa"/>
            <w:right w:w="108" w:type="dxa"/>
          </w:tblCellMar>
        </w:tblPrEx>
        <w:trPr>
          <w:trHeight w:val="460" w:hRule="atLeast"/>
          <w:jc w:val="center"/>
        </w:trPr>
        <w:tc>
          <w:tcPr>
            <w:tcW w:w="241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ascii="宋体" w:hAnsi="宋体" w:cs="宋体"/>
                <w:b w:val="0"/>
                <w:bCs w:val="0"/>
                <w:color w:val="auto"/>
                <w:sz w:val="21"/>
                <w:szCs w:val="21"/>
                <w:highlight w:val="none"/>
                <w:lang w:val="zh-CN"/>
              </w:rPr>
            </w:pPr>
          </w:p>
        </w:tc>
        <w:tc>
          <w:tcPr>
            <w:tcW w:w="2787"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ascii="宋体" w:hAnsi="宋体" w:cs="宋体"/>
                <w:b w:val="0"/>
                <w:bCs w:val="0"/>
                <w:color w:val="auto"/>
                <w:sz w:val="21"/>
                <w:szCs w:val="21"/>
                <w:highlight w:val="none"/>
                <w:lang w:val="zh-CN"/>
              </w:rPr>
            </w:pPr>
          </w:p>
        </w:tc>
        <w:tc>
          <w:tcPr>
            <w:tcW w:w="237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ascii="宋体" w:hAnsi="宋体" w:cs="宋体"/>
                <w:b w:val="0"/>
                <w:bCs w:val="0"/>
                <w:color w:val="auto"/>
                <w:sz w:val="21"/>
                <w:szCs w:val="21"/>
                <w:highlight w:val="none"/>
                <w:lang w:val="zh-CN"/>
              </w:rPr>
            </w:pPr>
          </w:p>
        </w:tc>
        <w:tc>
          <w:tcPr>
            <w:tcW w:w="148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ascii="宋体" w:hAnsi="宋体" w:cs="宋体"/>
                <w:b w:val="0"/>
                <w:bCs w:val="0"/>
                <w:color w:val="auto"/>
                <w:sz w:val="21"/>
                <w:szCs w:val="21"/>
                <w:highlight w:val="none"/>
                <w:lang w:val="zh-CN"/>
              </w:rPr>
            </w:pPr>
          </w:p>
        </w:tc>
      </w:tr>
      <w:tr>
        <w:tblPrEx>
          <w:tblCellMar>
            <w:top w:w="0" w:type="dxa"/>
            <w:left w:w="108" w:type="dxa"/>
            <w:bottom w:w="0" w:type="dxa"/>
            <w:right w:w="108" w:type="dxa"/>
          </w:tblCellMar>
        </w:tblPrEx>
        <w:trPr>
          <w:trHeight w:val="452" w:hRule="atLeast"/>
          <w:jc w:val="center"/>
        </w:trPr>
        <w:tc>
          <w:tcPr>
            <w:tcW w:w="241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ascii="宋体" w:hAnsi="宋体" w:cs="宋体"/>
                <w:b w:val="0"/>
                <w:bCs w:val="0"/>
                <w:color w:val="auto"/>
                <w:sz w:val="21"/>
                <w:szCs w:val="21"/>
                <w:highlight w:val="none"/>
                <w:lang w:val="zh-CN"/>
              </w:rPr>
            </w:pPr>
          </w:p>
        </w:tc>
        <w:tc>
          <w:tcPr>
            <w:tcW w:w="2787"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ascii="宋体" w:hAnsi="宋体" w:cs="宋体"/>
                <w:b w:val="0"/>
                <w:bCs w:val="0"/>
                <w:color w:val="auto"/>
                <w:sz w:val="21"/>
                <w:szCs w:val="21"/>
                <w:highlight w:val="none"/>
                <w:lang w:val="zh-CN"/>
              </w:rPr>
            </w:pPr>
          </w:p>
        </w:tc>
        <w:tc>
          <w:tcPr>
            <w:tcW w:w="237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ascii="宋体" w:hAnsi="宋体" w:cs="宋体"/>
                <w:b w:val="0"/>
                <w:bCs w:val="0"/>
                <w:color w:val="auto"/>
                <w:sz w:val="21"/>
                <w:szCs w:val="21"/>
                <w:highlight w:val="none"/>
                <w:lang w:val="zh-CN"/>
              </w:rPr>
            </w:pPr>
          </w:p>
        </w:tc>
        <w:tc>
          <w:tcPr>
            <w:tcW w:w="148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ascii="宋体" w:hAnsi="宋体" w:cs="宋体"/>
                <w:b w:val="0"/>
                <w:bCs w:val="0"/>
                <w:color w:val="auto"/>
                <w:sz w:val="21"/>
                <w:szCs w:val="21"/>
                <w:highlight w:val="none"/>
                <w:lang w:val="zh-CN"/>
              </w:rPr>
            </w:pPr>
          </w:p>
        </w:tc>
      </w:tr>
      <w:tr>
        <w:tblPrEx>
          <w:tblCellMar>
            <w:top w:w="0" w:type="dxa"/>
            <w:left w:w="108" w:type="dxa"/>
            <w:bottom w:w="0" w:type="dxa"/>
            <w:right w:w="108" w:type="dxa"/>
          </w:tblCellMar>
        </w:tblPrEx>
        <w:trPr>
          <w:trHeight w:val="457" w:hRule="atLeast"/>
          <w:jc w:val="center"/>
        </w:trPr>
        <w:tc>
          <w:tcPr>
            <w:tcW w:w="241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ascii="宋体" w:hAnsi="宋体" w:cs="宋体"/>
                <w:b w:val="0"/>
                <w:bCs w:val="0"/>
                <w:color w:val="auto"/>
                <w:sz w:val="21"/>
                <w:szCs w:val="21"/>
                <w:highlight w:val="none"/>
                <w:lang w:val="zh-CN"/>
              </w:rPr>
            </w:pPr>
          </w:p>
        </w:tc>
        <w:tc>
          <w:tcPr>
            <w:tcW w:w="2787"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ascii="宋体" w:hAnsi="宋体" w:cs="宋体"/>
                <w:b w:val="0"/>
                <w:bCs w:val="0"/>
                <w:color w:val="auto"/>
                <w:sz w:val="21"/>
                <w:szCs w:val="21"/>
                <w:highlight w:val="none"/>
                <w:lang w:val="zh-CN"/>
              </w:rPr>
            </w:pPr>
          </w:p>
        </w:tc>
        <w:tc>
          <w:tcPr>
            <w:tcW w:w="237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ascii="宋体" w:hAnsi="宋体" w:cs="宋体"/>
                <w:b w:val="0"/>
                <w:bCs w:val="0"/>
                <w:color w:val="auto"/>
                <w:sz w:val="21"/>
                <w:szCs w:val="21"/>
                <w:highlight w:val="none"/>
                <w:lang w:val="zh-CN"/>
              </w:rPr>
            </w:pPr>
          </w:p>
        </w:tc>
        <w:tc>
          <w:tcPr>
            <w:tcW w:w="148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ascii="宋体" w:hAnsi="宋体" w:cs="宋体"/>
                <w:b w:val="0"/>
                <w:bCs w:val="0"/>
                <w:color w:val="auto"/>
                <w:sz w:val="21"/>
                <w:szCs w:val="21"/>
                <w:highlight w:val="none"/>
                <w:lang w:val="zh-CN"/>
              </w:rPr>
            </w:pPr>
          </w:p>
        </w:tc>
      </w:tr>
      <w:tr>
        <w:tblPrEx>
          <w:tblCellMar>
            <w:top w:w="0" w:type="dxa"/>
            <w:left w:w="108" w:type="dxa"/>
            <w:bottom w:w="0" w:type="dxa"/>
            <w:right w:w="108" w:type="dxa"/>
          </w:tblCellMar>
        </w:tblPrEx>
        <w:trPr>
          <w:trHeight w:val="449" w:hRule="atLeast"/>
          <w:jc w:val="center"/>
        </w:trPr>
        <w:tc>
          <w:tcPr>
            <w:tcW w:w="241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ascii="宋体" w:hAnsi="宋体" w:cs="宋体"/>
                <w:b w:val="0"/>
                <w:bCs w:val="0"/>
                <w:color w:val="auto"/>
                <w:sz w:val="21"/>
                <w:szCs w:val="21"/>
                <w:highlight w:val="none"/>
                <w:lang w:val="zh-CN"/>
              </w:rPr>
            </w:pPr>
          </w:p>
        </w:tc>
        <w:tc>
          <w:tcPr>
            <w:tcW w:w="2787"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ascii="宋体" w:hAnsi="宋体" w:cs="宋体"/>
                <w:b w:val="0"/>
                <w:bCs w:val="0"/>
                <w:color w:val="auto"/>
                <w:sz w:val="21"/>
                <w:szCs w:val="21"/>
                <w:highlight w:val="none"/>
                <w:lang w:val="zh-CN"/>
              </w:rPr>
            </w:pPr>
          </w:p>
        </w:tc>
        <w:tc>
          <w:tcPr>
            <w:tcW w:w="237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ascii="宋体" w:hAnsi="宋体" w:cs="宋体"/>
                <w:b w:val="0"/>
                <w:bCs w:val="0"/>
                <w:color w:val="auto"/>
                <w:sz w:val="21"/>
                <w:szCs w:val="21"/>
                <w:highlight w:val="none"/>
                <w:lang w:val="zh-CN"/>
              </w:rPr>
            </w:pPr>
          </w:p>
        </w:tc>
        <w:tc>
          <w:tcPr>
            <w:tcW w:w="148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ascii="宋体" w:hAnsi="宋体" w:cs="宋体"/>
                <w:b w:val="0"/>
                <w:bCs w:val="0"/>
                <w:color w:val="auto"/>
                <w:sz w:val="21"/>
                <w:szCs w:val="21"/>
                <w:highlight w:val="none"/>
                <w:lang w:val="zh-CN"/>
              </w:rPr>
            </w:pPr>
          </w:p>
        </w:tc>
      </w:tr>
      <w:tr>
        <w:tblPrEx>
          <w:tblCellMar>
            <w:top w:w="0" w:type="dxa"/>
            <w:left w:w="108" w:type="dxa"/>
            <w:bottom w:w="0" w:type="dxa"/>
            <w:right w:w="108" w:type="dxa"/>
          </w:tblCellMar>
        </w:tblPrEx>
        <w:trPr>
          <w:trHeight w:val="456" w:hRule="atLeast"/>
          <w:jc w:val="center"/>
        </w:trPr>
        <w:tc>
          <w:tcPr>
            <w:tcW w:w="241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ascii="宋体" w:hAnsi="宋体" w:cs="宋体"/>
                <w:b w:val="0"/>
                <w:bCs w:val="0"/>
                <w:color w:val="auto"/>
                <w:sz w:val="21"/>
                <w:szCs w:val="21"/>
                <w:highlight w:val="none"/>
                <w:lang w:val="zh-CN"/>
              </w:rPr>
            </w:pPr>
          </w:p>
        </w:tc>
        <w:tc>
          <w:tcPr>
            <w:tcW w:w="2787"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ascii="宋体" w:hAnsi="宋体" w:cs="宋体"/>
                <w:b w:val="0"/>
                <w:bCs w:val="0"/>
                <w:color w:val="auto"/>
                <w:sz w:val="21"/>
                <w:szCs w:val="21"/>
                <w:highlight w:val="none"/>
                <w:lang w:val="zh-CN"/>
              </w:rPr>
            </w:pPr>
          </w:p>
        </w:tc>
        <w:tc>
          <w:tcPr>
            <w:tcW w:w="237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ascii="宋体" w:hAnsi="宋体" w:cs="宋体"/>
                <w:b w:val="0"/>
                <w:bCs w:val="0"/>
                <w:color w:val="auto"/>
                <w:sz w:val="21"/>
                <w:szCs w:val="21"/>
                <w:highlight w:val="none"/>
                <w:lang w:val="zh-CN"/>
              </w:rPr>
            </w:pPr>
          </w:p>
        </w:tc>
        <w:tc>
          <w:tcPr>
            <w:tcW w:w="148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ascii="宋体" w:hAnsi="宋体" w:cs="宋体"/>
                <w:b w:val="0"/>
                <w:bCs w:val="0"/>
                <w:color w:val="auto"/>
                <w:sz w:val="21"/>
                <w:szCs w:val="21"/>
                <w:highlight w:val="none"/>
                <w:lang w:val="zh-CN"/>
              </w:rPr>
            </w:pPr>
          </w:p>
        </w:tc>
      </w:tr>
      <w:tr>
        <w:tblPrEx>
          <w:tblCellMar>
            <w:top w:w="0" w:type="dxa"/>
            <w:left w:w="108" w:type="dxa"/>
            <w:bottom w:w="0" w:type="dxa"/>
            <w:right w:w="108" w:type="dxa"/>
          </w:tblCellMar>
        </w:tblPrEx>
        <w:trPr>
          <w:trHeight w:val="292" w:hRule="atLeast"/>
          <w:jc w:val="center"/>
        </w:trPr>
        <w:tc>
          <w:tcPr>
            <w:tcW w:w="241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ascii="宋体" w:hAnsi="宋体" w:cs="宋体"/>
                <w:b w:val="0"/>
                <w:bCs w:val="0"/>
                <w:color w:val="auto"/>
                <w:sz w:val="21"/>
                <w:szCs w:val="21"/>
                <w:highlight w:val="none"/>
                <w:lang w:val="zh-CN"/>
              </w:rPr>
            </w:pPr>
          </w:p>
        </w:tc>
        <w:tc>
          <w:tcPr>
            <w:tcW w:w="2787"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ascii="宋体" w:hAnsi="宋体" w:cs="宋体"/>
                <w:b w:val="0"/>
                <w:bCs w:val="0"/>
                <w:color w:val="auto"/>
                <w:sz w:val="21"/>
                <w:szCs w:val="21"/>
                <w:highlight w:val="none"/>
                <w:lang w:val="zh-CN"/>
              </w:rPr>
            </w:pPr>
          </w:p>
        </w:tc>
        <w:tc>
          <w:tcPr>
            <w:tcW w:w="237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ascii="宋体" w:hAnsi="宋体" w:cs="宋体"/>
                <w:b w:val="0"/>
                <w:bCs w:val="0"/>
                <w:color w:val="auto"/>
                <w:sz w:val="21"/>
                <w:szCs w:val="21"/>
                <w:highlight w:val="none"/>
                <w:lang w:val="zh-CN"/>
              </w:rPr>
            </w:pPr>
          </w:p>
        </w:tc>
        <w:tc>
          <w:tcPr>
            <w:tcW w:w="148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ascii="宋体" w:hAnsi="宋体" w:cs="宋体"/>
                <w:b w:val="0"/>
                <w:bCs w:val="0"/>
                <w:color w:val="auto"/>
                <w:sz w:val="21"/>
                <w:szCs w:val="21"/>
                <w:highlight w:val="none"/>
                <w:lang w:val="zh-CN"/>
              </w:rPr>
            </w:pPr>
          </w:p>
        </w:tc>
      </w:tr>
    </w:tbl>
    <w:p>
      <w:pPr>
        <w:widowControl/>
        <w:snapToGrid w:val="0"/>
        <w:spacing w:line="400" w:lineRule="exact"/>
        <w:rPr>
          <w:rFonts w:ascii="宋体" w:hAnsi="宋体" w:cs="宋体"/>
          <w:color w:val="auto"/>
          <w:kern w:val="0"/>
          <w:sz w:val="21"/>
          <w:szCs w:val="21"/>
          <w:highlight w:val="none"/>
        </w:rPr>
      </w:pPr>
    </w:p>
    <w:p>
      <w:pPr>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响应人（盖章）：</w:t>
      </w:r>
    </w:p>
    <w:p>
      <w:pPr>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法定代表人</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签字或盖章</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w:t>
      </w:r>
    </w:p>
    <w:p>
      <w:pPr>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日期：    年    月    日</w:t>
      </w:r>
    </w:p>
    <w:p>
      <w:pPr>
        <w:snapToGrid w:val="0"/>
        <w:spacing w:line="400" w:lineRule="exact"/>
        <w:rPr>
          <w:rFonts w:ascii="宋体" w:hAnsi="宋体" w:cs="宋体"/>
          <w:color w:val="auto"/>
          <w:sz w:val="21"/>
          <w:szCs w:val="21"/>
          <w:highlight w:val="none"/>
        </w:rPr>
      </w:pPr>
    </w:p>
    <w:p>
      <w:pPr>
        <w:spacing w:line="400" w:lineRule="exact"/>
        <w:jc w:val="left"/>
        <w:rPr>
          <w:rFonts w:ascii="宋体" w:hAnsi="宋体" w:cs="宋体"/>
          <w:b/>
          <w:color w:val="auto"/>
          <w:sz w:val="21"/>
          <w:szCs w:val="21"/>
          <w:highlight w:val="none"/>
        </w:rPr>
      </w:pPr>
      <w:r>
        <w:rPr>
          <w:rFonts w:hint="eastAsia" w:ascii="宋体" w:hAnsi="宋体" w:cs="宋体"/>
          <w:b/>
          <w:color w:val="auto"/>
          <w:sz w:val="21"/>
          <w:szCs w:val="21"/>
          <w:highlight w:val="none"/>
        </w:rPr>
        <w:t>备注：1.请各位</w:t>
      </w:r>
      <w:r>
        <w:rPr>
          <w:rFonts w:hint="eastAsia" w:ascii="宋体" w:hAnsi="宋体" w:cs="宋体"/>
          <w:b/>
          <w:color w:val="auto"/>
          <w:sz w:val="21"/>
          <w:szCs w:val="21"/>
          <w:highlight w:val="none"/>
          <w:lang w:eastAsia="zh-CN"/>
        </w:rPr>
        <w:t>响应人</w:t>
      </w:r>
      <w:r>
        <w:rPr>
          <w:rFonts w:hint="eastAsia" w:ascii="宋体" w:hAnsi="宋体" w:cs="宋体"/>
          <w:b/>
          <w:color w:val="auto"/>
          <w:sz w:val="21"/>
          <w:szCs w:val="21"/>
          <w:highlight w:val="none"/>
        </w:rPr>
        <w:t>按照表格形式逐项应答配置要求内容，在偏离值一栏内如实填写“无偏离、正偏离或负偏离”。</w:t>
      </w:r>
    </w:p>
    <w:p>
      <w:pPr>
        <w:rPr>
          <w:rFonts w:hint="eastAsia" w:ascii="宋体" w:hAnsi="宋体" w:cs="宋体"/>
          <w:b/>
          <w:color w:val="auto"/>
          <w:kern w:val="0"/>
          <w:sz w:val="21"/>
          <w:szCs w:val="21"/>
          <w:highlight w:val="none"/>
        </w:rPr>
      </w:pPr>
    </w:p>
    <w:p>
      <w:pPr>
        <w:pStyle w:val="23"/>
        <w:ind w:left="0" w:leftChars="0" w:firstLine="0" w:firstLineChars="0"/>
        <w:rPr>
          <w:rFonts w:hint="eastAsia" w:ascii="宋体" w:hAnsi="宋体" w:cs="宋体"/>
          <w:b/>
          <w:bCs/>
          <w:color w:val="auto"/>
          <w:sz w:val="21"/>
          <w:szCs w:val="21"/>
          <w:highlight w:val="none"/>
        </w:rPr>
      </w:pPr>
      <w:r>
        <w:rPr>
          <w:rFonts w:hint="eastAsia" w:ascii="宋体" w:hAnsi="宋体" w:cs="宋体"/>
          <w:b/>
          <w:bCs/>
          <w:color w:val="auto"/>
          <w:kern w:val="0"/>
          <w:sz w:val="21"/>
          <w:szCs w:val="21"/>
          <w:highlight w:val="none"/>
        </w:rPr>
        <w:br w:type="page"/>
      </w:r>
      <w:r>
        <w:rPr>
          <w:rFonts w:hint="eastAsia" w:ascii="宋体" w:hAnsi="宋体" w:cs="宋体"/>
          <w:b/>
          <w:bCs/>
          <w:color w:val="auto"/>
          <w:sz w:val="21"/>
          <w:szCs w:val="21"/>
          <w:highlight w:val="none"/>
        </w:rPr>
        <w:t xml:space="preserve">附件八：               </w:t>
      </w:r>
    </w:p>
    <w:p>
      <w:pPr>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承  诺  函</w:t>
      </w:r>
    </w:p>
    <w:p>
      <w:pPr>
        <w:pageBreakBefore w:val="0"/>
        <w:widowControl w:val="0"/>
        <w:tabs>
          <w:tab w:val="left" w:pos="3762"/>
        </w:tabs>
        <w:kinsoku/>
        <w:wordWrap/>
        <w:overflowPunct/>
        <w:topLinePunct w:val="0"/>
        <w:autoSpaceDE/>
        <w:autoSpaceDN/>
        <w:bidi w:val="0"/>
        <w:adjustRightInd/>
        <w:snapToGrid/>
        <w:spacing w:line="440" w:lineRule="exact"/>
        <w:textAlignment w:val="auto"/>
        <w:rPr>
          <w:rFonts w:hint="eastAsia" w:ascii="宋体" w:hAnsi="宋体" w:cs="宋体"/>
          <w:color w:val="auto"/>
          <w:sz w:val="21"/>
          <w:szCs w:val="21"/>
          <w:highlight w:val="none"/>
        </w:rPr>
      </w:pPr>
    </w:p>
    <w:p>
      <w:pPr>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color w:val="auto"/>
          <w:sz w:val="21"/>
          <w:szCs w:val="21"/>
          <w:highlight w:val="non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u w:val="single"/>
          <w:lang w:eastAsia="zh-CN"/>
        </w:rPr>
        <w:t>招标人</w:t>
      </w:r>
      <w:r>
        <w:rPr>
          <w:rFonts w:hint="eastAsia" w:ascii="宋体" w:hAnsi="宋体" w:eastAsia="宋体" w:cs="宋体"/>
          <w:color w:val="auto"/>
          <w:sz w:val="21"/>
          <w:szCs w:val="21"/>
          <w:highlight w:val="none"/>
          <w:u w:val="single"/>
        </w:rPr>
        <w:t>名称）</w:t>
      </w:r>
    </w:p>
    <w:p>
      <w:pPr>
        <w:pageBreakBefore w:val="0"/>
        <w:widowControl w:val="0"/>
        <w:kinsoku/>
        <w:wordWrap/>
        <w:overflowPunct/>
        <w:topLinePunct w:val="0"/>
        <w:autoSpaceDE/>
        <w:autoSpaceDN/>
        <w:bidi w:val="0"/>
        <w:adjustRightInd/>
        <w:snapToGrid/>
        <w:spacing w:line="440" w:lineRule="exact"/>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本单位及本单位法定代表人，均清楚知晓我单位</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 xml:space="preserve"> （项目名称 ）</w:t>
      </w:r>
      <w:r>
        <w:rPr>
          <w:rFonts w:hint="eastAsia" w:ascii="宋体" w:hAnsi="宋体" w:eastAsia="宋体" w:cs="宋体"/>
          <w:color w:val="auto"/>
          <w:sz w:val="21"/>
          <w:szCs w:val="21"/>
          <w:highlight w:val="none"/>
        </w:rPr>
        <w:t>投标活动，对以下事项作出承诺：</w:t>
      </w:r>
      <w:r>
        <w:rPr>
          <w:rFonts w:hint="eastAsia" w:ascii="宋体" w:hAnsi="宋体" w:eastAsia="宋体" w:cs="宋体"/>
          <w:color w:val="auto"/>
          <w:sz w:val="21"/>
          <w:szCs w:val="21"/>
          <w:highlight w:val="none"/>
        </w:rPr>
        <w:tab/>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 针对</w:t>
      </w:r>
      <w:r>
        <w:rPr>
          <w:rFonts w:hint="eastAsia" w:ascii="宋体" w:hAnsi="宋体" w:eastAsia="宋体" w:cs="宋体"/>
          <w:color w:val="auto"/>
          <w:sz w:val="21"/>
          <w:szCs w:val="21"/>
          <w:highlight w:val="none"/>
          <w:lang w:val="en-US" w:eastAsia="zh-CN"/>
        </w:rPr>
        <w:t xml:space="preserve">江苏信达建设工程咨询有限公司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（项目编号）</w:t>
      </w:r>
      <w:r>
        <w:rPr>
          <w:rFonts w:hint="eastAsia" w:ascii="宋体" w:hAnsi="宋体" w:cs="宋体"/>
          <w:color w:val="auto"/>
          <w:sz w:val="21"/>
          <w:szCs w:val="21"/>
          <w:highlight w:val="none"/>
          <w:lang w:eastAsia="zh-CN"/>
        </w:rPr>
        <w:t>磋商文件</w:t>
      </w:r>
      <w:r>
        <w:rPr>
          <w:rFonts w:hint="eastAsia" w:ascii="宋体" w:hAnsi="宋体" w:eastAsia="宋体" w:cs="宋体"/>
          <w:color w:val="auto"/>
          <w:sz w:val="21"/>
          <w:szCs w:val="21"/>
          <w:highlight w:val="none"/>
        </w:rPr>
        <w:t>中所填写所有关于资格文件，附件材料说明及证明陈述均是真实,准确的，若有虚假和违背，我单</w:t>
      </w:r>
      <w:r>
        <w:rPr>
          <w:rFonts w:hint="eastAsia" w:ascii="宋体" w:hAnsi="宋体" w:eastAsia="宋体" w:cs="宋体"/>
          <w:color w:val="auto"/>
          <w:sz w:val="21"/>
          <w:szCs w:val="21"/>
          <w:highlight w:val="none"/>
          <w:lang w:val="en-US" w:eastAsia="zh-CN"/>
        </w:rPr>
        <w:t>位愿意承担由此而产生的一切后果。</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2.我单位已详细审查了全部</w:t>
      </w:r>
      <w:r>
        <w:rPr>
          <w:rFonts w:hint="eastAsia" w:ascii="宋体" w:hAnsi="宋体" w:cs="宋体"/>
          <w:color w:val="auto"/>
          <w:sz w:val="21"/>
          <w:szCs w:val="21"/>
          <w:highlight w:val="none"/>
          <w:lang w:val="en-US" w:eastAsia="zh-CN"/>
        </w:rPr>
        <w:t>磋商文件</w:t>
      </w:r>
      <w:r>
        <w:rPr>
          <w:rFonts w:hint="eastAsia" w:ascii="宋体" w:hAnsi="宋体" w:eastAsia="宋体" w:cs="宋体"/>
          <w:color w:val="auto"/>
          <w:sz w:val="21"/>
          <w:szCs w:val="21"/>
          <w:highlight w:val="none"/>
          <w:lang w:val="en-US" w:eastAsia="zh-CN"/>
        </w:rPr>
        <w:t>，投标后，我们放弃对</w:t>
      </w:r>
      <w:r>
        <w:rPr>
          <w:rFonts w:hint="eastAsia" w:ascii="宋体" w:hAnsi="宋体" w:cs="宋体"/>
          <w:color w:val="auto"/>
          <w:sz w:val="21"/>
          <w:szCs w:val="21"/>
          <w:highlight w:val="none"/>
          <w:lang w:val="en-US" w:eastAsia="zh-CN"/>
        </w:rPr>
        <w:t>磋商文件</w:t>
      </w:r>
      <w:r>
        <w:rPr>
          <w:rFonts w:hint="eastAsia" w:ascii="宋体" w:hAnsi="宋体" w:eastAsia="宋体" w:cs="宋体"/>
          <w:color w:val="auto"/>
          <w:sz w:val="21"/>
          <w:szCs w:val="21"/>
          <w:highlight w:val="none"/>
          <w:lang w:val="en-US" w:eastAsia="zh-CN"/>
        </w:rPr>
        <w:t>质疑的权利。</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3.我单位及我单位法定代表人保证遵循公开、公平、公正、诚实守信的原则，依法依规参与本项目采购投标活动。</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4.我单位及我单位法定代表人以及授权代表人在本项目采购投标活动中，均不存在、也未参与任何围标串标活动，也不存在以他人名义投标的行为。</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5.我单位如被查实在本项目采购投标活动中存在围标串标的或以他人名义投标的，本单位及法定代表人共同承担法律责任，接受相应行政、刑事及失信惩戒等处罚。</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6.本承诺书空白处均由我单位法定代表人亲笔书写，若存在弄虚作假情况的，本单位及法定代表人共同</w:t>
      </w:r>
      <w:r>
        <w:rPr>
          <w:rFonts w:hint="eastAsia" w:ascii="宋体" w:hAnsi="宋体" w:eastAsia="宋体" w:cs="宋体"/>
          <w:color w:val="auto"/>
          <w:sz w:val="21"/>
          <w:szCs w:val="21"/>
          <w:highlight w:val="none"/>
        </w:rPr>
        <w:t>承担法律责任，接受相应行政、刑事及失信惩戒等处罚。</w:t>
      </w:r>
    </w:p>
    <w:p>
      <w:pPr>
        <w:pStyle w:val="5"/>
        <w:pageBreakBefore w:val="0"/>
        <w:widowControl w:val="0"/>
        <w:kinsoku/>
        <w:wordWrap/>
        <w:overflowPunct/>
        <w:topLinePunct w:val="0"/>
        <w:autoSpaceDE/>
        <w:autoSpaceDN/>
        <w:bidi w:val="0"/>
        <w:adjustRightInd/>
        <w:snapToGrid/>
        <w:spacing w:before="0" w:after="0" w:line="440" w:lineRule="exact"/>
        <w:textAlignment w:val="auto"/>
        <w:rPr>
          <w:rFonts w:hint="eastAsia" w:ascii="宋体" w:hAnsi="宋体" w:cs="宋体"/>
          <w:color w:val="auto"/>
          <w:sz w:val="21"/>
          <w:szCs w:val="21"/>
          <w:highlight w:val="none"/>
        </w:rPr>
      </w:pPr>
    </w:p>
    <w:p>
      <w:pPr>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响应人（盖章）：</w:t>
      </w:r>
    </w:p>
    <w:p>
      <w:pPr>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法定代表人</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签字或盖章</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w:t>
      </w:r>
    </w:p>
    <w:p>
      <w:pPr>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日期：    年    月    日</w:t>
      </w:r>
    </w:p>
    <w:p>
      <w:pPr>
        <w:pStyle w:val="23"/>
        <w:ind w:left="0" w:leftChars="0" w:firstLine="0" w:firstLineChars="0"/>
        <w:rPr>
          <w:rFonts w:hint="eastAsia" w:ascii="宋体" w:hAnsi="宋体" w:cs="宋体"/>
          <w:b/>
          <w:bCs/>
          <w:color w:val="auto"/>
          <w:sz w:val="21"/>
          <w:szCs w:val="21"/>
          <w:highlight w:val="none"/>
        </w:rPr>
      </w:pPr>
      <w:r>
        <w:rPr>
          <w:rFonts w:hint="eastAsia" w:ascii="宋体" w:hAnsi="宋体" w:cs="宋体"/>
          <w:b/>
          <w:color w:val="auto"/>
          <w:sz w:val="21"/>
          <w:szCs w:val="21"/>
          <w:highlight w:val="none"/>
        </w:rPr>
        <w:br w:type="page"/>
      </w:r>
      <w:r>
        <w:rPr>
          <w:rFonts w:hint="eastAsia" w:ascii="宋体" w:hAnsi="宋体" w:cs="宋体"/>
          <w:b/>
          <w:bCs/>
          <w:color w:val="auto"/>
          <w:sz w:val="21"/>
          <w:szCs w:val="21"/>
          <w:highlight w:val="none"/>
        </w:rPr>
        <w:t xml:space="preserve">附件九：    </w:t>
      </w:r>
    </w:p>
    <w:p>
      <w:pPr>
        <w:autoSpaceDE w:val="0"/>
        <w:spacing w:line="400" w:lineRule="exact"/>
        <w:jc w:val="center"/>
        <w:rPr>
          <w:rFonts w:ascii="宋体" w:hAnsi="宋体" w:cs="宋体"/>
          <w:b/>
          <w:color w:val="auto"/>
          <w:kern w:val="0"/>
          <w:sz w:val="21"/>
          <w:szCs w:val="21"/>
          <w:highlight w:val="none"/>
        </w:rPr>
      </w:pPr>
      <w:r>
        <w:rPr>
          <w:rFonts w:hint="eastAsia" w:ascii="宋体" w:hAnsi="宋体" w:cs="宋体"/>
          <w:b/>
          <w:color w:val="auto"/>
          <w:kern w:val="0"/>
          <w:sz w:val="21"/>
          <w:szCs w:val="21"/>
          <w:highlight w:val="none"/>
          <w:lang w:eastAsia="zh-CN"/>
        </w:rPr>
        <w:t>响应人</w:t>
      </w:r>
      <w:r>
        <w:rPr>
          <w:rFonts w:hint="eastAsia" w:ascii="宋体" w:hAnsi="宋体" w:cs="宋体"/>
          <w:b/>
          <w:color w:val="auto"/>
          <w:kern w:val="0"/>
          <w:sz w:val="21"/>
          <w:szCs w:val="21"/>
          <w:highlight w:val="none"/>
        </w:rPr>
        <w:t>信用承诺书</w:t>
      </w:r>
    </w:p>
    <w:p>
      <w:pPr>
        <w:spacing w:line="40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为维护公开、公平、公正的采购市场秩序，树立诚实守信的</w:t>
      </w:r>
      <w:r>
        <w:rPr>
          <w:rFonts w:hint="eastAsia" w:ascii="宋体" w:hAnsi="宋体" w:cs="宋体"/>
          <w:color w:val="auto"/>
          <w:sz w:val="21"/>
          <w:szCs w:val="21"/>
          <w:highlight w:val="none"/>
          <w:lang w:eastAsia="zh-CN"/>
        </w:rPr>
        <w:t>响应人</w:t>
      </w:r>
      <w:r>
        <w:rPr>
          <w:rFonts w:hint="eastAsia" w:ascii="宋体" w:hAnsi="宋体" w:cs="宋体"/>
          <w:color w:val="auto"/>
          <w:sz w:val="21"/>
          <w:szCs w:val="21"/>
          <w:highlight w:val="none"/>
        </w:rPr>
        <w:t>形象，本单位在参与采购活动中,自愿作出以下承诺：</w:t>
      </w:r>
    </w:p>
    <w:p>
      <w:pPr>
        <w:spacing w:line="40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一、严格遵守国家法律、法规和规章，全面履行应尽的责任和义务，全面做到履约守信。</w:t>
      </w:r>
    </w:p>
    <w:p>
      <w:pPr>
        <w:spacing w:line="40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二、本单位提供给注册登记部门、行业管理部门、司法部门、行业组织以及在采购活动中提交的所有资料均合法、真实、有效，无任何伪造、修改、虚假成份，并对所提供资料的真实性负责。</w:t>
      </w:r>
    </w:p>
    <w:p>
      <w:pPr>
        <w:spacing w:line="40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三、严格依法开展生产经营活动，主动接受行业监管，自愿接受依法开展的日常检查；违法失信经营后将自愿接受约束和惩戒，并依法承担相应责任。</w:t>
      </w:r>
    </w:p>
    <w:p>
      <w:pPr>
        <w:spacing w:line="40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 xml:space="preserve">四、承诺本单位自觉接受行政管理部门、行业组织、社会公众、新闻舆论的监督。 </w:t>
      </w:r>
    </w:p>
    <w:p>
      <w:pPr>
        <w:spacing w:line="40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 xml:space="preserve">五、承诺本单位自我约束、自我管理，重合同、守信用，不制假售假、商标侵权、虚假宣传、违约毁约、恶意逃债、偷税漏税、价格欺诈、垄断和不正当竞争，维护经营者、消费者的合法权益。 </w:t>
      </w:r>
    </w:p>
    <w:p>
      <w:pPr>
        <w:spacing w:line="40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 xml:space="preserve">六、承诺本单位在信用中国网站中无违法违规、较重或严重失信记录。 </w:t>
      </w:r>
    </w:p>
    <w:p>
      <w:pPr>
        <w:spacing w:line="40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七、承诺本单位若违背承诺约定，经查实，愿意接受行业主管部门和信用管理部门相应的规定处罚，承担违约责任，并依法承担相应的法律责任。</w:t>
      </w:r>
    </w:p>
    <w:p>
      <w:pPr>
        <w:pStyle w:val="5"/>
        <w:spacing w:line="400" w:lineRule="exact"/>
        <w:rPr>
          <w:rFonts w:ascii="宋体" w:hAnsi="宋体" w:cs="宋体"/>
          <w:color w:val="auto"/>
          <w:sz w:val="21"/>
          <w:szCs w:val="21"/>
          <w:highlight w:val="none"/>
        </w:rPr>
      </w:pPr>
    </w:p>
    <w:p>
      <w:pPr>
        <w:rPr>
          <w:color w:val="auto"/>
          <w:sz w:val="21"/>
          <w:szCs w:val="21"/>
          <w:highlight w:val="none"/>
        </w:rPr>
      </w:pPr>
    </w:p>
    <w:p>
      <w:pPr>
        <w:spacing w:line="360" w:lineRule="exact"/>
        <w:rPr>
          <w:rFonts w:ascii="宋体" w:hAnsi="宋体" w:cs="宋体"/>
          <w:color w:val="auto"/>
          <w:sz w:val="21"/>
          <w:szCs w:val="21"/>
          <w:highlight w:val="none"/>
        </w:rPr>
      </w:pPr>
    </w:p>
    <w:p>
      <w:pPr>
        <w:spacing w:line="360" w:lineRule="exact"/>
        <w:rPr>
          <w:rFonts w:ascii="宋体" w:hAnsi="宋体" w:cs="宋体"/>
          <w:color w:val="auto"/>
          <w:sz w:val="21"/>
          <w:szCs w:val="21"/>
          <w:highlight w:val="none"/>
        </w:rPr>
      </w:pPr>
      <w:r>
        <w:rPr>
          <w:rFonts w:hint="eastAsia" w:ascii="宋体" w:hAnsi="宋体" w:cs="宋体"/>
          <w:color w:val="auto"/>
          <w:sz w:val="21"/>
          <w:szCs w:val="21"/>
          <w:highlight w:val="none"/>
        </w:rPr>
        <w:t>响应人名称（加盖公章）：</w:t>
      </w:r>
    </w:p>
    <w:p>
      <w:pPr>
        <w:keepNext/>
        <w:keepLines/>
        <w:spacing w:before="100" w:beforeAutospacing="1" w:after="100" w:afterAutospacing="1" w:line="360" w:lineRule="exact"/>
        <w:jc w:val="left"/>
        <w:outlineLvl w:val="0"/>
        <w:rPr>
          <w:rFonts w:hint="eastAsia" w:ascii="宋体" w:hAnsi="宋体" w:cs="宋体"/>
          <w:color w:val="auto"/>
          <w:sz w:val="21"/>
          <w:szCs w:val="21"/>
          <w:highlight w:val="none"/>
        </w:rPr>
      </w:pPr>
      <w:r>
        <w:rPr>
          <w:rFonts w:hint="eastAsia" w:ascii="宋体" w:hAnsi="宋体" w:cs="宋体"/>
          <w:color w:val="auto"/>
          <w:sz w:val="21"/>
          <w:szCs w:val="21"/>
          <w:highlight w:val="none"/>
        </w:rPr>
        <w:t>法定代表人（负责人）</w:t>
      </w:r>
      <w:r>
        <w:rPr>
          <w:rFonts w:hint="eastAsia" w:ascii="宋体" w:hAnsi="宋体" w:cs="宋体"/>
          <w:color w:val="auto"/>
          <w:sz w:val="21"/>
          <w:szCs w:val="21"/>
          <w:highlight w:val="none"/>
          <w:lang w:val="en-US" w:eastAsia="zh-CN"/>
        </w:rPr>
        <w:t>签字</w:t>
      </w:r>
      <w:r>
        <w:rPr>
          <w:rFonts w:hint="eastAsia" w:ascii="宋体" w:hAnsi="宋体" w:cs="宋体"/>
          <w:color w:val="auto"/>
          <w:sz w:val="21"/>
          <w:szCs w:val="21"/>
          <w:highlight w:val="none"/>
        </w:rPr>
        <w:t>：</w:t>
      </w:r>
    </w:p>
    <w:p>
      <w:pPr>
        <w:keepNext/>
        <w:keepLines/>
        <w:spacing w:before="100" w:beforeAutospacing="1" w:after="100" w:afterAutospacing="1" w:line="360" w:lineRule="exact"/>
        <w:jc w:val="left"/>
        <w:outlineLvl w:val="0"/>
        <w:rPr>
          <w:rFonts w:ascii="宋体" w:hAnsi="宋体" w:cs="宋体"/>
          <w:color w:val="auto"/>
          <w:sz w:val="21"/>
          <w:szCs w:val="21"/>
          <w:highlight w:val="none"/>
        </w:rPr>
      </w:pPr>
      <w:r>
        <w:rPr>
          <w:rFonts w:hint="eastAsia" w:ascii="宋体" w:hAnsi="宋体" w:cs="宋体"/>
          <w:color w:val="auto"/>
          <w:sz w:val="21"/>
          <w:szCs w:val="21"/>
          <w:highlight w:val="none"/>
        </w:rPr>
        <w:t xml:space="preserve">日      期： </w:t>
      </w:r>
    </w:p>
    <w:p>
      <w:pPr>
        <w:pStyle w:val="22"/>
        <w:spacing w:line="400" w:lineRule="exact"/>
        <w:ind w:left="0" w:leftChars="0" w:firstLine="0" w:firstLineChars="0"/>
        <w:jc w:val="left"/>
        <w:rPr>
          <w:rFonts w:ascii="宋体" w:hAnsi="宋体" w:cs="宋体"/>
          <w:b w:val="0"/>
          <w:color w:val="auto"/>
          <w:sz w:val="21"/>
          <w:szCs w:val="21"/>
          <w:highlight w:val="none"/>
        </w:rPr>
      </w:pPr>
      <w:r>
        <w:rPr>
          <w:rFonts w:hint="eastAsia" w:ascii="宋体" w:hAnsi="宋体" w:cs="宋体"/>
          <w:b w:val="0"/>
          <w:color w:val="auto"/>
          <w:sz w:val="21"/>
          <w:szCs w:val="21"/>
          <w:highlight w:val="none"/>
        </w:rPr>
        <w:br w:type="page"/>
      </w:r>
      <w:r>
        <w:rPr>
          <w:rFonts w:hint="eastAsia" w:ascii="宋体" w:hAnsi="宋体" w:cs="宋体"/>
          <w:color w:val="auto"/>
          <w:sz w:val="21"/>
          <w:szCs w:val="21"/>
          <w:highlight w:val="none"/>
        </w:rPr>
        <w:t xml:space="preserve">附件十：   </w:t>
      </w:r>
    </w:p>
    <w:p>
      <w:pPr>
        <w:spacing w:line="460" w:lineRule="exact"/>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响应人基本资格条件承诺书</w:t>
      </w:r>
    </w:p>
    <w:p>
      <w:pPr>
        <w:ind w:firstLine="2730" w:firstLineChars="1300"/>
        <w:rPr>
          <w:rFonts w:ascii="宋体" w:hAnsi="宋体" w:cs="宋体"/>
          <w:color w:val="auto"/>
          <w:sz w:val="21"/>
          <w:szCs w:val="21"/>
          <w:highlight w:val="none"/>
        </w:rPr>
      </w:pPr>
    </w:p>
    <w:p>
      <w:pPr>
        <w:spacing w:line="460" w:lineRule="exact"/>
        <w:rPr>
          <w:rFonts w:ascii="宋体" w:hAnsi="宋体" w:cs="宋体"/>
          <w:color w:val="auto"/>
          <w:sz w:val="21"/>
          <w:szCs w:val="21"/>
          <w:highlight w:val="none"/>
        </w:rPr>
      </w:pPr>
      <w:r>
        <w:rPr>
          <w:rFonts w:hint="eastAsia" w:ascii="宋体" w:hAnsi="宋体" w:cs="宋体"/>
          <w:color w:val="auto"/>
          <w:sz w:val="21"/>
          <w:szCs w:val="21"/>
          <w:highlight w:val="none"/>
          <w:lang w:val="en-US" w:eastAsia="zh-CN"/>
        </w:rPr>
        <w:t>江苏信达建设工程咨询有限公司</w:t>
      </w:r>
      <w:r>
        <w:rPr>
          <w:rFonts w:hint="eastAsia" w:ascii="宋体" w:hAnsi="宋体" w:cs="宋体"/>
          <w:color w:val="auto"/>
          <w:sz w:val="21"/>
          <w:szCs w:val="21"/>
          <w:highlight w:val="none"/>
        </w:rPr>
        <w:t>：</w:t>
      </w:r>
    </w:p>
    <w:p>
      <w:pPr>
        <w:spacing w:line="46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贵单位组织的采购活动，我公司愿意参加，并承诺的下列文件、证明和陈述均是准确的、真实的。若与真实情况不符，我公司愿意承担由此而产生的一切后果。</w:t>
      </w:r>
    </w:p>
    <w:p>
      <w:pPr>
        <w:ind w:firstLine="420" w:firstLineChars="200"/>
        <w:jc w:val="center"/>
        <w:rPr>
          <w:rFonts w:ascii="宋体" w:hAnsi="宋体" w:cs="宋体"/>
          <w:color w:val="auto"/>
          <w:sz w:val="21"/>
          <w:szCs w:val="21"/>
          <w:highlight w:val="none"/>
        </w:rPr>
      </w:pPr>
    </w:p>
    <w:tbl>
      <w:tblPr>
        <w:tblStyle w:val="24"/>
        <w:tblW w:w="8930" w:type="dxa"/>
        <w:jc w:val="center"/>
        <w:tblLayout w:type="fixed"/>
        <w:tblCellMar>
          <w:top w:w="0" w:type="dxa"/>
          <w:left w:w="108" w:type="dxa"/>
          <w:bottom w:w="0" w:type="dxa"/>
          <w:right w:w="108" w:type="dxa"/>
        </w:tblCellMar>
      </w:tblPr>
      <w:tblGrid>
        <w:gridCol w:w="935"/>
        <w:gridCol w:w="6465"/>
        <w:gridCol w:w="1530"/>
      </w:tblGrid>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tabs>
                <w:tab w:val="right" w:pos="2438"/>
              </w:tabs>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序号</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承诺内容</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响应人承诺</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1</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highlight w:val="none"/>
              </w:rPr>
            </w:pPr>
            <w:r>
              <w:rPr>
                <w:rFonts w:hint="eastAsia" w:ascii="宋体" w:hAnsi="宋体" w:cs="宋体"/>
                <w:color w:val="auto"/>
                <w:sz w:val="21"/>
                <w:szCs w:val="21"/>
                <w:highlight w:val="none"/>
              </w:rPr>
              <w:t>我单位具有独立承担民事责任的能力。</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2</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highlight w:val="none"/>
              </w:rPr>
            </w:pPr>
            <w:r>
              <w:rPr>
                <w:rFonts w:hint="eastAsia" w:ascii="宋体" w:hAnsi="宋体" w:cs="宋体"/>
                <w:color w:val="auto"/>
                <w:sz w:val="21"/>
                <w:szCs w:val="21"/>
                <w:highlight w:val="none"/>
              </w:rPr>
              <w:t>我单位具有良好的商业信誉和健全的财务会计制度。</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3</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highlight w:val="none"/>
              </w:rPr>
            </w:pPr>
            <w:r>
              <w:rPr>
                <w:rFonts w:hint="eastAsia" w:ascii="宋体" w:hAnsi="宋体" w:cs="宋体"/>
                <w:color w:val="auto"/>
                <w:sz w:val="21"/>
                <w:szCs w:val="21"/>
                <w:highlight w:val="none"/>
              </w:rPr>
              <w:t>我单位具有履行合同所必需的设备和专业技术能力。</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4</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highlight w:val="none"/>
              </w:rPr>
            </w:pPr>
            <w:r>
              <w:rPr>
                <w:rFonts w:hint="eastAsia" w:ascii="宋体" w:hAnsi="宋体" w:cs="宋体"/>
                <w:color w:val="auto"/>
                <w:sz w:val="21"/>
                <w:szCs w:val="21"/>
                <w:highlight w:val="none"/>
              </w:rPr>
              <w:t>我单位有依法缴纳税收和社会保障资金的良好记录。</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5</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highlight w:val="none"/>
              </w:rPr>
            </w:pPr>
            <w:r>
              <w:rPr>
                <w:rFonts w:hint="eastAsia" w:ascii="宋体" w:hAnsi="宋体" w:cs="宋体"/>
                <w:color w:val="auto"/>
                <w:sz w:val="21"/>
                <w:szCs w:val="21"/>
                <w:highlight w:val="none"/>
              </w:rPr>
              <w:t>我单位参加本次采购活动前三年内，在经营活动中没有重大违法记录。（重大违法记录，是指响应人因违法经营受到刑事处罚或者责令停产停业、吊销许可证或者执照、较大数额罚款等行政处罚。）</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hint="eastAsia" w:ascii="宋体" w:hAnsi="宋体" w:cs="宋体"/>
                <w:color w:val="auto"/>
                <w:sz w:val="21"/>
                <w:szCs w:val="21"/>
                <w:highlight w:val="none"/>
              </w:rPr>
            </w:pPr>
            <w:r>
              <w:rPr>
                <w:rFonts w:hint="eastAsia" w:asciiTheme="majorEastAsia" w:hAnsiTheme="majorEastAsia" w:eastAsiaTheme="majorEastAsia"/>
                <w:bCs/>
                <w:color w:val="auto"/>
                <w:sz w:val="21"/>
                <w:szCs w:val="21"/>
                <w:highlight w:val="none"/>
                <w:lang w:val="en-US" w:eastAsia="zh-CN"/>
              </w:rPr>
              <w:t>我单位不存在</w:t>
            </w:r>
            <w:r>
              <w:rPr>
                <w:rFonts w:hint="eastAsia" w:asciiTheme="majorEastAsia" w:hAnsiTheme="majorEastAsia" w:eastAsiaTheme="majorEastAsia"/>
                <w:bCs/>
                <w:color w:val="auto"/>
                <w:sz w:val="21"/>
                <w:szCs w:val="21"/>
                <w:highlight w:val="none"/>
              </w:rPr>
              <w:t>单位负责人为同一人或者存在直接控股、管理关系的不同</w:t>
            </w:r>
            <w:r>
              <w:rPr>
                <w:rFonts w:hint="eastAsia" w:asciiTheme="majorEastAsia" w:hAnsiTheme="majorEastAsia" w:eastAsiaTheme="majorEastAsia"/>
                <w:bCs/>
                <w:color w:val="auto"/>
                <w:sz w:val="21"/>
                <w:szCs w:val="21"/>
                <w:highlight w:val="none"/>
                <w:lang w:eastAsia="zh-CN"/>
              </w:rPr>
              <w:t>响应人</w:t>
            </w:r>
            <w:r>
              <w:rPr>
                <w:rFonts w:hint="eastAsia" w:asciiTheme="majorEastAsia" w:hAnsiTheme="majorEastAsia" w:eastAsiaTheme="majorEastAsia"/>
                <w:bCs/>
                <w:color w:val="auto"/>
                <w:sz w:val="21"/>
                <w:szCs w:val="21"/>
                <w:highlight w:val="none"/>
              </w:rPr>
              <w:t>（包含法定代表人（负责人）为同一个人的两个及两个以上法人，母公司、全资子公司及其控股公司）</w:t>
            </w:r>
            <w:r>
              <w:rPr>
                <w:rFonts w:hint="eastAsia" w:asciiTheme="majorEastAsia" w:hAnsiTheme="majorEastAsia" w:eastAsiaTheme="majorEastAsia"/>
                <w:bCs/>
                <w:color w:val="auto"/>
                <w:sz w:val="21"/>
                <w:szCs w:val="21"/>
                <w:highlight w:val="none"/>
                <w:lang w:val="en-US" w:eastAsia="zh-CN"/>
              </w:rPr>
              <w:t>的情况</w:t>
            </w:r>
            <w:r>
              <w:rPr>
                <w:rFonts w:hint="eastAsia" w:asciiTheme="majorEastAsia" w:hAnsiTheme="majorEastAsia" w:eastAsiaTheme="majorEastAsia"/>
                <w:bCs/>
                <w:color w:val="auto"/>
                <w:sz w:val="21"/>
                <w:szCs w:val="21"/>
                <w:highlight w:val="none"/>
              </w:rPr>
              <w:t>；</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7</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highlight w:val="none"/>
              </w:rPr>
            </w:pPr>
            <w:r>
              <w:rPr>
                <w:rFonts w:hint="eastAsia" w:ascii="宋体" w:hAnsi="宋体" w:cs="宋体"/>
                <w:color w:val="auto"/>
                <w:sz w:val="21"/>
                <w:szCs w:val="21"/>
                <w:highlight w:val="none"/>
              </w:rPr>
              <w:t>我单位遵守法律、行政法规规定的其他条件。</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是</w:t>
            </w:r>
          </w:p>
        </w:tc>
      </w:tr>
    </w:tbl>
    <w:p>
      <w:pPr>
        <w:ind w:firstLine="420" w:firstLineChars="200"/>
        <w:rPr>
          <w:rFonts w:ascii="宋体" w:hAnsi="宋体" w:cs="宋体"/>
          <w:color w:val="auto"/>
          <w:sz w:val="21"/>
          <w:szCs w:val="21"/>
          <w:highlight w:val="none"/>
        </w:rPr>
      </w:pPr>
    </w:p>
    <w:p>
      <w:pPr>
        <w:rPr>
          <w:rFonts w:ascii="宋体" w:hAnsi="宋体" w:cs="宋体"/>
          <w:color w:val="auto"/>
          <w:sz w:val="21"/>
          <w:szCs w:val="21"/>
          <w:highlight w:val="none"/>
        </w:rPr>
      </w:pPr>
    </w:p>
    <w:p>
      <w:pPr>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响应人（盖章）：</w:t>
      </w:r>
    </w:p>
    <w:p>
      <w:pPr>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法定代表人</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签字或盖章</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w:t>
      </w:r>
    </w:p>
    <w:p>
      <w:pPr>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日期：    年    月    日</w:t>
      </w:r>
    </w:p>
    <w:p>
      <w:pPr>
        <w:pStyle w:val="5"/>
        <w:rPr>
          <w:color w:val="auto"/>
          <w:sz w:val="21"/>
          <w:szCs w:val="21"/>
          <w:highlight w:val="none"/>
          <w:lang w:val="en-US"/>
        </w:rPr>
      </w:pPr>
    </w:p>
    <w:p>
      <w:pPr>
        <w:spacing w:line="560" w:lineRule="exact"/>
        <w:rPr>
          <w:rFonts w:hint="eastAsia" w:ascii="宋体" w:hAnsi="宋体" w:cs="宋体"/>
          <w:b/>
          <w:color w:val="auto"/>
          <w:sz w:val="21"/>
          <w:szCs w:val="21"/>
          <w:highlight w:val="none"/>
        </w:rPr>
      </w:pPr>
    </w:p>
    <w:p>
      <w:pPr>
        <w:pStyle w:val="4"/>
        <w:jc w:val="both"/>
        <w:rPr>
          <w:rFonts w:hint="eastAsia" w:ascii="宋体" w:hAnsi="宋体" w:eastAsia="宋体" w:cs="宋体"/>
          <w:b/>
          <w:bCs/>
          <w:color w:val="auto"/>
          <w:sz w:val="21"/>
          <w:szCs w:val="21"/>
          <w:highlight w:val="none"/>
          <w:lang w:val="en-US" w:eastAsia="zh-CN"/>
        </w:rPr>
      </w:pPr>
      <w:r>
        <w:rPr>
          <w:rFonts w:hint="eastAsia" w:ascii="宋体" w:hAnsi="宋体" w:cs="宋体"/>
          <w:b/>
          <w:color w:val="auto"/>
          <w:kern w:val="0"/>
          <w:sz w:val="21"/>
          <w:szCs w:val="21"/>
          <w:highlight w:val="none"/>
        </w:rPr>
        <w:br w:type="page"/>
      </w:r>
      <w:r>
        <w:rPr>
          <w:rFonts w:hint="eastAsia" w:ascii="宋体" w:hAnsi="宋体" w:eastAsia="宋体" w:cs="宋体"/>
          <w:b/>
          <w:bCs w:val="0"/>
          <w:color w:val="auto"/>
          <w:kern w:val="2"/>
          <w:sz w:val="21"/>
          <w:szCs w:val="21"/>
          <w:highlight w:val="none"/>
          <w:lang w:val="en-US" w:eastAsia="zh-CN" w:bidi="ar-SA"/>
        </w:rPr>
        <w:t>附件十一</w:t>
      </w:r>
      <w:bookmarkStart w:id="69" w:name="_Ref493752810"/>
      <w:r>
        <w:rPr>
          <w:rFonts w:hint="eastAsia" w:ascii="宋体" w:hAnsi="宋体" w:eastAsia="宋体" w:cs="宋体"/>
          <w:b/>
          <w:bCs w:val="0"/>
          <w:color w:val="auto"/>
          <w:kern w:val="2"/>
          <w:sz w:val="21"/>
          <w:szCs w:val="21"/>
          <w:highlight w:val="none"/>
          <w:lang w:val="en-US" w:eastAsia="zh-CN" w:bidi="ar-SA"/>
        </w:rPr>
        <w:t xml:space="preserve">:     </w:t>
      </w:r>
      <w:r>
        <w:rPr>
          <w:rFonts w:hint="eastAsia" w:ascii="宋体" w:hAnsi="宋体" w:eastAsia="宋体" w:cs="宋体"/>
          <w:b/>
          <w:bCs/>
          <w:color w:val="auto"/>
          <w:sz w:val="21"/>
          <w:szCs w:val="21"/>
          <w:highlight w:val="none"/>
          <w:lang w:val="en-US" w:eastAsia="zh-CN"/>
        </w:rPr>
        <w:t xml:space="preserve">      </w:t>
      </w:r>
    </w:p>
    <w:p>
      <w:pPr>
        <w:spacing w:line="460" w:lineRule="exact"/>
        <w:jc w:val="center"/>
        <w:rPr>
          <w:rFonts w:hint="eastAsia" w:ascii="宋体" w:hAnsi="宋体" w:cs="宋体"/>
          <w:b/>
          <w:bCs/>
          <w:color w:val="auto"/>
          <w:sz w:val="21"/>
          <w:szCs w:val="21"/>
          <w:highlight w:val="none"/>
        </w:rPr>
      </w:pPr>
      <w:r>
        <w:rPr>
          <w:rFonts w:hint="eastAsia" w:ascii="宋体" w:hAnsi="宋体" w:cs="宋体"/>
          <w:b/>
          <w:bCs/>
          <w:color w:val="auto"/>
          <w:sz w:val="21"/>
          <w:szCs w:val="21"/>
          <w:highlight w:val="none"/>
        </w:rPr>
        <w:t>投标货物数量配置表、</w:t>
      </w:r>
      <w:bookmarkStart w:id="70" w:name="_Toc86202659"/>
      <w:r>
        <w:rPr>
          <w:rFonts w:hint="eastAsia" w:ascii="宋体" w:hAnsi="宋体" w:cs="宋体"/>
          <w:b/>
          <w:bCs/>
          <w:color w:val="auto"/>
          <w:sz w:val="21"/>
          <w:szCs w:val="21"/>
          <w:highlight w:val="none"/>
        </w:rPr>
        <w:t>原辅材料明细表</w:t>
      </w:r>
      <w:bookmarkEnd w:id="69"/>
    </w:p>
    <w:p>
      <w:pPr>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1、投标货物数量配置表</w:t>
      </w:r>
    </w:p>
    <w:tbl>
      <w:tblPr>
        <w:tblStyle w:val="24"/>
        <w:tblW w:w="8955" w:type="dxa"/>
        <w:jc w:val="center"/>
        <w:tblLayout w:type="fixed"/>
        <w:tblCellMar>
          <w:top w:w="0" w:type="dxa"/>
          <w:left w:w="0" w:type="dxa"/>
          <w:bottom w:w="0" w:type="dxa"/>
          <w:right w:w="0" w:type="dxa"/>
        </w:tblCellMar>
      </w:tblPr>
      <w:tblGrid>
        <w:gridCol w:w="1560"/>
        <w:gridCol w:w="2040"/>
        <w:gridCol w:w="1800"/>
        <w:gridCol w:w="1680"/>
        <w:gridCol w:w="1875"/>
      </w:tblGrid>
      <w:tr>
        <w:tblPrEx>
          <w:tblCellMar>
            <w:top w:w="0" w:type="dxa"/>
            <w:left w:w="0" w:type="dxa"/>
            <w:bottom w:w="0" w:type="dxa"/>
            <w:right w:w="0" w:type="dxa"/>
          </w:tblCellMar>
        </w:tblPrEx>
        <w:trPr>
          <w:trHeight w:val="448" w:hRule="atLeast"/>
          <w:jc w:val="center"/>
        </w:trPr>
        <w:tc>
          <w:tcPr>
            <w:tcW w:w="156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40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产品名称</w:t>
            </w:r>
          </w:p>
        </w:tc>
        <w:tc>
          <w:tcPr>
            <w:tcW w:w="204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40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规格/型号</w:t>
            </w:r>
          </w:p>
        </w:tc>
        <w:tc>
          <w:tcPr>
            <w:tcW w:w="180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40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主辅材说明</w:t>
            </w:r>
          </w:p>
        </w:tc>
        <w:tc>
          <w:tcPr>
            <w:tcW w:w="168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40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五金件说明</w:t>
            </w:r>
          </w:p>
        </w:tc>
        <w:tc>
          <w:tcPr>
            <w:tcW w:w="187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400" w:lineRule="exac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单价</w:t>
            </w:r>
          </w:p>
        </w:tc>
      </w:tr>
      <w:tr>
        <w:tblPrEx>
          <w:tblCellMar>
            <w:top w:w="0" w:type="dxa"/>
            <w:left w:w="0" w:type="dxa"/>
            <w:bottom w:w="0" w:type="dxa"/>
            <w:right w:w="0" w:type="dxa"/>
          </w:tblCellMar>
        </w:tblPrEx>
        <w:trPr>
          <w:trHeight w:val="368" w:hRule="atLeast"/>
          <w:jc w:val="center"/>
        </w:trPr>
        <w:tc>
          <w:tcPr>
            <w:tcW w:w="156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spacing w:line="400" w:lineRule="exact"/>
              <w:jc w:val="center"/>
              <w:rPr>
                <w:rFonts w:hint="eastAsia" w:ascii="宋体" w:hAnsi="宋体" w:eastAsia="宋体" w:cs="宋体"/>
                <w:color w:val="auto"/>
                <w:sz w:val="21"/>
                <w:szCs w:val="21"/>
                <w:highlight w:val="none"/>
              </w:rPr>
            </w:pPr>
          </w:p>
        </w:tc>
        <w:tc>
          <w:tcPr>
            <w:tcW w:w="204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400" w:lineRule="exact"/>
              <w:jc w:val="center"/>
              <w:rPr>
                <w:rFonts w:hint="eastAsia" w:ascii="宋体" w:hAnsi="宋体" w:eastAsia="宋体" w:cs="宋体"/>
                <w:color w:val="auto"/>
                <w:sz w:val="21"/>
                <w:szCs w:val="21"/>
                <w:highlight w:val="none"/>
              </w:rPr>
            </w:pPr>
          </w:p>
        </w:tc>
        <w:tc>
          <w:tcPr>
            <w:tcW w:w="180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400" w:lineRule="exact"/>
              <w:jc w:val="center"/>
              <w:rPr>
                <w:rFonts w:hint="eastAsia" w:ascii="宋体" w:hAnsi="宋体" w:eastAsia="宋体" w:cs="宋体"/>
                <w:color w:val="auto"/>
                <w:sz w:val="21"/>
                <w:szCs w:val="21"/>
                <w:highlight w:val="none"/>
              </w:rPr>
            </w:pPr>
          </w:p>
        </w:tc>
        <w:tc>
          <w:tcPr>
            <w:tcW w:w="168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400" w:lineRule="exact"/>
              <w:jc w:val="center"/>
              <w:rPr>
                <w:rFonts w:hint="eastAsia" w:ascii="宋体" w:hAnsi="宋体" w:eastAsia="宋体" w:cs="宋体"/>
                <w:color w:val="auto"/>
                <w:sz w:val="21"/>
                <w:szCs w:val="21"/>
                <w:highlight w:val="none"/>
              </w:rPr>
            </w:pPr>
          </w:p>
        </w:tc>
        <w:tc>
          <w:tcPr>
            <w:tcW w:w="187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400" w:lineRule="exact"/>
              <w:jc w:val="center"/>
              <w:rPr>
                <w:rFonts w:hint="eastAsia" w:ascii="宋体" w:hAnsi="宋体" w:eastAsia="宋体" w:cs="宋体"/>
                <w:color w:val="auto"/>
                <w:sz w:val="21"/>
                <w:szCs w:val="21"/>
                <w:highlight w:val="none"/>
              </w:rPr>
            </w:pPr>
          </w:p>
        </w:tc>
      </w:tr>
      <w:tr>
        <w:tblPrEx>
          <w:tblCellMar>
            <w:top w:w="0" w:type="dxa"/>
            <w:left w:w="0" w:type="dxa"/>
            <w:bottom w:w="0" w:type="dxa"/>
            <w:right w:w="0" w:type="dxa"/>
          </w:tblCellMar>
        </w:tblPrEx>
        <w:trPr>
          <w:trHeight w:val="368" w:hRule="atLeast"/>
          <w:jc w:val="center"/>
        </w:trPr>
        <w:tc>
          <w:tcPr>
            <w:tcW w:w="156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spacing w:line="400" w:lineRule="exact"/>
              <w:jc w:val="center"/>
              <w:rPr>
                <w:rFonts w:hint="eastAsia" w:ascii="宋体" w:hAnsi="宋体" w:eastAsia="宋体" w:cs="宋体"/>
                <w:color w:val="auto"/>
                <w:sz w:val="21"/>
                <w:szCs w:val="21"/>
                <w:highlight w:val="none"/>
              </w:rPr>
            </w:pPr>
          </w:p>
        </w:tc>
        <w:tc>
          <w:tcPr>
            <w:tcW w:w="204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400" w:lineRule="exact"/>
              <w:jc w:val="center"/>
              <w:rPr>
                <w:rFonts w:hint="eastAsia" w:ascii="宋体" w:hAnsi="宋体" w:eastAsia="宋体" w:cs="宋体"/>
                <w:color w:val="auto"/>
                <w:sz w:val="21"/>
                <w:szCs w:val="21"/>
                <w:highlight w:val="none"/>
              </w:rPr>
            </w:pPr>
          </w:p>
        </w:tc>
        <w:tc>
          <w:tcPr>
            <w:tcW w:w="180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400" w:lineRule="exact"/>
              <w:jc w:val="center"/>
              <w:rPr>
                <w:rFonts w:hint="eastAsia" w:ascii="宋体" w:hAnsi="宋体" w:eastAsia="宋体" w:cs="宋体"/>
                <w:color w:val="auto"/>
                <w:sz w:val="21"/>
                <w:szCs w:val="21"/>
                <w:highlight w:val="none"/>
              </w:rPr>
            </w:pPr>
          </w:p>
        </w:tc>
        <w:tc>
          <w:tcPr>
            <w:tcW w:w="168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400" w:lineRule="exact"/>
              <w:jc w:val="center"/>
              <w:rPr>
                <w:rFonts w:hint="eastAsia" w:ascii="宋体" w:hAnsi="宋体" w:eastAsia="宋体" w:cs="宋体"/>
                <w:color w:val="auto"/>
                <w:sz w:val="21"/>
                <w:szCs w:val="21"/>
                <w:highlight w:val="none"/>
              </w:rPr>
            </w:pPr>
          </w:p>
        </w:tc>
        <w:tc>
          <w:tcPr>
            <w:tcW w:w="187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400" w:lineRule="exact"/>
              <w:jc w:val="center"/>
              <w:rPr>
                <w:rFonts w:hint="eastAsia" w:ascii="宋体" w:hAnsi="宋体" w:eastAsia="宋体" w:cs="宋体"/>
                <w:color w:val="auto"/>
                <w:sz w:val="21"/>
                <w:szCs w:val="21"/>
                <w:highlight w:val="none"/>
              </w:rPr>
            </w:pPr>
          </w:p>
        </w:tc>
      </w:tr>
      <w:tr>
        <w:tblPrEx>
          <w:tblCellMar>
            <w:top w:w="0" w:type="dxa"/>
            <w:left w:w="0" w:type="dxa"/>
            <w:bottom w:w="0" w:type="dxa"/>
            <w:right w:w="0" w:type="dxa"/>
          </w:tblCellMar>
        </w:tblPrEx>
        <w:trPr>
          <w:trHeight w:val="368" w:hRule="atLeast"/>
          <w:jc w:val="center"/>
        </w:trPr>
        <w:tc>
          <w:tcPr>
            <w:tcW w:w="156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spacing w:line="400" w:lineRule="exact"/>
              <w:jc w:val="center"/>
              <w:rPr>
                <w:rFonts w:hint="eastAsia" w:ascii="宋体" w:hAnsi="宋体" w:eastAsia="宋体" w:cs="宋体"/>
                <w:color w:val="auto"/>
                <w:sz w:val="21"/>
                <w:szCs w:val="21"/>
                <w:highlight w:val="none"/>
              </w:rPr>
            </w:pPr>
          </w:p>
        </w:tc>
        <w:tc>
          <w:tcPr>
            <w:tcW w:w="204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400" w:lineRule="exact"/>
              <w:jc w:val="center"/>
              <w:rPr>
                <w:rFonts w:hint="eastAsia" w:ascii="宋体" w:hAnsi="宋体" w:eastAsia="宋体" w:cs="宋体"/>
                <w:color w:val="auto"/>
                <w:sz w:val="21"/>
                <w:szCs w:val="21"/>
                <w:highlight w:val="none"/>
              </w:rPr>
            </w:pPr>
          </w:p>
        </w:tc>
        <w:tc>
          <w:tcPr>
            <w:tcW w:w="180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400" w:lineRule="exact"/>
              <w:jc w:val="center"/>
              <w:rPr>
                <w:rFonts w:hint="eastAsia" w:ascii="宋体" w:hAnsi="宋体" w:eastAsia="宋体" w:cs="宋体"/>
                <w:color w:val="auto"/>
                <w:sz w:val="21"/>
                <w:szCs w:val="21"/>
                <w:highlight w:val="none"/>
              </w:rPr>
            </w:pPr>
          </w:p>
        </w:tc>
        <w:tc>
          <w:tcPr>
            <w:tcW w:w="168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400" w:lineRule="exact"/>
              <w:jc w:val="center"/>
              <w:rPr>
                <w:rFonts w:hint="eastAsia" w:ascii="宋体" w:hAnsi="宋体" w:eastAsia="宋体" w:cs="宋体"/>
                <w:color w:val="auto"/>
                <w:sz w:val="21"/>
                <w:szCs w:val="21"/>
                <w:highlight w:val="none"/>
              </w:rPr>
            </w:pPr>
          </w:p>
        </w:tc>
        <w:tc>
          <w:tcPr>
            <w:tcW w:w="187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400" w:lineRule="exact"/>
              <w:jc w:val="center"/>
              <w:rPr>
                <w:rFonts w:hint="eastAsia" w:ascii="宋体" w:hAnsi="宋体" w:eastAsia="宋体" w:cs="宋体"/>
                <w:color w:val="auto"/>
                <w:sz w:val="21"/>
                <w:szCs w:val="21"/>
                <w:highlight w:val="none"/>
              </w:rPr>
            </w:pPr>
          </w:p>
        </w:tc>
      </w:tr>
    </w:tbl>
    <w:p>
      <w:pPr>
        <w:spacing w:line="400" w:lineRule="exact"/>
        <w:rPr>
          <w:rFonts w:hint="eastAsia" w:ascii="宋体" w:hAnsi="宋体" w:eastAsia="宋体" w:cs="宋体"/>
          <w:color w:val="auto"/>
          <w:sz w:val="21"/>
          <w:szCs w:val="21"/>
          <w:highlight w:val="none"/>
        </w:rPr>
      </w:pPr>
    </w:p>
    <w:p>
      <w:pPr>
        <w:tabs>
          <w:tab w:val="left" w:pos="1680"/>
        </w:tabs>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、原辅材料明细表</w:t>
      </w:r>
    </w:p>
    <w:tbl>
      <w:tblPr>
        <w:tblStyle w:val="24"/>
        <w:tblW w:w="8955" w:type="dxa"/>
        <w:jc w:val="center"/>
        <w:tblLayout w:type="fixed"/>
        <w:tblCellMar>
          <w:top w:w="0" w:type="dxa"/>
          <w:left w:w="0" w:type="dxa"/>
          <w:bottom w:w="0" w:type="dxa"/>
          <w:right w:w="0" w:type="dxa"/>
        </w:tblCellMar>
      </w:tblPr>
      <w:tblGrid>
        <w:gridCol w:w="2673"/>
        <w:gridCol w:w="1660"/>
        <w:gridCol w:w="1592"/>
        <w:gridCol w:w="1515"/>
        <w:gridCol w:w="1515"/>
      </w:tblGrid>
      <w:tr>
        <w:tblPrEx>
          <w:tblCellMar>
            <w:top w:w="0" w:type="dxa"/>
            <w:left w:w="0" w:type="dxa"/>
            <w:bottom w:w="0" w:type="dxa"/>
            <w:right w:w="0" w:type="dxa"/>
          </w:tblCellMar>
        </w:tblPrEx>
        <w:trPr>
          <w:trHeight w:val="466" w:hRule="atLeast"/>
          <w:jc w:val="center"/>
        </w:trPr>
        <w:tc>
          <w:tcPr>
            <w:tcW w:w="2673"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40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产品名称</w:t>
            </w:r>
          </w:p>
        </w:tc>
        <w:tc>
          <w:tcPr>
            <w:tcW w:w="166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40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规格/型号</w:t>
            </w:r>
          </w:p>
        </w:tc>
        <w:tc>
          <w:tcPr>
            <w:tcW w:w="1592"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40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品牌</w:t>
            </w:r>
          </w:p>
        </w:tc>
        <w:tc>
          <w:tcPr>
            <w:tcW w:w="151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40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产地</w:t>
            </w:r>
          </w:p>
        </w:tc>
        <w:tc>
          <w:tcPr>
            <w:tcW w:w="151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400" w:lineRule="exac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单价</w:t>
            </w:r>
          </w:p>
        </w:tc>
      </w:tr>
      <w:tr>
        <w:tblPrEx>
          <w:tblCellMar>
            <w:top w:w="0" w:type="dxa"/>
            <w:left w:w="0" w:type="dxa"/>
            <w:bottom w:w="0" w:type="dxa"/>
            <w:right w:w="0" w:type="dxa"/>
          </w:tblCellMar>
        </w:tblPrEx>
        <w:trPr>
          <w:trHeight w:val="417" w:hRule="atLeast"/>
          <w:jc w:val="center"/>
        </w:trPr>
        <w:tc>
          <w:tcPr>
            <w:tcW w:w="267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spacing w:line="400" w:lineRule="exact"/>
              <w:jc w:val="center"/>
              <w:rPr>
                <w:rFonts w:hint="eastAsia" w:ascii="宋体" w:hAnsi="宋体" w:eastAsia="宋体" w:cs="宋体"/>
                <w:color w:val="auto"/>
                <w:sz w:val="21"/>
                <w:szCs w:val="21"/>
                <w:highlight w:val="none"/>
              </w:rPr>
            </w:pPr>
          </w:p>
        </w:tc>
        <w:tc>
          <w:tcPr>
            <w:tcW w:w="166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400" w:lineRule="exact"/>
              <w:jc w:val="center"/>
              <w:rPr>
                <w:rFonts w:hint="eastAsia" w:ascii="宋体" w:hAnsi="宋体" w:eastAsia="宋体" w:cs="宋体"/>
                <w:color w:val="auto"/>
                <w:sz w:val="21"/>
                <w:szCs w:val="21"/>
                <w:highlight w:val="none"/>
              </w:rPr>
            </w:pPr>
          </w:p>
        </w:tc>
        <w:tc>
          <w:tcPr>
            <w:tcW w:w="1592"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400" w:lineRule="exact"/>
              <w:jc w:val="center"/>
              <w:rPr>
                <w:rFonts w:hint="eastAsia" w:ascii="宋体" w:hAnsi="宋体" w:eastAsia="宋体" w:cs="宋体"/>
                <w:color w:val="auto"/>
                <w:sz w:val="21"/>
                <w:szCs w:val="21"/>
                <w:highlight w:val="none"/>
              </w:rPr>
            </w:pPr>
          </w:p>
        </w:tc>
        <w:tc>
          <w:tcPr>
            <w:tcW w:w="151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400" w:lineRule="exact"/>
              <w:jc w:val="center"/>
              <w:rPr>
                <w:rFonts w:hint="eastAsia" w:ascii="宋体" w:hAnsi="宋体" w:eastAsia="宋体" w:cs="宋体"/>
                <w:color w:val="auto"/>
                <w:sz w:val="21"/>
                <w:szCs w:val="21"/>
                <w:highlight w:val="none"/>
              </w:rPr>
            </w:pPr>
          </w:p>
        </w:tc>
        <w:tc>
          <w:tcPr>
            <w:tcW w:w="151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400" w:lineRule="exact"/>
              <w:jc w:val="center"/>
              <w:rPr>
                <w:rFonts w:hint="eastAsia" w:ascii="宋体" w:hAnsi="宋体" w:eastAsia="宋体" w:cs="宋体"/>
                <w:color w:val="auto"/>
                <w:sz w:val="21"/>
                <w:szCs w:val="21"/>
                <w:highlight w:val="none"/>
              </w:rPr>
            </w:pPr>
          </w:p>
        </w:tc>
      </w:tr>
      <w:tr>
        <w:tblPrEx>
          <w:tblCellMar>
            <w:top w:w="0" w:type="dxa"/>
            <w:left w:w="0" w:type="dxa"/>
            <w:bottom w:w="0" w:type="dxa"/>
            <w:right w:w="0" w:type="dxa"/>
          </w:tblCellMar>
        </w:tblPrEx>
        <w:trPr>
          <w:trHeight w:val="417" w:hRule="atLeast"/>
          <w:jc w:val="center"/>
        </w:trPr>
        <w:tc>
          <w:tcPr>
            <w:tcW w:w="267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spacing w:line="400" w:lineRule="exact"/>
              <w:jc w:val="center"/>
              <w:rPr>
                <w:rFonts w:hint="eastAsia" w:ascii="宋体" w:hAnsi="宋体" w:eastAsia="宋体" w:cs="宋体"/>
                <w:color w:val="auto"/>
                <w:sz w:val="21"/>
                <w:szCs w:val="21"/>
                <w:highlight w:val="none"/>
              </w:rPr>
            </w:pPr>
          </w:p>
        </w:tc>
        <w:tc>
          <w:tcPr>
            <w:tcW w:w="166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400" w:lineRule="exact"/>
              <w:jc w:val="center"/>
              <w:rPr>
                <w:rFonts w:hint="eastAsia" w:ascii="宋体" w:hAnsi="宋体" w:eastAsia="宋体" w:cs="宋体"/>
                <w:color w:val="auto"/>
                <w:sz w:val="21"/>
                <w:szCs w:val="21"/>
                <w:highlight w:val="none"/>
              </w:rPr>
            </w:pPr>
          </w:p>
        </w:tc>
        <w:tc>
          <w:tcPr>
            <w:tcW w:w="1592"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400" w:lineRule="exact"/>
              <w:jc w:val="center"/>
              <w:rPr>
                <w:rFonts w:hint="eastAsia" w:ascii="宋体" w:hAnsi="宋体" w:eastAsia="宋体" w:cs="宋体"/>
                <w:color w:val="auto"/>
                <w:sz w:val="21"/>
                <w:szCs w:val="21"/>
                <w:highlight w:val="none"/>
              </w:rPr>
            </w:pPr>
          </w:p>
        </w:tc>
        <w:tc>
          <w:tcPr>
            <w:tcW w:w="151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400" w:lineRule="exact"/>
              <w:jc w:val="center"/>
              <w:rPr>
                <w:rFonts w:hint="eastAsia" w:ascii="宋体" w:hAnsi="宋体" w:eastAsia="宋体" w:cs="宋体"/>
                <w:color w:val="auto"/>
                <w:sz w:val="21"/>
                <w:szCs w:val="21"/>
                <w:highlight w:val="none"/>
              </w:rPr>
            </w:pPr>
          </w:p>
        </w:tc>
        <w:tc>
          <w:tcPr>
            <w:tcW w:w="151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400" w:lineRule="exact"/>
              <w:jc w:val="center"/>
              <w:rPr>
                <w:rFonts w:hint="eastAsia" w:ascii="宋体" w:hAnsi="宋体" w:eastAsia="宋体" w:cs="宋体"/>
                <w:color w:val="auto"/>
                <w:sz w:val="21"/>
                <w:szCs w:val="21"/>
                <w:highlight w:val="none"/>
              </w:rPr>
            </w:pPr>
          </w:p>
        </w:tc>
      </w:tr>
      <w:tr>
        <w:tblPrEx>
          <w:tblCellMar>
            <w:top w:w="0" w:type="dxa"/>
            <w:left w:w="0" w:type="dxa"/>
            <w:bottom w:w="0" w:type="dxa"/>
            <w:right w:w="0" w:type="dxa"/>
          </w:tblCellMar>
        </w:tblPrEx>
        <w:trPr>
          <w:trHeight w:val="432" w:hRule="atLeast"/>
          <w:jc w:val="center"/>
        </w:trPr>
        <w:tc>
          <w:tcPr>
            <w:tcW w:w="2673"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spacing w:line="400" w:lineRule="exact"/>
              <w:jc w:val="center"/>
              <w:rPr>
                <w:rFonts w:hint="eastAsia" w:ascii="宋体" w:hAnsi="宋体" w:eastAsia="宋体" w:cs="宋体"/>
                <w:color w:val="auto"/>
                <w:sz w:val="21"/>
                <w:szCs w:val="21"/>
                <w:highlight w:val="none"/>
              </w:rPr>
            </w:pPr>
          </w:p>
        </w:tc>
        <w:tc>
          <w:tcPr>
            <w:tcW w:w="166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400" w:lineRule="exact"/>
              <w:jc w:val="center"/>
              <w:rPr>
                <w:rFonts w:hint="eastAsia" w:ascii="宋体" w:hAnsi="宋体" w:eastAsia="宋体" w:cs="宋体"/>
                <w:color w:val="auto"/>
                <w:sz w:val="21"/>
                <w:szCs w:val="21"/>
                <w:highlight w:val="none"/>
              </w:rPr>
            </w:pPr>
          </w:p>
        </w:tc>
        <w:tc>
          <w:tcPr>
            <w:tcW w:w="1592"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400" w:lineRule="exact"/>
              <w:jc w:val="center"/>
              <w:rPr>
                <w:rFonts w:hint="eastAsia" w:ascii="宋体" w:hAnsi="宋体" w:eastAsia="宋体" w:cs="宋体"/>
                <w:color w:val="auto"/>
                <w:sz w:val="21"/>
                <w:szCs w:val="21"/>
                <w:highlight w:val="none"/>
              </w:rPr>
            </w:pPr>
          </w:p>
        </w:tc>
        <w:tc>
          <w:tcPr>
            <w:tcW w:w="151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400" w:lineRule="exact"/>
              <w:jc w:val="center"/>
              <w:rPr>
                <w:rFonts w:hint="eastAsia" w:ascii="宋体" w:hAnsi="宋体" w:eastAsia="宋体" w:cs="宋体"/>
                <w:color w:val="auto"/>
                <w:sz w:val="21"/>
                <w:szCs w:val="21"/>
                <w:highlight w:val="none"/>
              </w:rPr>
            </w:pPr>
          </w:p>
        </w:tc>
        <w:tc>
          <w:tcPr>
            <w:tcW w:w="151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400" w:lineRule="exact"/>
              <w:jc w:val="center"/>
              <w:rPr>
                <w:rFonts w:hint="eastAsia" w:ascii="宋体" w:hAnsi="宋体" w:eastAsia="宋体" w:cs="宋体"/>
                <w:color w:val="auto"/>
                <w:sz w:val="21"/>
                <w:szCs w:val="21"/>
                <w:highlight w:val="none"/>
              </w:rPr>
            </w:pPr>
          </w:p>
        </w:tc>
      </w:tr>
      <w:bookmarkEnd w:id="70"/>
    </w:tbl>
    <w:p>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pPr>
        <w:snapToGrid w:val="0"/>
        <w:spacing w:line="360" w:lineRule="auto"/>
        <w:rPr>
          <w:rFonts w:hint="eastAsia" w:ascii="宋体" w:hAnsi="宋体" w:eastAsia="宋体" w:cs="宋体"/>
          <w:color w:val="auto"/>
          <w:sz w:val="21"/>
          <w:szCs w:val="21"/>
          <w:highlight w:val="none"/>
          <w:lang w:eastAsia="zh-CN"/>
        </w:rPr>
      </w:pPr>
    </w:p>
    <w:p>
      <w:pPr>
        <w:snapToGrid w:val="0"/>
        <w:spacing w:line="360" w:lineRule="auto"/>
        <w:rPr>
          <w:rFonts w:hint="eastAsia" w:ascii="宋体" w:hAnsi="宋体" w:eastAsia="宋体" w:cs="宋体"/>
          <w:color w:val="auto"/>
          <w:sz w:val="21"/>
          <w:szCs w:val="21"/>
          <w:highlight w:val="none"/>
          <w:lang w:eastAsia="zh-CN"/>
        </w:rPr>
      </w:pPr>
    </w:p>
    <w:p>
      <w:pPr>
        <w:snapToGrid w:val="0"/>
        <w:spacing w:line="360" w:lineRule="auto"/>
        <w:rPr>
          <w:rFonts w:hint="eastAsia" w:ascii="宋体" w:hAnsi="宋体" w:eastAsia="宋体" w:cs="宋体"/>
          <w:color w:val="auto"/>
          <w:sz w:val="21"/>
          <w:szCs w:val="21"/>
          <w:highlight w:val="none"/>
          <w:lang w:eastAsia="zh-CN"/>
        </w:rPr>
      </w:pPr>
    </w:p>
    <w:p>
      <w:pPr>
        <w:snapToGrid w:val="0"/>
        <w:spacing w:line="360" w:lineRule="auto"/>
        <w:rPr>
          <w:rFonts w:hint="eastAsia" w:ascii="宋体" w:hAnsi="宋体" w:eastAsia="宋体" w:cs="宋体"/>
          <w:color w:val="auto"/>
          <w:sz w:val="21"/>
          <w:szCs w:val="21"/>
          <w:highlight w:val="none"/>
          <w:lang w:eastAsia="zh-CN"/>
        </w:rPr>
      </w:pPr>
    </w:p>
    <w:p>
      <w:pPr>
        <w:snapToGrid w:val="0"/>
        <w:spacing w:line="360" w:lineRule="auto"/>
        <w:rPr>
          <w:rFonts w:hint="eastAsia" w:ascii="宋体" w:hAnsi="宋体" w:eastAsia="宋体" w:cs="宋体"/>
          <w:color w:val="auto"/>
          <w:sz w:val="21"/>
          <w:szCs w:val="21"/>
          <w:highlight w:val="none"/>
          <w:lang w:eastAsia="zh-CN"/>
        </w:rPr>
      </w:pPr>
    </w:p>
    <w:p>
      <w:pPr>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响应人</w:t>
      </w:r>
      <w:r>
        <w:rPr>
          <w:rFonts w:hint="eastAsia" w:ascii="宋体" w:hAnsi="宋体" w:eastAsia="宋体" w:cs="宋体"/>
          <w:color w:val="auto"/>
          <w:sz w:val="21"/>
          <w:szCs w:val="21"/>
          <w:highlight w:val="none"/>
        </w:rPr>
        <w:t>名称（公章）：</w:t>
      </w:r>
    </w:p>
    <w:p>
      <w:pPr>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法定代表人或代理人（签字或盖章）：_______________________</w:t>
      </w:r>
    </w:p>
    <w:p>
      <w:pPr>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日期：______年    月    日</w:t>
      </w:r>
    </w:p>
    <w:p>
      <w:pPr>
        <w:spacing w:line="360" w:lineRule="auto"/>
        <w:jc w:val="both"/>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br w:type="page"/>
      </w:r>
      <w:r>
        <w:rPr>
          <w:rFonts w:hint="eastAsia" w:ascii="宋体" w:hAnsi="宋体" w:eastAsia="宋体" w:cs="宋体"/>
          <w:b/>
          <w:bCs w:val="0"/>
          <w:color w:val="auto"/>
          <w:kern w:val="2"/>
          <w:sz w:val="21"/>
          <w:szCs w:val="21"/>
          <w:highlight w:val="none"/>
          <w:lang w:val="en-US" w:eastAsia="zh-CN" w:bidi="ar-SA"/>
        </w:rPr>
        <w:t xml:space="preserve">附件十二:    </w:t>
      </w:r>
      <w:r>
        <w:rPr>
          <w:rFonts w:hint="eastAsia" w:ascii="宋体" w:hAnsi="宋体" w:eastAsia="宋体" w:cs="宋体"/>
          <w:b/>
          <w:bCs/>
          <w:color w:val="auto"/>
          <w:sz w:val="21"/>
          <w:szCs w:val="21"/>
          <w:highlight w:val="none"/>
          <w:lang w:val="en-US" w:eastAsia="zh-CN"/>
        </w:rPr>
        <w:t xml:space="preserve">                      </w:t>
      </w:r>
    </w:p>
    <w:p>
      <w:pPr>
        <w:spacing w:line="36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相关业绩案例一览表</w:t>
      </w:r>
    </w:p>
    <w:p>
      <w:pPr>
        <w:snapToGrid w:val="0"/>
        <w:spacing w:line="360" w:lineRule="auto"/>
        <w:jc w:val="center"/>
        <w:rPr>
          <w:rFonts w:hint="eastAsia" w:ascii="宋体" w:hAnsi="宋体" w:eastAsia="宋体" w:cs="宋体"/>
          <w:b/>
          <w:color w:val="auto"/>
          <w:sz w:val="21"/>
          <w:szCs w:val="21"/>
          <w:highlight w:val="none"/>
        </w:rPr>
      </w:pPr>
    </w:p>
    <w:tbl>
      <w:tblPr>
        <w:tblStyle w:val="24"/>
        <w:tblW w:w="0" w:type="auto"/>
        <w:jc w:val="center"/>
        <w:tblLayout w:type="fixed"/>
        <w:tblCellMar>
          <w:top w:w="0" w:type="dxa"/>
          <w:left w:w="108" w:type="dxa"/>
          <w:bottom w:w="0" w:type="dxa"/>
          <w:right w:w="108" w:type="dxa"/>
        </w:tblCellMar>
      </w:tblPr>
      <w:tblGrid>
        <w:gridCol w:w="1279"/>
        <w:gridCol w:w="1727"/>
        <w:gridCol w:w="1476"/>
        <w:gridCol w:w="1198"/>
        <w:gridCol w:w="1730"/>
        <w:gridCol w:w="1597"/>
      </w:tblGrid>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年度</w:t>
            </w:r>
          </w:p>
        </w:tc>
        <w:tc>
          <w:tcPr>
            <w:tcW w:w="172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项目建设单位</w:t>
            </w:r>
          </w:p>
        </w:tc>
        <w:tc>
          <w:tcPr>
            <w:tcW w:w="147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项目名称</w:t>
            </w:r>
          </w:p>
        </w:tc>
        <w:tc>
          <w:tcPr>
            <w:tcW w:w="1198"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合同金额</w:t>
            </w:r>
          </w:p>
        </w:tc>
        <w:tc>
          <w:tcPr>
            <w:tcW w:w="173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单位地址</w:t>
            </w:r>
          </w:p>
        </w:tc>
        <w:tc>
          <w:tcPr>
            <w:tcW w:w="15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w:t>
            </w: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ind w:hanging="523"/>
              <w:jc w:val="center"/>
              <w:textAlignment w:val="auto"/>
              <w:rPr>
                <w:rFonts w:hint="eastAsia" w:ascii="宋体" w:hAnsi="宋体" w:eastAsia="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ind w:hanging="523"/>
              <w:jc w:val="center"/>
              <w:textAlignment w:val="auto"/>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tabs>
                <w:tab w:val="left" w:pos="9765"/>
              </w:tabs>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auto"/>
                <w:sz w:val="21"/>
                <w:szCs w:val="21"/>
                <w:highlight w:val="none"/>
              </w:rPr>
            </w:pPr>
          </w:p>
        </w:tc>
      </w:tr>
    </w:tbl>
    <w:p>
      <w:pPr>
        <w:tabs>
          <w:tab w:val="left" w:pos="9765"/>
        </w:tabs>
        <w:autoSpaceDE w:val="0"/>
        <w:autoSpaceDN w:val="0"/>
        <w:adjustRightInd w:val="0"/>
        <w:snapToGrid w:val="0"/>
        <w:spacing w:line="360" w:lineRule="auto"/>
        <w:ind w:firstLine="31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注：根据评分办法要求</w:t>
      </w:r>
      <w:r>
        <w:rPr>
          <w:rFonts w:hint="eastAsia" w:ascii="宋体" w:hAnsi="宋体" w:eastAsia="宋体" w:cs="宋体"/>
          <w:color w:val="auto"/>
          <w:sz w:val="21"/>
          <w:szCs w:val="21"/>
          <w:highlight w:val="none"/>
          <w:lang w:eastAsia="zh-CN"/>
        </w:rPr>
        <w:t>提供材料</w:t>
      </w:r>
      <w:r>
        <w:rPr>
          <w:rFonts w:hint="eastAsia" w:ascii="宋体" w:hAnsi="宋体" w:eastAsia="宋体" w:cs="宋体"/>
          <w:color w:val="auto"/>
          <w:sz w:val="21"/>
          <w:szCs w:val="21"/>
          <w:highlight w:val="none"/>
        </w:rPr>
        <w:t>。</w:t>
      </w:r>
    </w:p>
    <w:p>
      <w:pPr>
        <w:snapToGrid w:val="0"/>
        <w:spacing w:line="360" w:lineRule="auto"/>
        <w:rPr>
          <w:rFonts w:hint="eastAsia" w:ascii="宋体" w:hAnsi="宋体" w:eastAsia="宋体" w:cs="宋体"/>
          <w:color w:val="auto"/>
          <w:sz w:val="21"/>
          <w:szCs w:val="21"/>
          <w:highlight w:val="none"/>
        </w:rPr>
      </w:pPr>
    </w:p>
    <w:p>
      <w:pPr>
        <w:snapToGrid w:val="0"/>
        <w:spacing w:line="360" w:lineRule="auto"/>
        <w:ind w:firstLine="420" w:firstLineChars="200"/>
        <w:rPr>
          <w:rFonts w:hint="eastAsia" w:ascii="宋体" w:hAnsi="宋体" w:eastAsia="宋体" w:cs="宋体"/>
          <w:color w:val="auto"/>
          <w:kern w:val="0"/>
          <w:sz w:val="21"/>
          <w:szCs w:val="21"/>
          <w:highlight w:val="none"/>
        </w:rPr>
      </w:pPr>
    </w:p>
    <w:p>
      <w:pPr>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响应人</w:t>
      </w:r>
      <w:r>
        <w:rPr>
          <w:rFonts w:hint="eastAsia" w:ascii="宋体" w:hAnsi="宋体" w:eastAsia="宋体" w:cs="宋体"/>
          <w:color w:val="auto"/>
          <w:kern w:val="0"/>
          <w:sz w:val="21"/>
          <w:szCs w:val="21"/>
          <w:highlight w:val="none"/>
        </w:rPr>
        <w:t>名称（公章）：</w:t>
      </w:r>
    </w:p>
    <w:p>
      <w:pPr>
        <w:snapToGrid w:val="0"/>
        <w:spacing w:line="360" w:lineRule="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    法定代表人或代理人（签字或盖章）：_______________________</w:t>
      </w:r>
    </w:p>
    <w:p>
      <w:pPr>
        <w:snapToGrid w:val="0"/>
        <w:spacing w:line="360" w:lineRule="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 </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日期：______年    月    日</w:t>
      </w:r>
    </w:p>
    <w:p>
      <w:pPr>
        <w:snapToGrid w:val="0"/>
        <w:spacing w:line="360" w:lineRule="auto"/>
        <w:rPr>
          <w:rFonts w:hint="eastAsia" w:ascii="宋体" w:hAnsi="宋体" w:eastAsia="宋体" w:cs="宋体"/>
          <w:color w:val="auto"/>
          <w:sz w:val="21"/>
          <w:szCs w:val="21"/>
          <w:highlight w:val="none"/>
        </w:rPr>
      </w:pPr>
    </w:p>
    <w:p>
      <w:pPr>
        <w:snapToGrid w:val="0"/>
        <w:spacing w:line="360" w:lineRule="auto"/>
        <w:rPr>
          <w:rFonts w:hint="eastAsia" w:ascii="宋体" w:hAnsi="宋体" w:eastAsia="宋体" w:cs="宋体"/>
          <w:color w:val="auto"/>
          <w:sz w:val="21"/>
          <w:szCs w:val="21"/>
          <w:highlight w:val="none"/>
        </w:rPr>
      </w:pPr>
    </w:p>
    <w:p>
      <w:pPr>
        <w:snapToGrid w:val="0"/>
        <w:spacing w:line="360" w:lineRule="auto"/>
        <w:rPr>
          <w:rFonts w:hint="eastAsia" w:ascii="宋体" w:hAnsi="宋体" w:eastAsia="宋体" w:cs="宋体"/>
          <w:color w:val="auto"/>
          <w:sz w:val="21"/>
          <w:szCs w:val="21"/>
          <w:highlight w:val="none"/>
        </w:rPr>
      </w:pPr>
    </w:p>
    <w:p>
      <w:pPr>
        <w:pStyle w:val="23"/>
        <w:rPr>
          <w:rFonts w:hint="eastAsia" w:ascii="宋体" w:hAnsi="宋体" w:eastAsia="宋体" w:cs="宋体"/>
          <w:b/>
          <w:color w:val="auto"/>
          <w:kern w:val="0"/>
          <w:sz w:val="21"/>
          <w:szCs w:val="21"/>
          <w:highlight w:val="none"/>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1"/>
          <w:szCs w:val="21"/>
          <w:highlight w:val="none"/>
        </w:rPr>
        <w:t xml:space="preserve">         </w:t>
      </w:r>
    </w:p>
    <w:p>
      <w:pPr>
        <w:spacing w:line="560" w:lineRule="exact"/>
        <w:jc w:val="both"/>
        <w:rPr>
          <w:rFonts w:hint="eastAsia" w:ascii="宋体" w:hAnsi="宋体" w:eastAsia="宋体" w:cs="宋体"/>
          <w:b/>
          <w:bCs w:val="0"/>
          <w:color w:val="auto"/>
          <w:kern w:val="2"/>
          <w:sz w:val="21"/>
          <w:szCs w:val="21"/>
          <w:highlight w:val="none"/>
          <w:lang w:val="en-US" w:eastAsia="zh-CN" w:bidi="ar-SA"/>
        </w:rPr>
      </w:pPr>
      <w:r>
        <w:rPr>
          <w:rFonts w:hint="eastAsia" w:ascii="宋体" w:hAnsi="宋体" w:eastAsia="宋体" w:cs="宋体"/>
          <w:b/>
          <w:bCs w:val="0"/>
          <w:color w:val="auto"/>
          <w:kern w:val="2"/>
          <w:sz w:val="21"/>
          <w:szCs w:val="21"/>
          <w:highlight w:val="none"/>
          <w:lang w:val="en-US" w:eastAsia="zh-CN" w:bidi="ar-SA"/>
        </w:rPr>
        <w:t xml:space="preserve">附件十二: </w:t>
      </w:r>
    </w:p>
    <w:p>
      <w:pPr>
        <w:spacing w:line="560" w:lineRule="exact"/>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其他证明材料</w:t>
      </w:r>
    </w:p>
    <w:p>
      <w:pPr>
        <w:spacing w:line="560" w:lineRule="exact"/>
        <w:rPr>
          <w:rFonts w:hint="eastAsia" w:ascii="宋体" w:hAnsi="宋体" w:eastAsia="宋体" w:cs="宋体"/>
          <w:b/>
          <w:color w:val="auto"/>
          <w:kern w:val="0"/>
          <w:sz w:val="21"/>
          <w:szCs w:val="21"/>
          <w:highlight w:val="none"/>
        </w:rPr>
      </w:pPr>
    </w:p>
    <w:p>
      <w:pPr>
        <w:spacing w:line="560" w:lineRule="exact"/>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内容：响应人认为需要提供的其它说明和资料（格式自拟）</w:t>
      </w:r>
    </w:p>
    <w:p>
      <w:pPr>
        <w:spacing w:line="560" w:lineRule="exact"/>
        <w:rPr>
          <w:rFonts w:hint="eastAsia" w:ascii="宋体" w:hAnsi="宋体" w:eastAsia="宋体" w:cs="宋体"/>
          <w:color w:val="auto"/>
          <w:sz w:val="21"/>
          <w:szCs w:val="21"/>
          <w:highlight w:val="none"/>
        </w:rPr>
      </w:pPr>
    </w:p>
    <w:p>
      <w:pPr>
        <w:rPr>
          <w:rFonts w:hint="eastAsia" w:ascii="宋体" w:hAnsi="宋体" w:cs="宋体"/>
          <w:b/>
          <w:color w:val="auto"/>
          <w:sz w:val="21"/>
          <w:szCs w:val="21"/>
          <w:highlight w:val="none"/>
        </w:rPr>
      </w:pPr>
    </w:p>
    <w:bookmarkEnd w:id="67"/>
    <w:bookmarkEnd w:id="68"/>
    <w:p>
      <w:pPr>
        <w:rPr>
          <w:rFonts w:hint="eastAsia" w:ascii="宋体" w:hAnsi="宋体" w:cs="宋体"/>
          <w:color w:val="auto"/>
          <w:sz w:val="21"/>
          <w:szCs w:val="21"/>
          <w:highlight w:val="none"/>
        </w:rPr>
      </w:pPr>
    </w:p>
    <w:p>
      <w:pPr>
        <w:pStyle w:val="7"/>
        <w:rPr>
          <w:rFonts w:hint="eastAsia" w:ascii="宋体" w:hAnsi="宋体" w:cs="宋体"/>
          <w:color w:val="auto"/>
          <w:sz w:val="21"/>
          <w:szCs w:val="21"/>
          <w:highlight w:val="none"/>
        </w:rPr>
      </w:pPr>
    </w:p>
    <w:p>
      <w:pPr>
        <w:rPr>
          <w:rFonts w:hint="eastAsia" w:ascii="宋体" w:hAnsi="宋体" w:cs="宋体"/>
          <w:color w:val="auto"/>
          <w:highlight w:val="none"/>
        </w:rPr>
      </w:pPr>
    </w:p>
    <w:p>
      <w:pPr>
        <w:rPr>
          <w:rFonts w:ascii="宋体" w:hAnsi="宋体" w:cs="宋体"/>
          <w:color w:val="auto"/>
          <w:highlight w:val="none"/>
        </w:rPr>
      </w:pPr>
    </w:p>
    <w:p>
      <w:pPr>
        <w:pStyle w:val="7"/>
        <w:ind w:left="560"/>
        <w:rPr>
          <w:rFonts w:ascii="宋体" w:hAnsi="宋体" w:cs="宋体"/>
          <w:color w:val="auto"/>
          <w:highlight w:val="none"/>
        </w:rPr>
      </w:pPr>
    </w:p>
    <w:p>
      <w:pPr>
        <w:rPr>
          <w:color w:val="auto"/>
          <w:highlight w:val="none"/>
        </w:rPr>
      </w:pPr>
    </w:p>
    <w:sectPr>
      <w:headerReference r:id="rId3" w:type="default"/>
      <w:footerReference r:id="rId4" w:type="default"/>
      <w:pgSz w:w="11906" w:h="16838"/>
      <w:pgMar w:top="1440" w:right="1803" w:bottom="1440" w:left="1803" w:header="851" w:footer="992" w:gutter="0"/>
      <w:cols w:space="0" w:num="1"/>
      <w:rtlGutter w:val="0"/>
      <w:docGrid w:type="lines" w:linePitch="39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monospace">
    <w:altName w:val="Segoe Print"/>
    <w:panose1 w:val="00000000000000000000"/>
    <w:charset w:val="00"/>
    <w:family w:val="auto"/>
    <w:pitch w:val="default"/>
    <w:sig w:usb0="00000000" w:usb1="00000000" w:usb2="00000000" w:usb3="00000000" w:csb0="0000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PMingLiU">
    <w:altName w:val="PMingLiU-ExtB"/>
    <w:panose1 w:val="02020500000000000000"/>
    <w:charset w:val="88"/>
    <w:family w:val="auto"/>
    <w:pitch w:val="default"/>
    <w:sig w:usb0="00000000" w:usb1="00000000" w:usb2="00000016" w:usb3="00000000" w:csb0="00100001" w:csb1="00000000"/>
  </w:font>
  <w:font w:name="SourceHanSansCN-Regular">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line="14" w:lineRule="auto"/>
      <w:rPr>
        <w:rFonts w:hint="default"/>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32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32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C58E39"/>
    <w:multiLevelType w:val="singleLevel"/>
    <w:tmpl w:val="FEC58E39"/>
    <w:lvl w:ilvl="0" w:tentative="0">
      <w:start w:val="1"/>
      <w:numFmt w:val="decimal"/>
      <w:suff w:val="nothing"/>
      <w:lvlText w:val="%1、"/>
      <w:lvlJc w:val="left"/>
    </w:lvl>
  </w:abstractNum>
  <w:abstractNum w:abstractNumId="1">
    <w:nsid w:val="130373D6"/>
    <w:multiLevelType w:val="singleLevel"/>
    <w:tmpl w:val="130373D6"/>
    <w:lvl w:ilvl="0" w:tentative="0">
      <w:start w:val="3"/>
      <w:numFmt w:val="decimal"/>
      <w:suff w:val="space"/>
      <w:lvlText w:val="%1)"/>
      <w:lvlJc w:val="left"/>
    </w:lvl>
  </w:abstractNum>
  <w:abstractNum w:abstractNumId="2">
    <w:nsid w:val="267D4772"/>
    <w:multiLevelType w:val="singleLevel"/>
    <w:tmpl w:val="267D4772"/>
    <w:lvl w:ilvl="0" w:tentative="0">
      <w:start w:val="1"/>
      <w:numFmt w:val="decimal"/>
      <w:suff w:val="nothing"/>
      <w:lvlText w:val="%1、"/>
      <w:lvlJc w:val="left"/>
    </w:lvl>
  </w:abstractNum>
  <w:abstractNum w:abstractNumId="3">
    <w:nsid w:val="4B9B0D78"/>
    <w:multiLevelType w:val="singleLevel"/>
    <w:tmpl w:val="4B9B0D78"/>
    <w:lvl w:ilvl="0" w:tentative="0">
      <w:start w:val="1"/>
      <w:numFmt w:val="chineseCounting"/>
      <w:suff w:val="nothing"/>
      <w:lvlText w:val="%1、"/>
      <w:lvlJc w:val="left"/>
      <w:rPr>
        <w:rFonts w:hint="eastAsia"/>
      </w:rPr>
    </w:lvl>
  </w:abstractNum>
  <w:abstractNum w:abstractNumId="4">
    <w:nsid w:val="741F3B91"/>
    <w:multiLevelType w:val="singleLevel"/>
    <w:tmpl w:val="741F3B91"/>
    <w:lvl w:ilvl="0" w:tentative="0">
      <w:start w:val="6"/>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98"/>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dhZDQ1MWE2Y2Q4M2NlYjY0ODliNzBjNDY4OGEzY2QifQ=="/>
  </w:docVars>
  <w:rsids>
    <w:rsidRoot w:val="0021074D"/>
    <w:rsid w:val="00002BA4"/>
    <w:rsid w:val="00002E15"/>
    <w:rsid w:val="000106B0"/>
    <w:rsid w:val="00011584"/>
    <w:rsid w:val="00013654"/>
    <w:rsid w:val="00017104"/>
    <w:rsid w:val="000200EF"/>
    <w:rsid w:val="00025610"/>
    <w:rsid w:val="000373D7"/>
    <w:rsid w:val="00076791"/>
    <w:rsid w:val="00084C5A"/>
    <w:rsid w:val="00094AB4"/>
    <w:rsid w:val="000951B3"/>
    <w:rsid w:val="000C60DE"/>
    <w:rsid w:val="000D554B"/>
    <w:rsid w:val="000D69A2"/>
    <w:rsid w:val="000E3807"/>
    <w:rsid w:val="000E6335"/>
    <w:rsid w:val="000E73E4"/>
    <w:rsid w:val="000F598C"/>
    <w:rsid w:val="000F7234"/>
    <w:rsid w:val="0010216D"/>
    <w:rsid w:val="00105EDA"/>
    <w:rsid w:val="0014787E"/>
    <w:rsid w:val="0018447D"/>
    <w:rsid w:val="001870BD"/>
    <w:rsid w:val="001C23C9"/>
    <w:rsid w:val="001C3D86"/>
    <w:rsid w:val="0021074D"/>
    <w:rsid w:val="0022181C"/>
    <w:rsid w:val="00227390"/>
    <w:rsid w:val="00231D05"/>
    <w:rsid w:val="002356E5"/>
    <w:rsid w:val="002529AC"/>
    <w:rsid w:val="002929B1"/>
    <w:rsid w:val="002A012B"/>
    <w:rsid w:val="002A6926"/>
    <w:rsid w:val="002B7EB5"/>
    <w:rsid w:val="002C044B"/>
    <w:rsid w:val="002C61F7"/>
    <w:rsid w:val="002F31C2"/>
    <w:rsid w:val="002F5923"/>
    <w:rsid w:val="002F6097"/>
    <w:rsid w:val="00302DB7"/>
    <w:rsid w:val="00303F39"/>
    <w:rsid w:val="00332C73"/>
    <w:rsid w:val="003412A9"/>
    <w:rsid w:val="00347791"/>
    <w:rsid w:val="003751C9"/>
    <w:rsid w:val="003752C8"/>
    <w:rsid w:val="00382DEE"/>
    <w:rsid w:val="003A68CB"/>
    <w:rsid w:val="003B5B59"/>
    <w:rsid w:val="003D06CC"/>
    <w:rsid w:val="003E780F"/>
    <w:rsid w:val="003F6B06"/>
    <w:rsid w:val="00414C9E"/>
    <w:rsid w:val="00421720"/>
    <w:rsid w:val="0042217C"/>
    <w:rsid w:val="00422C86"/>
    <w:rsid w:val="004277C9"/>
    <w:rsid w:val="00433338"/>
    <w:rsid w:val="004409F3"/>
    <w:rsid w:val="00465D77"/>
    <w:rsid w:val="00482303"/>
    <w:rsid w:val="0048381F"/>
    <w:rsid w:val="004B3721"/>
    <w:rsid w:val="004B651F"/>
    <w:rsid w:val="004C7D06"/>
    <w:rsid w:val="004E0381"/>
    <w:rsid w:val="004E0E35"/>
    <w:rsid w:val="004F1E95"/>
    <w:rsid w:val="004F3F31"/>
    <w:rsid w:val="0053109E"/>
    <w:rsid w:val="00551124"/>
    <w:rsid w:val="00585284"/>
    <w:rsid w:val="005B3C68"/>
    <w:rsid w:val="005B52F8"/>
    <w:rsid w:val="005C48B2"/>
    <w:rsid w:val="005D26A7"/>
    <w:rsid w:val="005E40A2"/>
    <w:rsid w:val="00604184"/>
    <w:rsid w:val="00612345"/>
    <w:rsid w:val="00620680"/>
    <w:rsid w:val="006438CA"/>
    <w:rsid w:val="006574AE"/>
    <w:rsid w:val="0066155C"/>
    <w:rsid w:val="00661709"/>
    <w:rsid w:val="006646DA"/>
    <w:rsid w:val="00676F9F"/>
    <w:rsid w:val="006824A9"/>
    <w:rsid w:val="00686BC2"/>
    <w:rsid w:val="006A7667"/>
    <w:rsid w:val="006C5A49"/>
    <w:rsid w:val="006E11D6"/>
    <w:rsid w:val="006F490D"/>
    <w:rsid w:val="006F4AC0"/>
    <w:rsid w:val="00704336"/>
    <w:rsid w:val="00716DB0"/>
    <w:rsid w:val="00717EF7"/>
    <w:rsid w:val="0072023A"/>
    <w:rsid w:val="00723EB2"/>
    <w:rsid w:val="00730727"/>
    <w:rsid w:val="00734AA9"/>
    <w:rsid w:val="00753494"/>
    <w:rsid w:val="00755662"/>
    <w:rsid w:val="00774F35"/>
    <w:rsid w:val="00780E5A"/>
    <w:rsid w:val="007A3600"/>
    <w:rsid w:val="007A4895"/>
    <w:rsid w:val="007B4B0C"/>
    <w:rsid w:val="007B672F"/>
    <w:rsid w:val="007B6F4B"/>
    <w:rsid w:val="007F3ADE"/>
    <w:rsid w:val="0081627E"/>
    <w:rsid w:val="00862735"/>
    <w:rsid w:val="008906CE"/>
    <w:rsid w:val="008A77B9"/>
    <w:rsid w:val="008B76BC"/>
    <w:rsid w:val="008E53EE"/>
    <w:rsid w:val="00904F50"/>
    <w:rsid w:val="009229FD"/>
    <w:rsid w:val="009245D5"/>
    <w:rsid w:val="00942451"/>
    <w:rsid w:val="00963625"/>
    <w:rsid w:val="009701AD"/>
    <w:rsid w:val="00970342"/>
    <w:rsid w:val="00986461"/>
    <w:rsid w:val="00997DCF"/>
    <w:rsid w:val="00997E18"/>
    <w:rsid w:val="009B71C6"/>
    <w:rsid w:val="009C1B9A"/>
    <w:rsid w:val="009D0EA3"/>
    <w:rsid w:val="009E0568"/>
    <w:rsid w:val="009E43BE"/>
    <w:rsid w:val="009E60F1"/>
    <w:rsid w:val="009F3437"/>
    <w:rsid w:val="009F6F61"/>
    <w:rsid w:val="00A00F09"/>
    <w:rsid w:val="00A367A2"/>
    <w:rsid w:val="00A36C5F"/>
    <w:rsid w:val="00A37326"/>
    <w:rsid w:val="00A41817"/>
    <w:rsid w:val="00A43731"/>
    <w:rsid w:val="00A5515A"/>
    <w:rsid w:val="00A87F74"/>
    <w:rsid w:val="00A94B5F"/>
    <w:rsid w:val="00AA5405"/>
    <w:rsid w:val="00AB17D2"/>
    <w:rsid w:val="00AB58B6"/>
    <w:rsid w:val="00AB68FF"/>
    <w:rsid w:val="00AB7A64"/>
    <w:rsid w:val="00AE2443"/>
    <w:rsid w:val="00AF2A9A"/>
    <w:rsid w:val="00AF36F3"/>
    <w:rsid w:val="00AF569C"/>
    <w:rsid w:val="00B03FD9"/>
    <w:rsid w:val="00B13133"/>
    <w:rsid w:val="00B439E8"/>
    <w:rsid w:val="00B614BC"/>
    <w:rsid w:val="00BB47D0"/>
    <w:rsid w:val="00BB6AC5"/>
    <w:rsid w:val="00BC1660"/>
    <w:rsid w:val="00BC3EF1"/>
    <w:rsid w:val="00BD4B14"/>
    <w:rsid w:val="00C005B8"/>
    <w:rsid w:val="00C21BBD"/>
    <w:rsid w:val="00C27E5C"/>
    <w:rsid w:val="00C350DD"/>
    <w:rsid w:val="00C358E7"/>
    <w:rsid w:val="00C36637"/>
    <w:rsid w:val="00C50689"/>
    <w:rsid w:val="00C65970"/>
    <w:rsid w:val="00C66CAB"/>
    <w:rsid w:val="00C91A0F"/>
    <w:rsid w:val="00CA16DA"/>
    <w:rsid w:val="00CC30EE"/>
    <w:rsid w:val="00CE2052"/>
    <w:rsid w:val="00D035F9"/>
    <w:rsid w:val="00D07C77"/>
    <w:rsid w:val="00D121E8"/>
    <w:rsid w:val="00D2485B"/>
    <w:rsid w:val="00D35848"/>
    <w:rsid w:val="00D571E2"/>
    <w:rsid w:val="00D70F2C"/>
    <w:rsid w:val="00D7112A"/>
    <w:rsid w:val="00D75378"/>
    <w:rsid w:val="00DA25B7"/>
    <w:rsid w:val="00DB56C8"/>
    <w:rsid w:val="00DC18D7"/>
    <w:rsid w:val="00DE53B8"/>
    <w:rsid w:val="00E02ADA"/>
    <w:rsid w:val="00E03BDF"/>
    <w:rsid w:val="00E17468"/>
    <w:rsid w:val="00E31B56"/>
    <w:rsid w:val="00E44F89"/>
    <w:rsid w:val="00E604CC"/>
    <w:rsid w:val="00E61572"/>
    <w:rsid w:val="00E72BC7"/>
    <w:rsid w:val="00E75C0A"/>
    <w:rsid w:val="00E81F23"/>
    <w:rsid w:val="00E8250B"/>
    <w:rsid w:val="00E95A26"/>
    <w:rsid w:val="00EB4932"/>
    <w:rsid w:val="00EB71DE"/>
    <w:rsid w:val="00EF179F"/>
    <w:rsid w:val="00EF1A83"/>
    <w:rsid w:val="00EF45D1"/>
    <w:rsid w:val="00F1217C"/>
    <w:rsid w:val="00F16B0A"/>
    <w:rsid w:val="00F43332"/>
    <w:rsid w:val="00F51155"/>
    <w:rsid w:val="00FA6E1C"/>
    <w:rsid w:val="00FB382E"/>
    <w:rsid w:val="00FC0CF1"/>
    <w:rsid w:val="00FC5F5C"/>
    <w:rsid w:val="00FF37AC"/>
    <w:rsid w:val="00FF49EA"/>
    <w:rsid w:val="01031F52"/>
    <w:rsid w:val="012B64AF"/>
    <w:rsid w:val="012C2953"/>
    <w:rsid w:val="0139295A"/>
    <w:rsid w:val="013A7770"/>
    <w:rsid w:val="013B0DE8"/>
    <w:rsid w:val="01693089"/>
    <w:rsid w:val="01875DDB"/>
    <w:rsid w:val="018A0A9E"/>
    <w:rsid w:val="01AF0E8E"/>
    <w:rsid w:val="01B37292"/>
    <w:rsid w:val="01BB58C6"/>
    <w:rsid w:val="01C56A7B"/>
    <w:rsid w:val="01D803E5"/>
    <w:rsid w:val="01E42342"/>
    <w:rsid w:val="01F51FC8"/>
    <w:rsid w:val="01FA63D6"/>
    <w:rsid w:val="020E3E06"/>
    <w:rsid w:val="02151639"/>
    <w:rsid w:val="02165E90"/>
    <w:rsid w:val="02294958"/>
    <w:rsid w:val="023B148D"/>
    <w:rsid w:val="023F2D81"/>
    <w:rsid w:val="02401036"/>
    <w:rsid w:val="02405F8A"/>
    <w:rsid w:val="02443CCC"/>
    <w:rsid w:val="025E37B8"/>
    <w:rsid w:val="026B1259"/>
    <w:rsid w:val="029562D6"/>
    <w:rsid w:val="029C3542"/>
    <w:rsid w:val="02A12ECC"/>
    <w:rsid w:val="02B01361"/>
    <w:rsid w:val="02B40E52"/>
    <w:rsid w:val="02B67B5D"/>
    <w:rsid w:val="02BF23FC"/>
    <w:rsid w:val="02D2752A"/>
    <w:rsid w:val="02D50DC8"/>
    <w:rsid w:val="02F32FFC"/>
    <w:rsid w:val="02FC6355"/>
    <w:rsid w:val="030376E3"/>
    <w:rsid w:val="032064E7"/>
    <w:rsid w:val="03253AFD"/>
    <w:rsid w:val="03314594"/>
    <w:rsid w:val="03324A94"/>
    <w:rsid w:val="03383B60"/>
    <w:rsid w:val="033B7245"/>
    <w:rsid w:val="0342358E"/>
    <w:rsid w:val="03450399"/>
    <w:rsid w:val="035937A7"/>
    <w:rsid w:val="0377712B"/>
    <w:rsid w:val="038E286B"/>
    <w:rsid w:val="039F417D"/>
    <w:rsid w:val="03BD3D36"/>
    <w:rsid w:val="03C74BB5"/>
    <w:rsid w:val="03DD1969"/>
    <w:rsid w:val="03E27618"/>
    <w:rsid w:val="03E8147D"/>
    <w:rsid w:val="04025BED"/>
    <w:rsid w:val="0402799B"/>
    <w:rsid w:val="04243DB5"/>
    <w:rsid w:val="043C2B5E"/>
    <w:rsid w:val="046B6FD8"/>
    <w:rsid w:val="04706FFA"/>
    <w:rsid w:val="0486237A"/>
    <w:rsid w:val="049A5E25"/>
    <w:rsid w:val="049D76C3"/>
    <w:rsid w:val="04BD63C8"/>
    <w:rsid w:val="04C50C9E"/>
    <w:rsid w:val="04C517EC"/>
    <w:rsid w:val="04E452F2"/>
    <w:rsid w:val="04E7434C"/>
    <w:rsid w:val="04F727F4"/>
    <w:rsid w:val="04F82B4C"/>
    <w:rsid w:val="05085485"/>
    <w:rsid w:val="052754BA"/>
    <w:rsid w:val="05544226"/>
    <w:rsid w:val="055C30DB"/>
    <w:rsid w:val="055C757F"/>
    <w:rsid w:val="055E32F7"/>
    <w:rsid w:val="0575419C"/>
    <w:rsid w:val="057743B8"/>
    <w:rsid w:val="058C7C0B"/>
    <w:rsid w:val="05976809"/>
    <w:rsid w:val="059B1E55"/>
    <w:rsid w:val="05B9099C"/>
    <w:rsid w:val="05BB6053"/>
    <w:rsid w:val="05C173E2"/>
    <w:rsid w:val="05CF7D50"/>
    <w:rsid w:val="05CF7E3D"/>
    <w:rsid w:val="05DE36F7"/>
    <w:rsid w:val="05E05ABA"/>
    <w:rsid w:val="05E25CD6"/>
    <w:rsid w:val="05EF03F3"/>
    <w:rsid w:val="05F872A7"/>
    <w:rsid w:val="06073258"/>
    <w:rsid w:val="060A1AF1"/>
    <w:rsid w:val="062C0CFF"/>
    <w:rsid w:val="062D1F31"/>
    <w:rsid w:val="062F259D"/>
    <w:rsid w:val="06500E91"/>
    <w:rsid w:val="06530982"/>
    <w:rsid w:val="06540256"/>
    <w:rsid w:val="065D435E"/>
    <w:rsid w:val="06624721"/>
    <w:rsid w:val="066270CD"/>
    <w:rsid w:val="06764670"/>
    <w:rsid w:val="067F3525"/>
    <w:rsid w:val="068C79F0"/>
    <w:rsid w:val="069614D8"/>
    <w:rsid w:val="0696261C"/>
    <w:rsid w:val="06A74829"/>
    <w:rsid w:val="06B06C69"/>
    <w:rsid w:val="06B52E78"/>
    <w:rsid w:val="06BC7207"/>
    <w:rsid w:val="06BF2030"/>
    <w:rsid w:val="06C16F1D"/>
    <w:rsid w:val="06D7523A"/>
    <w:rsid w:val="06E067A2"/>
    <w:rsid w:val="06E269F9"/>
    <w:rsid w:val="06E635A4"/>
    <w:rsid w:val="06F35FE2"/>
    <w:rsid w:val="06F757B1"/>
    <w:rsid w:val="06F832D7"/>
    <w:rsid w:val="06FB3F9B"/>
    <w:rsid w:val="0700276E"/>
    <w:rsid w:val="070074E8"/>
    <w:rsid w:val="07133C6D"/>
    <w:rsid w:val="07153E89"/>
    <w:rsid w:val="071F7265"/>
    <w:rsid w:val="073360BD"/>
    <w:rsid w:val="073562D9"/>
    <w:rsid w:val="07500F03"/>
    <w:rsid w:val="075C5614"/>
    <w:rsid w:val="0781151E"/>
    <w:rsid w:val="07952724"/>
    <w:rsid w:val="07B436A2"/>
    <w:rsid w:val="07B60D64"/>
    <w:rsid w:val="07B728D5"/>
    <w:rsid w:val="07C05BA3"/>
    <w:rsid w:val="07CC0E71"/>
    <w:rsid w:val="07E15B19"/>
    <w:rsid w:val="07EA5A9F"/>
    <w:rsid w:val="081D2FF5"/>
    <w:rsid w:val="082223BA"/>
    <w:rsid w:val="082602EA"/>
    <w:rsid w:val="08316AA1"/>
    <w:rsid w:val="0835382C"/>
    <w:rsid w:val="08596EA4"/>
    <w:rsid w:val="085D1644"/>
    <w:rsid w:val="087F3918"/>
    <w:rsid w:val="0896666F"/>
    <w:rsid w:val="08A2799E"/>
    <w:rsid w:val="08B51480"/>
    <w:rsid w:val="08CB2A51"/>
    <w:rsid w:val="08D13DE0"/>
    <w:rsid w:val="08E1799B"/>
    <w:rsid w:val="08E43B13"/>
    <w:rsid w:val="08F37783"/>
    <w:rsid w:val="092C1016"/>
    <w:rsid w:val="093736D9"/>
    <w:rsid w:val="093C74AB"/>
    <w:rsid w:val="094D1A62"/>
    <w:rsid w:val="094D790A"/>
    <w:rsid w:val="095011A8"/>
    <w:rsid w:val="09510A7C"/>
    <w:rsid w:val="0969226A"/>
    <w:rsid w:val="09737646"/>
    <w:rsid w:val="09825CE4"/>
    <w:rsid w:val="099077F7"/>
    <w:rsid w:val="099866AB"/>
    <w:rsid w:val="09991536"/>
    <w:rsid w:val="099B4719"/>
    <w:rsid w:val="09A84B40"/>
    <w:rsid w:val="09A908B8"/>
    <w:rsid w:val="09AD4EE5"/>
    <w:rsid w:val="09BC05EC"/>
    <w:rsid w:val="09C35E1E"/>
    <w:rsid w:val="09E0252C"/>
    <w:rsid w:val="09E07D73"/>
    <w:rsid w:val="09F2400E"/>
    <w:rsid w:val="09F26730"/>
    <w:rsid w:val="0A4070EB"/>
    <w:rsid w:val="0A73369B"/>
    <w:rsid w:val="0A7C1280"/>
    <w:rsid w:val="0A8D2AD1"/>
    <w:rsid w:val="0AC57974"/>
    <w:rsid w:val="0ACB117B"/>
    <w:rsid w:val="0B0E30C9"/>
    <w:rsid w:val="0B525866"/>
    <w:rsid w:val="0B54281D"/>
    <w:rsid w:val="0B632B59"/>
    <w:rsid w:val="0B7A42BB"/>
    <w:rsid w:val="0B7A49AF"/>
    <w:rsid w:val="0B8B296C"/>
    <w:rsid w:val="0B8F6A6E"/>
    <w:rsid w:val="0B9F01C5"/>
    <w:rsid w:val="0BB7186B"/>
    <w:rsid w:val="0BD32A58"/>
    <w:rsid w:val="0BE12AC7"/>
    <w:rsid w:val="0BE24933"/>
    <w:rsid w:val="0BE80BE6"/>
    <w:rsid w:val="0BFB73FA"/>
    <w:rsid w:val="0C032502"/>
    <w:rsid w:val="0C0A4DBA"/>
    <w:rsid w:val="0C0D15D3"/>
    <w:rsid w:val="0C3B1C9C"/>
    <w:rsid w:val="0C452B1A"/>
    <w:rsid w:val="0C45315D"/>
    <w:rsid w:val="0C593243"/>
    <w:rsid w:val="0C632FA1"/>
    <w:rsid w:val="0C6C00A7"/>
    <w:rsid w:val="0C85560D"/>
    <w:rsid w:val="0C9A2F86"/>
    <w:rsid w:val="0CB21541"/>
    <w:rsid w:val="0CBB4B8B"/>
    <w:rsid w:val="0CC003F3"/>
    <w:rsid w:val="0CCC323C"/>
    <w:rsid w:val="0CCE0D62"/>
    <w:rsid w:val="0CDE073E"/>
    <w:rsid w:val="0CE24F43"/>
    <w:rsid w:val="0CE36F6D"/>
    <w:rsid w:val="0CE57E5A"/>
    <w:rsid w:val="0D0E115E"/>
    <w:rsid w:val="0D1A3FA7"/>
    <w:rsid w:val="0D1F511A"/>
    <w:rsid w:val="0D23750C"/>
    <w:rsid w:val="0D2F537E"/>
    <w:rsid w:val="0D411534"/>
    <w:rsid w:val="0D413ECD"/>
    <w:rsid w:val="0D674D12"/>
    <w:rsid w:val="0D9020B8"/>
    <w:rsid w:val="0DA25D4B"/>
    <w:rsid w:val="0DAF6ED4"/>
    <w:rsid w:val="0DBD4932"/>
    <w:rsid w:val="0DC932D7"/>
    <w:rsid w:val="0DDA1988"/>
    <w:rsid w:val="0DDA54E4"/>
    <w:rsid w:val="0DDF0D4D"/>
    <w:rsid w:val="0DE325EB"/>
    <w:rsid w:val="0DED16BC"/>
    <w:rsid w:val="0DEF71E2"/>
    <w:rsid w:val="0DF915B5"/>
    <w:rsid w:val="0E0F03BC"/>
    <w:rsid w:val="0E100F06"/>
    <w:rsid w:val="0E417312"/>
    <w:rsid w:val="0E460DCC"/>
    <w:rsid w:val="0E4C2A14"/>
    <w:rsid w:val="0E4D5CB6"/>
    <w:rsid w:val="0E4F3623"/>
    <w:rsid w:val="0E5B6625"/>
    <w:rsid w:val="0E6E204C"/>
    <w:rsid w:val="0E721BC1"/>
    <w:rsid w:val="0E7616B1"/>
    <w:rsid w:val="0E7B0A75"/>
    <w:rsid w:val="0E7C4213"/>
    <w:rsid w:val="0E7E2314"/>
    <w:rsid w:val="0E80608C"/>
    <w:rsid w:val="0E807E3A"/>
    <w:rsid w:val="0E83577D"/>
    <w:rsid w:val="0E87741A"/>
    <w:rsid w:val="0EB43F87"/>
    <w:rsid w:val="0EC00601"/>
    <w:rsid w:val="0ED62150"/>
    <w:rsid w:val="0EDB7766"/>
    <w:rsid w:val="0EF83E74"/>
    <w:rsid w:val="0EFB3964"/>
    <w:rsid w:val="0EFC7E02"/>
    <w:rsid w:val="0F013C70"/>
    <w:rsid w:val="0F017246"/>
    <w:rsid w:val="0F0942D3"/>
    <w:rsid w:val="0F183056"/>
    <w:rsid w:val="0F19203C"/>
    <w:rsid w:val="0F3550C8"/>
    <w:rsid w:val="0F374FA5"/>
    <w:rsid w:val="0F44273B"/>
    <w:rsid w:val="0F4B5F43"/>
    <w:rsid w:val="0F9D4A1B"/>
    <w:rsid w:val="0FBA55CD"/>
    <w:rsid w:val="0FC240A4"/>
    <w:rsid w:val="0FC93A62"/>
    <w:rsid w:val="0FE74F56"/>
    <w:rsid w:val="0FF667D4"/>
    <w:rsid w:val="0FFB6814"/>
    <w:rsid w:val="100E1475"/>
    <w:rsid w:val="102E1B18"/>
    <w:rsid w:val="1055163A"/>
    <w:rsid w:val="105A634B"/>
    <w:rsid w:val="105E5089"/>
    <w:rsid w:val="10681196"/>
    <w:rsid w:val="106E5E2B"/>
    <w:rsid w:val="1077526D"/>
    <w:rsid w:val="107A4E46"/>
    <w:rsid w:val="10847F21"/>
    <w:rsid w:val="10986E0E"/>
    <w:rsid w:val="10993435"/>
    <w:rsid w:val="10AC13BA"/>
    <w:rsid w:val="10B4201D"/>
    <w:rsid w:val="10C262FB"/>
    <w:rsid w:val="10C5247C"/>
    <w:rsid w:val="10C62E11"/>
    <w:rsid w:val="10CD6A9B"/>
    <w:rsid w:val="10D4446D"/>
    <w:rsid w:val="10DB3A4D"/>
    <w:rsid w:val="10DE353E"/>
    <w:rsid w:val="10E16120"/>
    <w:rsid w:val="10FB7C4C"/>
    <w:rsid w:val="110D3A2D"/>
    <w:rsid w:val="1122342A"/>
    <w:rsid w:val="112476E9"/>
    <w:rsid w:val="112A0332"/>
    <w:rsid w:val="112F6741"/>
    <w:rsid w:val="1131366D"/>
    <w:rsid w:val="115B6EB8"/>
    <w:rsid w:val="115F6E97"/>
    <w:rsid w:val="117F654A"/>
    <w:rsid w:val="118440E5"/>
    <w:rsid w:val="11872970"/>
    <w:rsid w:val="11877731"/>
    <w:rsid w:val="11987B90"/>
    <w:rsid w:val="11A26319"/>
    <w:rsid w:val="11A9434E"/>
    <w:rsid w:val="11AA604C"/>
    <w:rsid w:val="11CB69F9"/>
    <w:rsid w:val="11E728AF"/>
    <w:rsid w:val="11ED1C8A"/>
    <w:rsid w:val="120C272B"/>
    <w:rsid w:val="120E2D56"/>
    <w:rsid w:val="12237479"/>
    <w:rsid w:val="123478B9"/>
    <w:rsid w:val="1241020F"/>
    <w:rsid w:val="1248522F"/>
    <w:rsid w:val="124B69B1"/>
    <w:rsid w:val="12582C57"/>
    <w:rsid w:val="12624760"/>
    <w:rsid w:val="12A85BB1"/>
    <w:rsid w:val="12C02EFB"/>
    <w:rsid w:val="12CC6BF9"/>
    <w:rsid w:val="12E0359D"/>
    <w:rsid w:val="12E979F2"/>
    <w:rsid w:val="12EC411F"/>
    <w:rsid w:val="12F62DC0"/>
    <w:rsid w:val="12FF6496"/>
    <w:rsid w:val="13113756"/>
    <w:rsid w:val="13223BB5"/>
    <w:rsid w:val="132F62D2"/>
    <w:rsid w:val="134B7403"/>
    <w:rsid w:val="1354616E"/>
    <w:rsid w:val="13763F01"/>
    <w:rsid w:val="137F5CDC"/>
    <w:rsid w:val="13931091"/>
    <w:rsid w:val="13960100"/>
    <w:rsid w:val="139A5D9F"/>
    <w:rsid w:val="13B3480E"/>
    <w:rsid w:val="13BB61BD"/>
    <w:rsid w:val="13CB7DA9"/>
    <w:rsid w:val="13CC3B21"/>
    <w:rsid w:val="13DE568F"/>
    <w:rsid w:val="13DF1AA7"/>
    <w:rsid w:val="13E946D3"/>
    <w:rsid w:val="13F00A54"/>
    <w:rsid w:val="13F05A62"/>
    <w:rsid w:val="13F13588"/>
    <w:rsid w:val="14091461"/>
    <w:rsid w:val="140F5D81"/>
    <w:rsid w:val="14180B15"/>
    <w:rsid w:val="14186D67"/>
    <w:rsid w:val="14232BF3"/>
    <w:rsid w:val="145A6A37"/>
    <w:rsid w:val="14646D36"/>
    <w:rsid w:val="14667AD2"/>
    <w:rsid w:val="14674FBB"/>
    <w:rsid w:val="146975C2"/>
    <w:rsid w:val="14720225"/>
    <w:rsid w:val="147A532B"/>
    <w:rsid w:val="14A01236"/>
    <w:rsid w:val="14B40ECF"/>
    <w:rsid w:val="14CE4728"/>
    <w:rsid w:val="14D233B9"/>
    <w:rsid w:val="14E639DF"/>
    <w:rsid w:val="14EE3E39"/>
    <w:rsid w:val="14EE5CB3"/>
    <w:rsid w:val="14F9536D"/>
    <w:rsid w:val="15000AB2"/>
    <w:rsid w:val="15000D6C"/>
    <w:rsid w:val="150572EB"/>
    <w:rsid w:val="150F3CC6"/>
    <w:rsid w:val="151E25C1"/>
    <w:rsid w:val="153E5921"/>
    <w:rsid w:val="1548367B"/>
    <w:rsid w:val="1557566D"/>
    <w:rsid w:val="156404B5"/>
    <w:rsid w:val="15654D7C"/>
    <w:rsid w:val="15747FCD"/>
    <w:rsid w:val="15891CCA"/>
    <w:rsid w:val="159D7523"/>
    <w:rsid w:val="15B25D27"/>
    <w:rsid w:val="15B34F99"/>
    <w:rsid w:val="15C23F41"/>
    <w:rsid w:val="15CC74E3"/>
    <w:rsid w:val="16133C89"/>
    <w:rsid w:val="163F682C"/>
    <w:rsid w:val="164E7445"/>
    <w:rsid w:val="16576278"/>
    <w:rsid w:val="16617715"/>
    <w:rsid w:val="16775FC6"/>
    <w:rsid w:val="168A13B6"/>
    <w:rsid w:val="168B7CC4"/>
    <w:rsid w:val="168E0A94"/>
    <w:rsid w:val="169166B8"/>
    <w:rsid w:val="169923E1"/>
    <w:rsid w:val="16B014D8"/>
    <w:rsid w:val="16B8213B"/>
    <w:rsid w:val="16CD3E38"/>
    <w:rsid w:val="16E84102"/>
    <w:rsid w:val="16EA261B"/>
    <w:rsid w:val="16FB0A86"/>
    <w:rsid w:val="1700420E"/>
    <w:rsid w:val="1767603B"/>
    <w:rsid w:val="176F3141"/>
    <w:rsid w:val="17761B8F"/>
    <w:rsid w:val="177C3D24"/>
    <w:rsid w:val="1782376C"/>
    <w:rsid w:val="179901BE"/>
    <w:rsid w:val="179C1139"/>
    <w:rsid w:val="17A0154D"/>
    <w:rsid w:val="17A11F06"/>
    <w:rsid w:val="17B2302E"/>
    <w:rsid w:val="17BB2119"/>
    <w:rsid w:val="17C5300E"/>
    <w:rsid w:val="17CD5B13"/>
    <w:rsid w:val="17D64F6F"/>
    <w:rsid w:val="17F453F5"/>
    <w:rsid w:val="17F51140"/>
    <w:rsid w:val="18153CE9"/>
    <w:rsid w:val="182C2DE0"/>
    <w:rsid w:val="18381F0C"/>
    <w:rsid w:val="183D3240"/>
    <w:rsid w:val="184C3483"/>
    <w:rsid w:val="18515D6A"/>
    <w:rsid w:val="185F6D12"/>
    <w:rsid w:val="18797C0E"/>
    <w:rsid w:val="187F02D7"/>
    <w:rsid w:val="1881137E"/>
    <w:rsid w:val="189176D0"/>
    <w:rsid w:val="18952734"/>
    <w:rsid w:val="18BB5EFD"/>
    <w:rsid w:val="18BD27D8"/>
    <w:rsid w:val="18C43019"/>
    <w:rsid w:val="18DA0A8E"/>
    <w:rsid w:val="18E45A8E"/>
    <w:rsid w:val="19061883"/>
    <w:rsid w:val="190D49C0"/>
    <w:rsid w:val="191C0440"/>
    <w:rsid w:val="193208CA"/>
    <w:rsid w:val="194859F8"/>
    <w:rsid w:val="194B7296"/>
    <w:rsid w:val="194C028D"/>
    <w:rsid w:val="195B1BCF"/>
    <w:rsid w:val="198B7357"/>
    <w:rsid w:val="199E7D0E"/>
    <w:rsid w:val="19B66BAA"/>
    <w:rsid w:val="19BD6F2B"/>
    <w:rsid w:val="19DB0D66"/>
    <w:rsid w:val="19DD6F2A"/>
    <w:rsid w:val="19E57411"/>
    <w:rsid w:val="19F57B7D"/>
    <w:rsid w:val="1A5B5BFF"/>
    <w:rsid w:val="1A635396"/>
    <w:rsid w:val="1A795BA2"/>
    <w:rsid w:val="1A8D6144"/>
    <w:rsid w:val="1A9F3D3E"/>
    <w:rsid w:val="1AE202DB"/>
    <w:rsid w:val="1AEA4DB5"/>
    <w:rsid w:val="1AFB6468"/>
    <w:rsid w:val="1B3F2E2B"/>
    <w:rsid w:val="1B610FF3"/>
    <w:rsid w:val="1B634D6B"/>
    <w:rsid w:val="1B6603B7"/>
    <w:rsid w:val="1B7C1C1D"/>
    <w:rsid w:val="1B926E6E"/>
    <w:rsid w:val="1B99078D"/>
    <w:rsid w:val="1BAF66D6"/>
    <w:rsid w:val="1BB17591"/>
    <w:rsid w:val="1BC5023D"/>
    <w:rsid w:val="1BC71638"/>
    <w:rsid w:val="1BCD48DA"/>
    <w:rsid w:val="1BD65D41"/>
    <w:rsid w:val="1BDA68A3"/>
    <w:rsid w:val="1BDB6FF7"/>
    <w:rsid w:val="1BDF745A"/>
    <w:rsid w:val="1BFD3B34"/>
    <w:rsid w:val="1C000E63"/>
    <w:rsid w:val="1C024584"/>
    <w:rsid w:val="1C1348CB"/>
    <w:rsid w:val="1C1E0C92"/>
    <w:rsid w:val="1C204054"/>
    <w:rsid w:val="1C33298F"/>
    <w:rsid w:val="1C3C6993"/>
    <w:rsid w:val="1C3D380E"/>
    <w:rsid w:val="1C453CCA"/>
    <w:rsid w:val="1C580648"/>
    <w:rsid w:val="1C646FED"/>
    <w:rsid w:val="1C6920AA"/>
    <w:rsid w:val="1C6963B1"/>
    <w:rsid w:val="1C700A05"/>
    <w:rsid w:val="1C78131E"/>
    <w:rsid w:val="1C7A2024"/>
    <w:rsid w:val="1C7A6810"/>
    <w:rsid w:val="1C881E18"/>
    <w:rsid w:val="1C913B5A"/>
    <w:rsid w:val="1CA61238"/>
    <w:rsid w:val="1CAC2742"/>
    <w:rsid w:val="1CAC629E"/>
    <w:rsid w:val="1CB3762C"/>
    <w:rsid w:val="1CBC0BD7"/>
    <w:rsid w:val="1CC14DE8"/>
    <w:rsid w:val="1CDF48C5"/>
    <w:rsid w:val="1CEE68B6"/>
    <w:rsid w:val="1CF10155"/>
    <w:rsid w:val="1CF540E9"/>
    <w:rsid w:val="1D005C48"/>
    <w:rsid w:val="1D13456F"/>
    <w:rsid w:val="1D326CE4"/>
    <w:rsid w:val="1D397816"/>
    <w:rsid w:val="1D564223"/>
    <w:rsid w:val="1D5D57EA"/>
    <w:rsid w:val="1D747175"/>
    <w:rsid w:val="1D750D86"/>
    <w:rsid w:val="1D81597C"/>
    <w:rsid w:val="1D8D4321"/>
    <w:rsid w:val="1D90787A"/>
    <w:rsid w:val="1D927B8A"/>
    <w:rsid w:val="1DB25B36"/>
    <w:rsid w:val="1DB63878"/>
    <w:rsid w:val="1DCB4E4A"/>
    <w:rsid w:val="1DE04A45"/>
    <w:rsid w:val="1DE804EE"/>
    <w:rsid w:val="1DEE51F9"/>
    <w:rsid w:val="1DF20628"/>
    <w:rsid w:val="1DF83E91"/>
    <w:rsid w:val="1E043956"/>
    <w:rsid w:val="1E4405FF"/>
    <w:rsid w:val="1E52684A"/>
    <w:rsid w:val="1E6908EA"/>
    <w:rsid w:val="1E982F7E"/>
    <w:rsid w:val="1EB06519"/>
    <w:rsid w:val="1EB15DEE"/>
    <w:rsid w:val="1EC975DB"/>
    <w:rsid w:val="1ECA74F2"/>
    <w:rsid w:val="1ED24DBD"/>
    <w:rsid w:val="1EE40CB1"/>
    <w:rsid w:val="1EE44CF9"/>
    <w:rsid w:val="1EEC5078"/>
    <w:rsid w:val="1EFC175F"/>
    <w:rsid w:val="1F046865"/>
    <w:rsid w:val="1F094B9B"/>
    <w:rsid w:val="1F0C74C8"/>
    <w:rsid w:val="1F120F82"/>
    <w:rsid w:val="1F182290"/>
    <w:rsid w:val="1F2C31B8"/>
    <w:rsid w:val="1F574BE7"/>
    <w:rsid w:val="1F5E70A8"/>
    <w:rsid w:val="1F642262"/>
    <w:rsid w:val="1F8E0D35"/>
    <w:rsid w:val="1FA616CA"/>
    <w:rsid w:val="1FC01181"/>
    <w:rsid w:val="1FC41FE7"/>
    <w:rsid w:val="1FC87893"/>
    <w:rsid w:val="1FEA1CC2"/>
    <w:rsid w:val="1FFC578E"/>
    <w:rsid w:val="20153232"/>
    <w:rsid w:val="201A21E9"/>
    <w:rsid w:val="201A6FA8"/>
    <w:rsid w:val="2023579A"/>
    <w:rsid w:val="2028607A"/>
    <w:rsid w:val="2036562D"/>
    <w:rsid w:val="2040567B"/>
    <w:rsid w:val="20413730"/>
    <w:rsid w:val="204F39F3"/>
    <w:rsid w:val="20693F5D"/>
    <w:rsid w:val="20694C22"/>
    <w:rsid w:val="20717F2A"/>
    <w:rsid w:val="20971013"/>
    <w:rsid w:val="209964C7"/>
    <w:rsid w:val="20A57BD4"/>
    <w:rsid w:val="20BB527F"/>
    <w:rsid w:val="20BB60A5"/>
    <w:rsid w:val="20CB63F5"/>
    <w:rsid w:val="20E444D7"/>
    <w:rsid w:val="20E57FD0"/>
    <w:rsid w:val="20EC0462"/>
    <w:rsid w:val="20F152D0"/>
    <w:rsid w:val="20F360D6"/>
    <w:rsid w:val="20F5782E"/>
    <w:rsid w:val="21085F87"/>
    <w:rsid w:val="211014F1"/>
    <w:rsid w:val="21244F9D"/>
    <w:rsid w:val="213F5933"/>
    <w:rsid w:val="21537630"/>
    <w:rsid w:val="21627873"/>
    <w:rsid w:val="2193092A"/>
    <w:rsid w:val="21EA7F94"/>
    <w:rsid w:val="21FE522F"/>
    <w:rsid w:val="22145011"/>
    <w:rsid w:val="221943D6"/>
    <w:rsid w:val="221D2944"/>
    <w:rsid w:val="22342FBD"/>
    <w:rsid w:val="224C47AB"/>
    <w:rsid w:val="225A1D47"/>
    <w:rsid w:val="22937614"/>
    <w:rsid w:val="22941CAE"/>
    <w:rsid w:val="22AE1669"/>
    <w:rsid w:val="22B64134"/>
    <w:rsid w:val="22D36189"/>
    <w:rsid w:val="22D36C7A"/>
    <w:rsid w:val="22EF35BE"/>
    <w:rsid w:val="22F15352"/>
    <w:rsid w:val="231B7000"/>
    <w:rsid w:val="23243032"/>
    <w:rsid w:val="2329689A"/>
    <w:rsid w:val="23393FA7"/>
    <w:rsid w:val="233F60BE"/>
    <w:rsid w:val="2341710C"/>
    <w:rsid w:val="23641680"/>
    <w:rsid w:val="23671171"/>
    <w:rsid w:val="236B6EB3"/>
    <w:rsid w:val="2378512C"/>
    <w:rsid w:val="238241FC"/>
    <w:rsid w:val="23A35ADA"/>
    <w:rsid w:val="23B1063E"/>
    <w:rsid w:val="23B343B6"/>
    <w:rsid w:val="23BC770E"/>
    <w:rsid w:val="23C14D25"/>
    <w:rsid w:val="23C30C83"/>
    <w:rsid w:val="23D66502"/>
    <w:rsid w:val="23DC0C09"/>
    <w:rsid w:val="23F65B92"/>
    <w:rsid w:val="23F81386"/>
    <w:rsid w:val="240115C5"/>
    <w:rsid w:val="24076B87"/>
    <w:rsid w:val="24101808"/>
    <w:rsid w:val="24253506"/>
    <w:rsid w:val="242770AF"/>
    <w:rsid w:val="242B36A1"/>
    <w:rsid w:val="243A0633"/>
    <w:rsid w:val="24480FA2"/>
    <w:rsid w:val="246749AD"/>
    <w:rsid w:val="2468668A"/>
    <w:rsid w:val="2471674B"/>
    <w:rsid w:val="24830B6A"/>
    <w:rsid w:val="248605A3"/>
    <w:rsid w:val="2488066E"/>
    <w:rsid w:val="24885842"/>
    <w:rsid w:val="2491705B"/>
    <w:rsid w:val="24A3442A"/>
    <w:rsid w:val="24C820E3"/>
    <w:rsid w:val="24E408F9"/>
    <w:rsid w:val="24F5112A"/>
    <w:rsid w:val="25021151"/>
    <w:rsid w:val="25227A45"/>
    <w:rsid w:val="252C0E63"/>
    <w:rsid w:val="25537BFE"/>
    <w:rsid w:val="25640526"/>
    <w:rsid w:val="25761B3F"/>
    <w:rsid w:val="25826736"/>
    <w:rsid w:val="25873D4C"/>
    <w:rsid w:val="258A21B9"/>
    <w:rsid w:val="25973F8F"/>
    <w:rsid w:val="25A42208"/>
    <w:rsid w:val="25B85CB3"/>
    <w:rsid w:val="25C40AFC"/>
    <w:rsid w:val="25C51B20"/>
    <w:rsid w:val="25CB59E7"/>
    <w:rsid w:val="25D0564E"/>
    <w:rsid w:val="25DD6812"/>
    <w:rsid w:val="25F60649"/>
    <w:rsid w:val="25FC30AD"/>
    <w:rsid w:val="26040EF9"/>
    <w:rsid w:val="260E1D77"/>
    <w:rsid w:val="260E522A"/>
    <w:rsid w:val="26307D7D"/>
    <w:rsid w:val="26345C82"/>
    <w:rsid w:val="26412928"/>
    <w:rsid w:val="264137C8"/>
    <w:rsid w:val="26431A21"/>
    <w:rsid w:val="26555986"/>
    <w:rsid w:val="267F646A"/>
    <w:rsid w:val="2698292A"/>
    <w:rsid w:val="26AB5818"/>
    <w:rsid w:val="26AF0164"/>
    <w:rsid w:val="26D76693"/>
    <w:rsid w:val="26E1123A"/>
    <w:rsid w:val="26ED7BDF"/>
    <w:rsid w:val="27054F28"/>
    <w:rsid w:val="273B3040"/>
    <w:rsid w:val="27410762"/>
    <w:rsid w:val="27A410BB"/>
    <w:rsid w:val="27BE67A3"/>
    <w:rsid w:val="27C97FD7"/>
    <w:rsid w:val="27CC3C98"/>
    <w:rsid w:val="27D74B17"/>
    <w:rsid w:val="27E12C8A"/>
    <w:rsid w:val="27EF6969"/>
    <w:rsid w:val="280457BE"/>
    <w:rsid w:val="280C4BDA"/>
    <w:rsid w:val="28125B4F"/>
    <w:rsid w:val="281318C7"/>
    <w:rsid w:val="285A12A4"/>
    <w:rsid w:val="285A5748"/>
    <w:rsid w:val="287E4F92"/>
    <w:rsid w:val="28885E11"/>
    <w:rsid w:val="28CF092A"/>
    <w:rsid w:val="28DE0127"/>
    <w:rsid w:val="28E04AA5"/>
    <w:rsid w:val="28FB2A87"/>
    <w:rsid w:val="290A4A78"/>
    <w:rsid w:val="29223C0A"/>
    <w:rsid w:val="292B5D48"/>
    <w:rsid w:val="294F2DD3"/>
    <w:rsid w:val="295353C5"/>
    <w:rsid w:val="29544969"/>
    <w:rsid w:val="297C7E08"/>
    <w:rsid w:val="299D58EC"/>
    <w:rsid w:val="29A079F1"/>
    <w:rsid w:val="29AC02DC"/>
    <w:rsid w:val="29C16A0B"/>
    <w:rsid w:val="29D82DC8"/>
    <w:rsid w:val="2A047CEA"/>
    <w:rsid w:val="2A2953D2"/>
    <w:rsid w:val="2A3873C3"/>
    <w:rsid w:val="2A570191"/>
    <w:rsid w:val="2A681DCF"/>
    <w:rsid w:val="2A8925EE"/>
    <w:rsid w:val="2A8D5961"/>
    <w:rsid w:val="2AA36F32"/>
    <w:rsid w:val="2AB70C30"/>
    <w:rsid w:val="2ABC7FF4"/>
    <w:rsid w:val="2AC25AAD"/>
    <w:rsid w:val="2AE05752"/>
    <w:rsid w:val="2AE30C02"/>
    <w:rsid w:val="2AEB1C54"/>
    <w:rsid w:val="2AF21D4B"/>
    <w:rsid w:val="2B011EB4"/>
    <w:rsid w:val="2B083876"/>
    <w:rsid w:val="2B16350E"/>
    <w:rsid w:val="2B1A2001"/>
    <w:rsid w:val="2B277B63"/>
    <w:rsid w:val="2B2B6F28"/>
    <w:rsid w:val="2B485D2C"/>
    <w:rsid w:val="2B4A3852"/>
    <w:rsid w:val="2B51698E"/>
    <w:rsid w:val="2B5446D0"/>
    <w:rsid w:val="2B8B1F0B"/>
    <w:rsid w:val="2BAB5457"/>
    <w:rsid w:val="2BD262FE"/>
    <w:rsid w:val="2BD33847"/>
    <w:rsid w:val="2BD61589"/>
    <w:rsid w:val="2BF6277A"/>
    <w:rsid w:val="2C0E487F"/>
    <w:rsid w:val="2C206C76"/>
    <w:rsid w:val="2C251BC9"/>
    <w:rsid w:val="2C320A55"/>
    <w:rsid w:val="2C352792"/>
    <w:rsid w:val="2C3A1B18"/>
    <w:rsid w:val="2C453E2B"/>
    <w:rsid w:val="2C46226B"/>
    <w:rsid w:val="2C55425C"/>
    <w:rsid w:val="2C564365"/>
    <w:rsid w:val="2C58554A"/>
    <w:rsid w:val="2C5A3F68"/>
    <w:rsid w:val="2C640943"/>
    <w:rsid w:val="2C7843EE"/>
    <w:rsid w:val="2C8B2374"/>
    <w:rsid w:val="2C92725E"/>
    <w:rsid w:val="2C9A4429"/>
    <w:rsid w:val="2CAA1544"/>
    <w:rsid w:val="2CAD4098"/>
    <w:rsid w:val="2CB05936"/>
    <w:rsid w:val="2CB92FBA"/>
    <w:rsid w:val="2CE42449"/>
    <w:rsid w:val="2CF901CB"/>
    <w:rsid w:val="2D2370D4"/>
    <w:rsid w:val="2D265BF9"/>
    <w:rsid w:val="2D2740C8"/>
    <w:rsid w:val="2D2F71A3"/>
    <w:rsid w:val="2D306A77"/>
    <w:rsid w:val="2D340315"/>
    <w:rsid w:val="2D3B78F6"/>
    <w:rsid w:val="2D486F18"/>
    <w:rsid w:val="2D574004"/>
    <w:rsid w:val="2D577458"/>
    <w:rsid w:val="2D594220"/>
    <w:rsid w:val="2D5C5ABE"/>
    <w:rsid w:val="2D6A3D37"/>
    <w:rsid w:val="2D7D7F0E"/>
    <w:rsid w:val="2D7E3C87"/>
    <w:rsid w:val="2D825525"/>
    <w:rsid w:val="2D93752A"/>
    <w:rsid w:val="2D990AC0"/>
    <w:rsid w:val="2DB17BB8"/>
    <w:rsid w:val="2DB9081B"/>
    <w:rsid w:val="2DCF44E2"/>
    <w:rsid w:val="2DD1025A"/>
    <w:rsid w:val="2DDC1CCB"/>
    <w:rsid w:val="2DDE0530"/>
    <w:rsid w:val="2E085537"/>
    <w:rsid w:val="2E0C4417"/>
    <w:rsid w:val="2E1B1D88"/>
    <w:rsid w:val="2E232138"/>
    <w:rsid w:val="2E374353"/>
    <w:rsid w:val="2E382087"/>
    <w:rsid w:val="2E3A07E4"/>
    <w:rsid w:val="2E4B1DBB"/>
    <w:rsid w:val="2E5549E7"/>
    <w:rsid w:val="2E5E3E0E"/>
    <w:rsid w:val="2E692241"/>
    <w:rsid w:val="2E6B420B"/>
    <w:rsid w:val="2E6D7F83"/>
    <w:rsid w:val="2E75396A"/>
    <w:rsid w:val="2E813A2E"/>
    <w:rsid w:val="2E8250B1"/>
    <w:rsid w:val="2E8361EB"/>
    <w:rsid w:val="2E8C5556"/>
    <w:rsid w:val="2E9229F1"/>
    <w:rsid w:val="2E941350"/>
    <w:rsid w:val="2EAB2859"/>
    <w:rsid w:val="2EC04496"/>
    <w:rsid w:val="2EFF4F8F"/>
    <w:rsid w:val="2F0852D9"/>
    <w:rsid w:val="2F1523C9"/>
    <w:rsid w:val="2F1E74CF"/>
    <w:rsid w:val="2F2B1BEC"/>
    <w:rsid w:val="2F34313F"/>
    <w:rsid w:val="2F6D69D8"/>
    <w:rsid w:val="2F6F7D2B"/>
    <w:rsid w:val="2F7C5537"/>
    <w:rsid w:val="2F833C5A"/>
    <w:rsid w:val="2F8F68D7"/>
    <w:rsid w:val="2FB11F26"/>
    <w:rsid w:val="2FC00586"/>
    <w:rsid w:val="2FDC53A2"/>
    <w:rsid w:val="2FE33D36"/>
    <w:rsid w:val="300C557A"/>
    <w:rsid w:val="30152FAF"/>
    <w:rsid w:val="3015322F"/>
    <w:rsid w:val="301A429D"/>
    <w:rsid w:val="302C4EBE"/>
    <w:rsid w:val="30360848"/>
    <w:rsid w:val="30367619"/>
    <w:rsid w:val="303845C1"/>
    <w:rsid w:val="305F6F86"/>
    <w:rsid w:val="308B46F0"/>
    <w:rsid w:val="308E5F8F"/>
    <w:rsid w:val="30913CD1"/>
    <w:rsid w:val="30A21F8F"/>
    <w:rsid w:val="30B3092F"/>
    <w:rsid w:val="30C3032E"/>
    <w:rsid w:val="30C916BD"/>
    <w:rsid w:val="30C9346B"/>
    <w:rsid w:val="30D07DE1"/>
    <w:rsid w:val="30D96948"/>
    <w:rsid w:val="30E262DA"/>
    <w:rsid w:val="30E958BB"/>
    <w:rsid w:val="30F007E1"/>
    <w:rsid w:val="30F94D68"/>
    <w:rsid w:val="3112096E"/>
    <w:rsid w:val="311C359A"/>
    <w:rsid w:val="311C7A3E"/>
    <w:rsid w:val="31210BB1"/>
    <w:rsid w:val="31374878"/>
    <w:rsid w:val="314125EF"/>
    <w:rsid w:val="3166431F"/>
    <w:rsid w:val="316F69AC"/>
    <w:rsid w:val="31773A54"/>
    <w:rsid w:val="31837ABD"/>
    <w:rsid w:val="31857392"/>
    <w:rsid w:val="3186159C"/>
    <w:rsid w:val="318D4498"/>
    <w:rsid w:val="31945827"/>
    <w:rsid w:val="319C0B7F"/>
    <w:rsid w:val="31A31F0E"/>
    <w:rsid w:val="31AA329C"/>
    <w:rsid w:val="31B1462B"/>
    <w:rsid w:val="31C61758"/>
    <w:rsid w:val="31C816DA"/>
    <w:rsid w:val="31CA56EC"/>
    <w:rsid w:val="31D831CF"/>
    <w:rsid w:val="31F2254D"/>
    <w:rsid w:val="32024E86"/>
    <w:rsid w:val="32144BB9"/>
    <w:rsid w:val="321C6951"/>
    <w:rsid w:val="321C75CA"/>
    <w:rsid w:val="32270449"/>
    <w:rsid w:val="324C7EAF"/>
    <w:rsid w:val="3267118D"/>
    <w:rsid w:val="3268123E"/>
    <w:rsid w:val="32696CB3"/>
    <w:rsid w:val="32706D71"/>
    <w:rsid w:val="32764EA2"/>
    <w:rsid w:val="329674B7"/>
    <w:rsid w:val="3299636E"/>
    <w:rsid w:val="32A24F93"/>
    <w:rsid w:val="32A95302"/>
    <w:rsid w:val="32C13713"/>
    <w:rsid w:val="32DB220F"/>
    <w:rsid w:val="32E00973"/>
    <w:rsid w:val="32EB76C8"/>
    <w:rsid w:val="32EE71B8"/>
    <w:rsid w:val="32FD11AA"/>
    <w:rsid w:val="330B29DF"/>
    <w:rsid w:val="331D76E7"/>
    <w:rsid w:val="332D769C"/>
    <w:rsid w:val="33456DAC"/>
    <w:rsid w:val="33490893"/>
    <w:rsid w:val="33603545"/>
    <w:rsid w:val="337F4D10"/>
    <w:rsid w:val="33990B5D"/>
    <w:rsid w:val="33A31D51"/>
    <w:rsid w:val="33AF6948"/>
    <w:rsid w:val="33B33157"/>
    <w:rsid w:val="33B95A18"/>
    <w:rsid w:val="33BF3D74"/>
    <w:rsid w:val="33CF6FEA"/>
    <w:rsid w:val="33D4015C"/>
    <w:rsid w:val="33DE0FDB"/>
    <w:rsid w:val="33E72714"/>
    <w:rsid w:val="33F20F2A"/>
    <w:rsid w:val="33F24A86"/>
    <w:rsid w:val="33F26834"/>
    <w:rsid w:val="33FB7DDF"/>
    <w:rsid w:val="341B3FDD"/>
    <w:rsid w:val="342F5CDB"/>
    <w:rsid w:val="343F6EE0"/>
    <w:rsid w:val="344057F2"/>
    <w:rsid w:val="34480B4A"/>
    <w:rsid w:val="34607C42"/>
    <w:rsid w:val="3472121E"/>
    <w:rsid w:val="348222AE"/>
    <w:rsid w:val="3482405C"/>
    <w:rsid w:val="34865FFF"/>
    <w:rsid w:val="3489363D"/>
    <w:rsid w:val="34A838F8"/>
    <w:rsid w:val="34BB756E"/>
    <w:rsid w:val="34C24459"/>
    <w:rsid w:val="34D50630"/>
    <w:rsid w:val="34D80120"/>
    <w:rsid w:val="34E940DB"/>
    <w:rsid w:val="35081CEA"/>
    <w:rsid w:val="35092088"/>
    <w:rsid w:val="351A4295"/>
    <w:rsid w:val="352944D8"/>
    <w:rsid w:val="35307958"/>
    <w:rsid w:val="353351EF"/>
    <w:rsid w:val="35335387"/>
    <w:rsid w:val="353D6627"/>
    <w:rsid w:val="353E3220"/>
    <w:rsid w:val="35466E38"/>
    <w:rsid w:val="35702107"/>
    <w:rsid w:val="35951B6D"/>
    <w:rsid w:val="35AE2C2F"/>
    <w:rsid w:val="35B4082B"/>
    <w:rsid w:val="35BA7826"/>
    <w:rsid w:val="35C0308E"/>
    <w:rsid w:val="35D72186"/>
    <w:rsid w:val="35E82BFF"/>
    <w:rsid w:val="35F76384"/>
    <w:rsid w:val="36012288"/>
    <w:rsid w:val="360768F8"/>
    <w:rsid w:val="360C62D3"/>
    <w:rsid w:val="361677A7"/>
    <w:rsid w:val="36226C5B"/>
    <w:rsid w:val="36462C49"/>
    <w:rsid w:val="36631C6B"/>
    <w:rsid w:val="36734C60"/>
    <w:rsid w:val="367D2D2D"/>
    <w:rsid w:val="369D7C73"/>
    <w:rsid w:val="36B42B6C"/>
    <w:rsid w:val="36D15C9E"/>
    <w:rsid w:val="36D93CDC"/>
    <w:rsid w:val="370E7E29"/>
    <w:rsid w:val="37154EA7"/>
    <w:rsid w:val="37184804"/>
    <w:rsid w:val="37265173"/>
    <w:rsid w:val="372707A0"/>
    <w:rsid w:val="373F4487"/>
    <w:rsid w:val="376E08C8"/>
    <w:rsid w:val="37731622"/>
    <w:rsid w:val="37757DAA"/>
    <w:rsid w:val="378620B5"/>
    <w:rsid w:val="379540A7"/>
    <w:rsid w:val="379B3D03"/>
    <w:rsid w:val="37B7401D"/>
    <w:rsid w:val="37C31FF8"/>
    <w:rsid w:val="37DC7A53"/>
    <w:rsid w:val="37EC020A"/>
    <w:rsid w:val="382673F4"/>
    <w:rsid w:val="382C7DC4"/>
    <w:rsid w:val="3830681D"/>
    <w:rsid w:val="38392F3B"/>
    <w:rsid w:val="383D2808"/>
    <w:rsid w:val="38427439"/>
    <w:rsid w:val="384653A1"/>
    <w:rsid w:val="38767A34"/>
    <w:rsid w:val="387D205C"/>
    <w:rsid w:val="38832151"/>
    <w:rsid w:val="388432BD"/>
    <w:rsid w:val="38A547BD"/>
    <w:rsid w:val="38EF0AEC"/>
    <w:rsid w:val="38F82B3F"/>
    <w:rsid w:val="38FE6F6D"/>
    <w:rsid w:val="391858B6"/>
    <w:rsid w:val="391D07F7"/>
    <w:rsid w:val="39257682"/>
    <w:rsid w:val="392751D2"/>
    <w:rsid w:val="3942025E"/>
    <w:rsid w:val="396E2E01"/>
    <w:rsid w:val="39A131D7"/>
    <w:rsid w:val="39B85420"/>
    <w:rsid w:val="39C80F88"/>
    <w:rsid w:val="39FC7E7C"/>
    <w:rsid w:val="3A053FB1"/>
    <w:rsid w:val="3A2A4F7A"/>
    <w:rsid w:val="3A2E128F"/>
    <w:rsid w:val="3A2E21B4"/>
    <w:rsid w:val="3A3E27D3"/>
    <w:rsid w:val="3A414072"/>
    <w:rsid w:val="3A4A73CA"/>
    <w:rsid w:val="3A575643"/>
    <w:rsid w:val="3A63223A"/>
    <w:rsid w:val="3A777CB4"/>
    <w:rsid w:val="3A804B9A"/>
    <w:rsid w:val="3A8078D6"/>
    <w:rsid w:val="3A8D69D4"/>
    <w:rsid w:val="3A900B55"/>
    <w:rsid w:val="3AAF1923"/>
    <w:rsid w:val="3AB6680E"/>
    <w:rsid w:val="3AC0143A"/>
    <w:rsid w:val="3AC3717D"/>
    <w:rsid w:val="3ACD1DA9"/>
    <w:rsid w:val="3AD9074E"/>
    <w:rsid w:val="3AD938A0"/>
    <w:rsid w:val="3B0438CA"/>
    <w:rsid w:val="3B135A0E"/>
    <w:rsid w:val="3B312DF4"/>
    <w:rsid w:val="3B392F9B"/>
    <w:rsid w:val="3B445ECE"/>
    <w:rsid w:val="3B516536"/>
    <w:rsid w:val="3B5F6EA5"/>
    <w:rsid w:val="3B8406BA"/>
    <w:rsid w:val="3B8E1539"/>
    <w:rsid w:val="3B9308FD"/>
    <w:rsid w:val="3BA0434A"/>
    <w:rsid w:val="3BAB3E99"/>
    <w:rsid w:val="3BB014AF"/>
    <w:rsid w:val="3BC67F46"/>
    <w:rsid w:val="3C015151"/>
    <w:rsid w:val="3C3C71E7"/>
    <w:rsid w:val="3C42130E"/>
    <w:rsid w:val="3C43388C"/>
    <w:rsid w:val="3C446708"/>
    <w:rsid w:val="3C534279"/>
    <w:rsid w:val="3C6B7ACC"/>
    <w:rsid w:val="3C7921E9"/>
    <w:rsid w:val="3CCF005B"/>
    <w:rsid w:val="3CE82ECA"/>
    <w:rsid w:val="3CEF6B28"/>
    <w:rsid w:val="3CF278A5"/>
    <w:rsid w:val="3D037A10"/>
    <w:rsid w:val="3D112421"/>
    <w:rsid w:val="3D146365"/>
    <w:rsid w:val="3D2008B6"/>
    <w:rsid w:val="3D22018A"/>
    <w:rsid w:val="3D2E67C7"/>
    <w:rsid w:val="3D2F28A7"/>
    <w:rsid w:val="3D363C36"/>
    <w:rsid w:val="3D372A2C"/>
    <w:rsid w:val="3D7309E6"/>
    <w:rsid w:val="3D753087"/>
    <w:rsid w:val="3D7634AA"/>
    <w:rsid w:val="3D9646D4"/>
    <w:rsid w:val="3D9D390F"/>
    <w:rsid w:val="3D9F17DB"/>
    <w:rsid w:val="3DA43295"/>
    <w:rsid w:val="3DBA4867"/>
    <w:rsid w:val="3DCC6348"/>
    <w:rsid w:val="3DE73182"/>
    <w:rsid w:val="3DFD6502"/>
    <w:rsid w:val="3DFE1799"/>
    <w:rsid w:val="3E0755F5"/>
    <w:rsid w:val="3E083824"/>
    <w:rsid w:val="3E0C4997"/>
    <w:rsid w:val="3E155F41"/>
    <w:rsid w:val="3E361D57"/>
    <w:rsid w:val="3E3D0FF4"/>
    <w:rsid w:val="3E5D4A55"/>
    <w:rsid w:val="3E6B3DB3"/>
    <w:rsid w:val="3E6E11AD"/>
    <w:rsid w:val="3E8B6203"/>
    <w:rsid w:val="3E957E30"/>
    <w:rsid w:val="3EAE65E9"/>
    <w:rsid w:val="3EAF4ABF"/>
    <w:rsid w:val="3EB43064"/>
    <w:rsid w:val="3EB92D70"/>
    <w:rsid w:val="3EB94B1E"/>
    <w:rsid w:val="3EC534C3"/>
    <w:rsid w:val="3EDE4585"/>
    <w:rsid w:val="3EEB27FE"/>
    <w:rsid w:val="3EF21DDE"/>
    <w:rsid w:val="3F067638"/>
    <w:rsid w:val="3F3B5533"/>
    <w:rsid w:val="3F3D38B8"/>
    <w:rsid w:val="3F3D5750"/>
    <w:rsid w:val="3F4B055B"/>
    <w:rsid w:val="3F4F7231"/>
    <w:rsid w:val="3F520365"/>
    <w:rsid w:val="3F54165D"/>
    <w:rsid w:val="3F5E0662"/>
    <w:rsid w:val="3F604F9A"/>
    <w:rsid w:val="3F904654"/>
    <w:rsid w:val="3F9D61EE"/>
    <w:rsid w:val="3FA44261"/>
    <w:rsid w:val="3FAF1A7E"/>
    <w:rsid w:val="3FB733DA"/>
    <w:rsid w:val="3FB84B18"/>
    <w:rsid w:val="3FCE45FA"/>
    <w:rsid w:val="3FD10984"/>
    <w:rsid w:val="3FF73B50"/>
    <w:rsid w:val="400242A3"/>
    <w:rsid w:val="40061530"/>
    <w:rsid w:val="4010076E"/>
    <w:rsid w:val="40112738"/>
    <w:rsid w:val="40155D85"/>
    <w:rsid w:val="401F4E55"/>
    <w:rsid w:val="402266F3"/>
    <w:rsid w:val="402C30CE"/>
    <w:rsid w:val="402D7572"/>
    <w:rsid w:val="402F0C61"/>
    <w:rsid w:val="40520D87"/>
    <w:rsid w:val="40523B6B"/>
    <w:rsid w:val="40532D51"/>
    <w:rsid w:val="407D3DCA"/>
    <w:rsid w:val="40833636"/>
    <w:rsid w:val="4084115C"/>
    <w:rsid w:val="408B24EB"/>
    <w:rsid w:val="40955117"/>
    <w:rsid w:val="409B299D"/>
    <w:rsid w:val="40B572CC"/>
    <w:rsid w:val="40CB25DA"/>
    <w:rsid w:val="40E439A9"/>
    <w:rsid w:val="40FF07E3"/>
    <w:rsid w:val="410A340F"/>
    <w:rsid w:val="412D5350"/>
    <w:rsid w:val="412E258A"/>
    <w:rsid w:val="413C37E5"/>
    <w:rsid w:val="413E130B"/>
    <w:rsid w:val="41432DC5"/>
    <w:rsid w:val="41605725"/>
    <w:rsid w:val="41847666"/>
    <w:rsid w:val="418F7DB9"/>
    <w:rsid w:val="41911D83"/>
    <w:rsid w:val="41AA2E44"/>
    <w:rsid w:val="41B30EB9"/>
    <w:rsid w:val="41C37A62"/>
    <w:rsid w:val="41CA0DF1"/>
    <w:rsid w:val="41CF45D2"/>
    <w:rsid w:val="41D57EC1"/>
    <w:rsid w:val="41E2317E"/>
    <w:rsid w:val="41E55C2A"/>
    <w:rsid w:val="41F52311"/>
    <w:rsid w:val="41FD11C6"/>
    <w:rsid w:val="42017A64"/>
    <w:rsid w:val="42091919"/>
    <w:rsid w:val="42170A15"/>
    <w:rsid w:val="4217543A"/>
    <w:rsid w:val="422449A5"/>
    <w:rsid w:val="422D009D"/>
    <w:rsid w:val="4230334A"/>
    <w:rsid w:val="42336996"/>
    <w:rsid w:val="423A41C8"/>
    <w:rsid w:val="42611755"/>
    <w:rsid w:val="426E3E72"/>
    <w:rsid w:val="42725710"/>
    <w:rsid w:val="427730B1"/>
    <w:rsid w:val="42962BD1"/>
    <w:rsid w:val="429B3C85"/>
    <w:rsid w:val="42A72EE0"/>
    <w:rsid w:val="42AE4A89"/>
    <w:rsid w:val="42BC4BDD"/>
    <w:rsid w:val="42BF647C"/>
    <w:rsid w:val="42E14644"/>
    <w:rsid w:val="43067209"/>
    <w:rsid w:val="43195B8C"/>
    <w:rsid w:val="433E55F2"/>
    <w:rsid w:val="434626F9"/>
    <w:rsid w:val="435619AF"/>
    <w:rsid w:val="436314FD"/>
    <w:rsid w:val="43686B13"/>
    <w:rsid w:val="436A63E7"/>
    <w:rsid w:val="436F7EA2"/>
    <w:rsid w:val="4374370A"/>
    <w:rsid w:val="438C2802"/>
    <w:rsid w:val="438D657A"/>
    <w:rsid w:val="439E68D7"/>
    <w:rsid w:val="43AA712C"/>
    <w:rsid w:val="43C024AB"/>
    <w:rsid w:val="43DB5537"/>
    <w:rsid w:val="43E97C54"/>
    <w:rsid w:val="43ED0DC6"/>
    <w:rsid w:val="43F453AD"/>
    <w:rsid w:val="43FC0886"/>
    <w:rsid w:val="43FD54AD"/>
    <w:rsid w:val="43FF3DCD"/>
    <w:rsid w:val="44022F83"/>
    <w:rsid w:val="440305EA"/>
    <w:rsid w:val="440920A4"/>
    <w:rsid w:val="44202F4A"/>
    <w:rsid w:val="44205EDD"/>
    <w:rsid w:val="442229E7"/>
    <w:rsid w:val="44270658"/>
    <w:rsid w:val="442C7B41"/>
    <w:rsid w:val="442D05C6"/>
    <w:rsid w:val="442F7D00"/>
    <w:rsid w:val="443C10EF"/>
    <w:rsid w:val="443F223E"/>
    <w:rsid w:val="44520091"/>
    <w:rsid w:val="445F6638"/>
    <w:rsid w:val="446E63AB"/>
    <w:rsid w:val="448529B1"/>
    <w:rsid w:val="449D27EC"/>
    <w:rsid w:val="44A45929"/>
    <w:rsid w:val="44AD0C81"/>
    <w:rsid w:val="44B85878"/>
    <w:rsid w:val="44C164DB"/>
    <w:rsid w:val="44D206E8"/>
    <w:rsid w:val="44DC50C3"/>
    <w:rsid w:val="44E67CEF"/>
    <w:rsid w:val="44F468B0"/>
    <w:rsid w:val="45126FAA"/>
    <w:rsid w:val="451A5BEB"/>
    <w:rsid w:val="451E1B7F"/>
    <w:rsid w:val="452151CC"/>
    <w:rsid w:val="452544E9"/>
    <w:rsid w:val="45316E9A"/>
    <w:rsid w:val="453C3DB3"/>
    <w:rsid w:val="453E79A8"/>
    <w:rsid w:val="454C7114"/>
    <w:rsid w:val="455963EA"/>
    <w:rsid w:val="455C00D8"/>
    <w:rsid w:val="4570065B"/>
    <w:rsid w:val="457572C5"/>
    <w:rsid w:val="4588349D"/>
    <w:rsid w:val="458C355D"/>
    <w:rsid w:val="45921C25"/>
    <w:rsid w:val="45B85B30"/>
    <w:rsid w:val="45D4223E"/>
    <w:rsid w:val="45E05087"/>
    <w:rsid w:val="460074D7"/>
    <w:rsid w:val="4629258A"/>
    <w:rsid w:val="464253F9"/>
    <w:rsid w:val="467031F0"/>
    <w:rsid w:val="4674757D"/>
    <w:rsid w:val="46762775"/>
    <w:rsid w:val="467679B8"/>
    <w:rsid w:val="467F664E"/>
    <w:rsid w:val="46841EB6"/>
    <w:rsid w:val="46980FF1"/>
    <w:rsid w:val="46992276"/>
    <w:rsid w:val="46AD63B2"/>
    <w:rsid w:val="46B2048A"/>
    <w:rsid w:val="46C563F1"/>
    <w:rsid w:val="46CB4810"/>
    <w:rsid w:val="46CC0D09"/>
    <w:rsid w:val="46CF3C92"/>
    <w:rsid w:val="46DE0AE4"/>
    <w:rsid w:val="46DE2CE2"/>
    <w:rsid w:val="46EB783F"/>
    <w:rsid w:val="46FE3A16"/>
    <w:rsid w:val="46FF153C"/>
    <w:rsid w:val="471F1BDF"/>
    <w:rsid w:val="47255E82"/>
    <w:rsid w:val="4729480B"/>
    <w:rsid w:val="4736741F"/>
    <w:rsid w:val="475C272B"/>
    <w:rsid w:val="479C11D6"/>
    <w:rsid w:val="479D0A65"/>
    <w:rsid w:val="47A65DAE"/>
    <w:rsid w:val="47C10059"/>
    <w:rsid w:val="47DB3D58"/>
    <w:rsid w:val="47DC2A90"/>
    <w:rsid w:val="47EF54ED"/>
    <w:rsid w:val="480F57AF"/>
    <w:rsid w:val="48164D90"/>
    <w:rsid w:val="48180B08"/>
    <w:rsid w:val="48196185"/>
    <w:rsid w:val="48276F9D"/>
    <w:rsid w:val="483376F0"/>
    <w:rsid w:val="483857BB"/>
    <w:rsid w:val="484511D1"/>
    <w:rsid w:val="485458B8"/>
    <w:rsid w:val="48607460"/>
    <w:rsid w:val="486C6E37"/>
    <w:rsid w:val="487970CD"/>
    <w:rsid w:val="487B5B3E"/>
    <w:rsid w:val="489108BA"/>
    <w:rsid w:val="48967C7F"/>
    <w:rsid w:val="48A64365"/>
    <w:rsid w:val="48B142E8"/>
    <w:rsid w:val="48B3438D"/>
    <w:rsid w:val="48DD765B"/>
    <w:rsid w:val="49042E3A"/>
    <w:rsid w:val="49146BE5"/>
    <w:rsid w:val="49153299"/>
    <w:rsid w:val="492E5776"/>
    <w:rsid w:val="4964727B"/>
    <w:rsid w:val="49656BC0"/>
    <w:rsid w:val="49675177"/>
    <w:rsid w:val="49697141"/>
    <w:rsid w:val="496E4757"/>
    <w:rsid w:val="496E484D"/>
    <w:rsid w:val="497E16E5"/>
    <w:rsid w:val="49B04D70"/>
    <w:rsid w:val="49BD71F0"/>
    <w:rsid w:val="49BE0DDD"/>
    <w:rsid w:val="49C3504F"/>
    <w:rsid w:val="49C46DC5"/>
    <w:rsid w:val="49DC7913"/>
    <w:rsid w:val="49DF5F0E"/>
    <w:rsid w:val="49EB10FC"/>
    <w:rsid w:val="4A026538"/>
    <w:rsid w:val="4A037596"/>
    <w:rsid w:val="4A080708"/>
    <w:rsid w:val="4A190B67"/>
    <w:rsid w:val="4A1B48DF"/>
    <w:rsid w:val="4A2C2290"/>
    <w:rsid w:val="4A4500C5"/>
    <w:rsid w:val="4A4F27DB"/>
    <w:rsid w:val="4A527BD5"/>
    <w:rsid w:val="4A537640"/>
    <w:rsid w:val="4A6E0EB3"/>
    <w:rsid w:val="4A8C3459"/>
    <w:rsid w:val="4AAF202F"/>
    <w:rsid w:val="4AB12B4E"/>
    <w:rsid w:val="4AC263F5"/>
    <w:rsid w:val="4AC4752B"/>
    <w:rsid w:val="4AE44CD1"/>
    <w:rsid w:val="4AE46393"/>
    <w:rsid w:val="4AE922E8"/>
    <w:rsid w:val="4AF13892"/>
    <w:rsid w:val="4AFD1577"/>
    <w:rsid w:val="4B090BDC"/>
    <w:rsid w:val="4B1A51A0"/>
    <w:rsid w:val="4B3D2633"/>
    <w:rsid w:val="4B83273C"/>
    <w:rsid w:val="4B9E7576"/>
    <w:rsid w:val="4B9F3EF1"/>
    <w:rsid w:val="4BA565AA"/>
    <w:rsid w:val="4BC108B4"/>
    <w:rsid w:val="4BC74135"/>
    <w:rsid w:val="4BD5286C"/>
    <w:rsid w:val="4BDA60D4"/>
    <w:rsid w:val="4BF41D25"/>
    <w:rsid w:val="4C0F5C1B"/>
    <w:rsid w:val="4C2B4251"/>
    <w:rsid w:val="4C5C2F8D"/>
    <w:rsid w:val="4C63256E"/>
    <w:rsid w:val="4C934C01"/>
    <w:rsid w:val="4C9444D5"/>
    <w:rsid w:val="4CA94424"/>
    <w:rsid w:val="4CAF57B3"/>
    <w:rsid w:val="4CDB0356"/>
    <w:rsid w:val="4CE23316"/>
    <w:rsid w:val="4CE511D4"/>
    <w:rsid w:val="4CF5766A"/>
    <w:rsid w:val="4D062129"/>
    <w:rsid w:val="4D075010"/>
    <w:rsid w:val="4D167CC4"/>
    <w:rsid w:val="4D1B4660"/>
    <w:rsid w:val="4D210E1E"/>
    <w:rsid w:val="4D4B54DB"/>
    <w:rsid w:val="4D5713F5"/>
    <w:rsid w:val="4D5819A6"/>
    <w:rsid w:val="4D6245D3"/>
    <w:rsid w:val="4D6A0BF8"/>
    <w:rsid w:val="4D737643"/>
    <w:rsid w:val="4D761C2A"/>
    <w:rsid w:val="4D9724CF"/>
    <w:rsid w:val="4D9B7610"/>
    <w:rsid w:val="4DC922B7"/>
    <w:rsid w:val="4DE1199C"/>
    <w:rsid w:val="4DF200CA"/>
    <w:rsid w:val="4DF415C1"/>
    <w:rsid w:val="4DFA480C"/>
    <w:rsid w:val="4DFC3E30"/>
    <w:rsid w:val="4E092CA1"/>
    <w:rsid w:val="4E0B2A9E"/>
    <w:rsid w:val="4E151645"/>
    <w:rsid w:val="4E173610"/>
    <w:rsid w:val="4E2D2E33"/>
    <w:rsid w:val="4E3C70E2"/>
    <w:rsid w:val="4E467A51"/>
    <w:rsid w:val="4E4F5928"/>
    <w:rsid w:val="4E524443"/>
    <w:rsid w:val="4E594142"/>
    <w:rsid w:val="4E5C4359"/>
    <w:rsid w:val="4E850579"/>
    <w:rsid w:val="4E854326"/>
    <w:rsid w:val="4EA12ED9"/>
    <w:rsid w:val="4EC1279B"/>
    <w:rsid w:val="4EC45870"/>
    <w:rsid w:val="4EC513FE"/>
    <w:rsid w:val="4EC70B92"/>
    <w:rsid w:val="4EC8490A"/>
    <w:rsid w:val="4ED12CAF"/>
    <w:rsid w:val="4ED4361A"/>
    <w:rsid w:val="4ED908C5"/>
    <w:rsid w:val="4ED97A1F"/>
    <w:rsid w:val="4EDA656A"/>
    <w:rsid w:val="4EEE1338"/>
    <w:rsid w:val="4F035942"/>
    <w:rsid w:val="4F1C34EA"/>
    <w:rsid w:val="4F227257"/>
    <w:rsid w:val="4F2E2FCE"/>
    <w:rsid w:val="4F2E69C1"/>
    <w:rsid w:val="4F377967"/>
    <w:rsid w:val="4F3A01B4"/>
    <w:rsid w:val="4F3A75B6"/>
    <w:rsid w:val="4F42646A"/>
    <w:rsid w:val="4F5E27FE"/>
    <w:rsid w:val="4F7253F0"/>
    <w:rsid w:val="4F7D3946"/>
    <w:rsid w:val="4F93316A"/>
    <w:rsid w:val="4FBD2996"/>
    <w:rsid w:val="4FD53E87"/>
    <w:rsid w:val="501B05E0"/>
    <w:rsid w:val="501F49FD"/>
    <w:rsid w:val="50265D8C"/>
    <w:rsid w:val="503E1327"/>
    <w:rsid w:val="505234CE"/>
    <w:rsid w:val="507636B6"/>
    <w:rsid w:val="507C3BFE"/>
    <w:rsid w:val="508B3E41"/>
    <w:rsid w:val="50A15412"/>
    <w:rsid w:val="50A64541"/>
    <w:rsid w:val="50BC3FFA"/>
    <w:rsid w:val="50C2365C"/>
    <w:rsid w:val="50CF1F80"/>
    <w:rsid w:val="50F33EC0"/>
    <w:rsid w:val="50F6670E"/>
    <w:rsid w:val="51165E00"/>
    <w:rsid w:val="512E29CE"/>
    <w:rsid w:val="5146190B"/>
    <w:rsid w:val="51500F8C"/>
    <w:rsid w:val="51544BCE"/>
    <w:rsid w:val="51695F30"/>
    <w:rsid w:val="51791EEB"/>
    <w:rsid w:val="517E3CFA"/>
    <w:rsid w:val="51840FBC"/>
    <w:rsid w:val="518E38C6"/>
    <w:rsid w:val="5192770D"/>
    <w:rsid w:val="519A258E"/>
    <w:rsid w:val="51B00003"/>
    <w:rsid w:val="51C62F63"/>
    <w:rsid w:val="51C67372"/>
    <w:rsid w:val="51CB2ADF"/>
    <w:rsid w:val="51EC53F1"/>
    <w:rsid w:val="52086A3F"/>
    <w:rsid w:val="5221680B"/>
    <w:rsid w:val="52512E21"/>
    <w:rsid w:val="52522E68"/>
    <w:rsid w:val="52554706"/>
    <w:rsid w:val="525564B4"/>
    <w:rsid w:val="525B3B3A"/>
    <w:rsid w:val="525F70E4"/>
    <w:rsid w:val="526A6404"/>
    <w:rsid w:val="5275209D"/>
    <w:rsid w:val="527C6137"/>
    <w:rsid w:val="528563E5"/>
    <w:rsid w:val="5292702A"/>
    <w:rsid w:val="52992845"/>
    <w:rsid w:val="52A82BD4"/>
    <w:rsid w:val="52AC4CB5"/>
    <w:rsid w:val="52B63CA5"/>
    <w:rsid w:val="52B94C95"/>
    <w:rsid w:val="52D25830"/>
    <w:rsid w:val="52D47D21"/>
    <w:rsid w:val="52E53CDC"/>
    <w:rsid w:val="52F549BB"/>
    <w:rsid w:val="531E71EE"/>
    <w:rsid w:val="5325232B"/>
    <w:rsid w:val="532A16EF"/>
    <w:rsid w:val="534A5FE2"/>
    <w:rsid w:val="535E0197"/>
    <w:rsid w:val="535E6182"/>
    <w:rsid w:val="536410A5"/>
    <w:rsid w:val="53645F00"/>
    <w:rsid w:val="53654E1D"/>
    <w:rsid w:val="537D0AA5"/>
    <w:rsid w:val="53894668"/>
    <w:rsid w:val="53901E9A"/>
    <w:rsid w:val="53A25729"/>
    <w:rsid w:val="53BF765F"/>
    <w:rsid w:val="53C90F08"/>
    <w:rsid w:val="53D63625"/>
    <w:rsid w:val="53EC4BF7"/>
    <w:rsid w:val="53FA34C3"/>
    <w:rsid w:val="53FB0F0D"/>
    <w:rsid w:val="54024D3B"/>
    <w:rsid w:val="54025286"/>
    <w:rsid w:val="540C7047"/>
    <w:rsid w:val="5429279F"/>
    <w:rsid w:val="54302D35"/>
    <w:rsid w:val="54436F0C"/>
    <w:rsid w:val="546952CE"/>
    <w:rsid w:val="546E7D01"/>
    <w:rsid w:val="54741A0D"/>
    <w:rsid w:val="54770964"/>
    <w:rsid w:val="54866D96"/>
    <w:rsid w:val="54996B2C"/>
    <w:rsid w:val="549A0AF6"/>
    <w:rsid w:val="54A34230"/>
    <w:rsid w:val="54C33BA9"/>
    <w:rsid w:val="54C85664"/>
    <w:rsid w:val="54CC34BC"/>
    <w:rsid w:val="54D67D81"/>
    <w:rsid w:val="54DF3704"/>
    <w:rsid w:val="54E51D72"/>
    <w:rsid w:val="54EB1C09"/>
    <w:rsid w:val="552F6CA7"/>
    <w:rsid w:val="55370461"/>
    <w:rsid w:val="554C1DF1"/>
    <w:rsid w:val="5559450E"/>
    <w:rsid w:val="555962BC"/>
    <w:rsid w:val="555B0286"/>
    <w:rsid w:val="55733821"/>
    <w:rsid w:val="55780E38"/>
    <w:rsid w:val="55852E62"/>
    <w:rsid w:val="558E2409"/>
    <w:rsid w:val="55A21A11"/>
    <w:rsid w:val="55AB2A19"/>
    <w:rsid w:val="55B654BC"/>
    <w:rsid w:val="55BD676B"/>
    <w:rsid w:val="561623FF"/>
    <w:rsid w:val="561F417C"/>
    <w:rsid w:val="56331779"/>
    <w:rsid w:val="563C1E65"/>
    <w:rsid w:val="564B3E56"/>
    <w:rsid w:val="56546ACF"/>
    <w:rsid w:val="566179D6"/>
    <w:rsid w:val="567A473C"/>
    <w:rsid w:val="56811F6E"/>
    <w:rsid w:val="568F32C7"/>
    <w:rsid w:val="569B1361"/>
    <w:rsid w:val="56B0568C"/>
    <w:rsid w:val="56BA73D7"/>
    <w:rsid w:val="56E46059"/>
    <w:rsid w:val="56F269C8"/>
    <w:rsid w:val="5705494D"/>
    <w:rsid w:val="571D00AA"/>
    <w:rsid w:val="572B1EDA"/>
    <w:rsid w:val="573A47F4"/>
    <w:rsid w:val="574C257C"/>
    <w:rsid w:val="5753390A"/>
    <w:rsid w:val="57580F21"/>
    <w:rsid w:val="57654DF0"/>
    <w:rsid w:val="576C5B65"/>
    <w:rsid w:val="577B4C0F"/>
    <w:rsid w:val="577D0633"/>
    <w:rsid w:val="579932E7"/>
    <w:rsid w:val="579B0E0D"/>
    <w:rsid w:val="57A8352A"/>
    <w:rsid w:val="57AD28EF"/>
    <w:rsid w:val="57AF6667"/>
    <w:rsid w:val="57E3272C"/>
    <w:rsid w:val="57EA4382"/>
    <w:rsid w:val="57F54BF5"/>
    <w:rsid w:val="58141B8C"/>
    <w:rsid w:val="582336E8"/>
    <w:rsid w:val="583059FA"/>
    <w:rsid w:val="58313C22"/>
    <w:rsid w:val="58472D78"/>
    <w:rsid w:val="584F129D"/>
    <w:rsid w:val="585B234B"/>
    <w:rsid w:val="5873528C"/>
    <w:rsid w:val="589615CC"/>
    <w:rsid w:val="589B3DBF"/>
    <w:rsid w:val="58A81A34"/>
    <w:rsid w:val="58A91308"/>
    <w:rsid w:val="58B55EFF"/>
    <w:rsid w:val="58B96858"/>
    <w:rsid w:val="58BE1257"/>
    <w:rsid w:val="58EC6126"/>
    <w:rsid w:val="58F46A27"/>
    <w:rsid w:val="58F9403E"/>
    <w:rsid w:val="59036C6A"/>
    <w:rsid w:val="590824D3"/>
    <w:rsid w:val="590D5D3B"/>
    <w:rsid w:val="5914321D"/>
    <w:rsid w:val="592117E6"/>
    <w:rsid w:val="59232E69"/>
    <w:rsid w:val="593E5EF4"/>
    <w:rsid w:val="59411241"/>
    <w:rsid w:val="594A497B"/>
    <w:rsid w:val="59575208"/>
    <w:rsid w:val="595C637A"/>
    <w:rsid w:val="59653E3B"/>
    <w:rsid w:val="596F1F91"/>
    <w:rsid w:val="59741916"/>
    <w:rsid w:val="59851D75"/>
    <w:rsid w:val="598F49A2"/>
    <w:rsid w:val="5991029A"/>
    <w:rsid w:val="59A321FB"/>
    <w:rsid w:val="59B879AF"/>
    <w:rsid w:val="59C04A47"/>
    <w:rsid w:val="59C503C4"/>
    <w:rsid w:val="59EF5441"/>
    <w:rsid w:val="59F842F5"/>
    <w:rsid w:val="59FB2037"/>
    <w:rsid w:val="5A0A5DD6"/>
    <w:rsid w:val="5A133292"/>
    <w:rsid w:val="5A1B7FE4"/>
    <w:rsid w:val="5A5A4FB0"/>
    <w:rsid w:val="5A6951F3"/>
    <w:rsid w:val="5A6E45B7"/>
    <w:rsid w:val="5A9102A6"/>
    <w:rsid w:val="5AA858A8"/>
    <w:rsid w:val="5AB741B0"/>
    <w:rsid w:val="5AB83A84"/>
    <w:rsid w:val="5ABB5323"/>
    <w:rsid w:val="5ACE32A8"/>
    <w:rsid w:val="5AE86F4F"/>
    <w:rsid w:val="5B0D5B7E"/>
    <w:rsid w:val="5B1C7751"/>
    <w:rsid w:val="5B2D48AB"/>
    <w:rsid w:val="5B3D3F8A"/>
    <w:rsid w:val="5B6559BA"/>
    <w:rsid w:val="5B783C06"/>
    <w:rsid w:val="5B7C2D04"/>
    <w:rsid w:val="5B902085"/>
    <w:rsid w:val="5BA079F2"/>
    <w:rsid w:val="5BBF6E70"/>
    <w:rsid w:val="5BC24CC9"/>
    <w:rsid w:val="5BC709E7"/>
    <w:rsid w:val="5BE865EB"/>
    <w:rsid w:val="5BED775E"/>
    <w:rsid w:val="5BF153D2"/>
    <w:rsid w:val="5C0C052C"/>
    <w:rsid w:val="5C0D7E00"/>
    <w:rsid w:val="5C25514A"/>
    <w:rsid w:val="5C311D40"/>
    <w:rsid w:val="5C3655A9"/>
    <w:rsid w:val="5C4001D5"/>
    <w:rsid w:val="5C483518"/>
    <w:rsid w:val="5C487CC4"/>
    <w:rsid w:val="5C5510FA"/>
    <w:rsid w:val="5C587C12"/>
    <w:rsid w:val="5C5C1504"/>
    <w:rsid w:val="5C837D51"/>
    <w:rsid w:val="5C966047"/>
    <w:rsid w:val="5C9F4EFC"/>
    <w:rsid w:val="5CAE513F"/>
    <w:rsid w:val="5CB87D6C"/>
    <w:rsid w:val="5CC10887"/>
    <w:rsid w:val="5CDA4186"/>
    <w:rsid w:val="5CDA5F34"/>
    <w:rsid w:val="5CE74D44"/>
    <w:rsid w:val="5CF07506"/>
    <w:rsid w:val="5CFE1B98"/>
    <w:rsid w:val="5D1D4073"/>
    <w:rsid w:val="5D1E3C46"/>
    <w:rsid w:val="5D292A17"/>
    <w:rsid w:val="5D504448"/>
    <w:rsid w:val="5D5E0913"/>
    <w:rsid w:val="5D5F1BD9"/>
    <w:rsid w:val="5D610C29"/>
    <w:rsid w:val="5D775E79"/>
    <w:rsid w:val="5D9D59DD"/>
    <w:rsid w:val="5DC664B8"/>
    <w:rsid w:val="5DC80482"/>
    <w:rsid w:val="5DD21301"/>
    <w:rsid w:val="5DDD192E"/>
    <w:rsid w:val="5DE132F2"/>
    <w:rsid w:val="5DE76B3B"/>
    <w:rsid w:val="5DF179D9"/>
    <w:rsid w:val="5DFC7C4C"/>
    <w:rsid w:val="5E0569C2"/>
    <w:rsid w:val="5E1B6804"/>
    <w:rsid w:val="5E1D07CE"/>
    <w:rsid w:val="5E23390B"/>
    <w:rsid w:val="5E3F50EA"/>
    <w:rsid w:val="5E4C10B3"/>
    <w:rsid w:val="5E661B27"/>
    <w:rsid w:val="5E68756F"/>
    <w:rsid w:val="5E79177D"/>
    <w:rsid w:val="5E7D74BF"/>
    <w:rsid w:val="5E7F3237"/>
    <w:rsid w:val="5E851595"/>
    <w:rsid w:val="5E873E9A"/>
    <w:rsid w:val="5E916AC6"/>
    <w:rsid w:val="5E9B16F3"/>
    <w:rsid w:val="5E9B7945"/>
    <w:rsid w:val="5E9C49F5"/>
    <w:rsid w:val="5E9C6940"/>
    <w:rsid w:val="5E9F11E3"/>
    <w:rsid w:val="5EBF441E"/>
    <w:rsid w:val="5ED436C7"/>
    <w:rsid w:val="5EDA221B"/>
    <w:rsid w:val="5EE17A4E"/>
    <w:rsid w:val="5EF0242E"/>
    <w:rsid w:val="5F0E0117"/>
    <w:rsid w:val="5F125E59"/>
    <w:rsid w:val="5F1F6E28"/>
    <w:rsid w:val="5F221E14"/>
    <w:rsid w:val="5F265461"/>
    <w:rsid w:val="5F2E07B9"/>
    <w:rsid w:val="5F310E81"/>
    <w:rsid w:val="5F351B48"/>
    <w:rsid w:val="5F3E6C4E"/>
    <w:rsid w:val="5F614D21"/>
    <w:rsid w:val="5F9075DA"/>
    <w:rsid w:val="5F944AC0"/>
    <w:rsid w:val="5F9938A3"/>
    <w:rsid w:val="5F9B210B"/>
    <w:rsid w:val="5FBE7D8F"/>
    <w:rsid w:val="60067040"/>
    <w:rsid w:val="600679F0"/>
    <w:rsid w:val="601856F1"/>
    <w:rsid w:val="603D363A"/>
    <w:rsid w:val="60431B09"/>
    <w:rsid w:val="60452C22"/>
    <w:rsid w:val="605102AA"/>
    <w:rsid w:val="605403EE"/>
    <w:rsid w:val="605461B2"/>
    <w:rsid w:val="60566219"/>
    <w:rsid w:val="605B55DE"/>
    <w:rsid w:val="60727EAD"/>
    <w:rsid w:val="60914DED"/>
    <w:rsid w:val="60981E5B"/>
    <w:rsid w:val="609E527D"/>
    <w:rsid w:val="60AE1746"/>
    <w:rsid w:val="60B5457F"/>
    <w:rsid w:val="60CA62C0"/>
    <w:rsid w:val="61071722"/>
    <w:rsid w:val="6110461A"/>
    <w:rsid w:val="61152FBD"/>
    <w:rsid w:val="6119422B"/>
    <w:rsid w:val="61262BE4"/>
    <w:rsid w:val="614B38A4"/>
    <w:rsid w:val="61504A17"/>
    <w:rsid w:val="61625438"/>
    <w:rsid w:val="6166248C"/>
    <w:rsid w:val="61693D2A"/>
    <w:rsid w:val="619F774C"/>
    <w:rsid w:val="61A22633"/>
    <w:rsid w:val="61AE17A4"/>
    <w:rsid w:val="61B71739"/>
    <w:rsid w:val="61CD6067"/>
    <w:rsid w:val="61CF0031"/>
    <w:rsid w:val="61D73D2E"/>
    <w:rsid w:val="61ED6709"/>
    <w:rsid w:val="62053734"/>
    <w:rsid w:val="621243C2"/>
    <w:rsid w:val="622F0AD0"/>
    <w:rsid w:val="62375BD7"/>
    <w:rsid w:val="62404A8B"/>
    <w:rsid w:val="624F4CCE"/>
    <w:rsid w:val="625B5806"/>
    <w:rsid w:val="625E7607"/>
    <w:rsid w:val="626D784A"/>
    <w:rsid w:val="62872771"/>
    <w:rsid w:val="62C54F90"/>
    <w:rsid w:val="62D13935"/>
    <w:rsid w:val="62D34438"/>
    <w:rsid w:val="62D502BE"/>
    <w:rsid w:val="62DB2A06"/>
    <w:rsid w:val="62F53596"/>
    <w:rsid w:val="62FB0250"/>
    <w:rsid w:val="630A6E47"/>
    <w:rsid w:val="63111307"/>
    <w:rsid w:val="63247F09"/>
    <w:rsid w:val="634A0807"/>
    <w:rsid w:val="634C3904"/>
    <w:rsid w:val="63522B22"/>
    <w:rsid w:val="635D4E97"/>
    <w:rsid w:val="6361115D"/>
    <w:rsid w:val="63751A48"/>
    <w:rsid w:val="63964029"/>
    <w:rsid w:val="63972DD1"/>
    <w:rsid w:val="639C03D4"/>
    <w:rsid w:val="63A63014"/>
    <w:rsid w:val="63AF5551"/>
    <w:rsid w:val="63B55005"/>
    <w:rsid w:val="63BA6ABF"/>
    <w:rsid w:val="63BD210C"/>
    <w:rsid w:val="63C416EC"/>
    <w:rsid w:val="63CB35F7"/>
    <w:rsid w:val="63EF374D"/>
    <w:rsid w:val="63F35B2D"/>
    <w:rsid w:val="63F7561D"/>
    <w:rsid w:val="64124205"/>
    <w:rsid w:val="64175CC0"/>
    <w:rsid w:val="641A4D50"/>
    <w:rsid w:val="643B1CA8"/>
    <w:rsid w:val="643E4FFA"/>
    <w:rsid w:val="6455071C"/>
    <w:rsid w:val="64564E6D"/>
    <w:rsid w:val="64590086"/>
    <w:rsid w:val="64641223"/>
    <w:rsid w:val="646802C9"/>
    <w:rsid w:val="64814FED"/>
    <w:rsid w:val="64947CBA"/>
    <w:rsid w:val="64AA6B34"/>
    <w:rsid w:val="64BF6351"/>
    <w:rsid w:val="64D4770D"/>
    <w:rsid w:val="64D5468F"/>
    <w:rsid w:val="64E21D35"/>
    <w:rsid w:val="64F61D79"/>
    <w:rsid w:val="64F63B27"/>
    <w:rsid w:val="650F6997"/>
    <w:rsid w:val="65136487"/>
    <w:rsid w:val="652C12F7"/>
    <w:rsid w:val="65371F46"/>
    <w:rsid w:val="65563B9F"/>
    <w:rsid w:val="656027B9"/>
    <w:rsid w:val="656A735F"/>
    <w:rsid w:val="65707F10"/>
    <w:rsid w:val="657A6506"/>
    <w:rsid w:val="65856C59"/>
    <w:rsid w:val="6587477F"/>
    <w:rsid w:val="658B0713"/>
    <w:rsid w:val="659B4298"/>
    <w:rsid w:val="65AD1388"/>
    <w:rsid w:val="65AE61B0"/>
    <w:rsid w:val="65B914FB"/>
    <w:rsid w:val="65C9568E"/>
    <w:rsid w:val="65EC0A86"/>
    <w:rsid w:val="660109D5"/>
    <w:rsid w:val="661A3845"/>
    <w:rsid w:val="66251761"/>
    <w:rsid w:val="66285F62"/>
    <w:rsid w:val="66561AA0"/>
    <w:rsid w:val="66583486"/>
    <w:rsid w:val="66584379"/>
    <w:rsid w:val="665B6338"/>
    <w:rsid w:val="6674649A"/>
    <w:rsid w:val="667742EA"/>
    <w:rsid w:val="66787D45"/>
    <w:rsid w:val="66B07D06"/>
    <w:rsid w:val="66B72A14"/>
    <w:rsid w:val="66C33EDD"/>
    <w:rsid w:val="66C45184"/>
    <w:rsid w:val="66CD08B8"/>
    <w:rsid w:val="670167A6"/>
    <w:rsid w:val="670C7632"/>
    <w:rsid w:val="67197169"/>
    <w:rsid w:val="672D20B6"/>
    <w:rsid w:val="67371F1A"/>
    <w:rsid w:val="67656D42"/>
    <w:rsid w:val="67770FEE"/>
    <w:rsid w:val="678673E4"/>
    <w:rsid w:val="678E6299"/>
    <w:rsid w:val="678F3DBF"/>
    <w:rsid w:val="679118E5"/>
    <w:rsid w:val="67992D01"/>
    <w:rsid w:val="67A02BD4"/>
    <w:rsid w:val="67EC2FBF"/>
    <w:rsid w:val="67FB3202"/>
    <w:rsid w:val="680B538A"/>
    <w:rsid w:val="680D3662"/>
    <w:rsid w:val="68193798"/>
    <w:rsid w:val="68286C1F"/>
    <w:rsid w:val="682A573C"/>
    <w:rsid w:val="68342D50"/>
    <w:rsid w:val="684150B9"/>
    <w:rsid w:val="68555008"/>
    <w:rsid w:val="68564DCD"/>
    <w:rsid w:val="68757459"/>
    <w:rsid w:val="68822776"/>
    <w:rsid w:val="68851CC2"/>
    <w:rsid w:val="688F4000"/>
    <w:rsid w:val="68AC0B8C"/>
    <w:rsid w:val="68B7136F"/>
    <w:rsid w:val="68C03E20"/>
    <w:rsid w:val="68C06926"/>
    <w:rsid w:val="68D16C55"/>
    <w:rsid w:val="68D45CC4"/>
    <w:rsid w:val="68D912E1"/>
    <w:rsid w:val="68F14D31"/>
    <w:rsid w:val="68F24605"/>
    <w:rsid w:val="68F34CB6"/>
    <w:rsid w:val="68FC7232"/>
    <w:rsid w:val="6902063E"/>
    <w:rsid w:val="69065D1E"/>
    <w:rsid w:val="693E65BB"/>
    <w:rsid w:val="69431305"/>
    <w:rsid w:val="696279DD"/>
    <w:rsid w:val="69795040"/>
    <w:rsid w:val="69802067"/>
    <w:rsid w:val="69C27A22"/>
    <w:rsid w:val="69CE32EF"/>
    <w:rsid w:val="69D600DA"/>
    <w:rsid w:val="69E20B1E"/>
    <w:rsid w:val="69E91EAC"/>
    <w:rsid w:val="6A05003B"/>
    <w:rsid w:val="6A13398D"/>
    <w:rsid w:val="6A26481E"/>
    <w:rsid w:val="6A2C1D99"/>
    <w:rsid w:val="6A2C76E8"/>
    <w:rsid w:val="6A306E82"/>
    <w:rsid w:val="6A325601"/>
    <w:rsid w:val="6A4E61B3"/>
    <w:rsid w:val="6A551782"/>
    <w:rsid w:val="6A6652AB"/>
    <w:rsid w:val="6A682DD1"/>
    <w:rsid w:val="6A7F636D"/>
    <w:rsid w:val="6A89576D"/>
    <w:rsid w:val="6A8B4D12"/>
    <w:rsid w:val="6A927E4E"/>
    <w:rsid w:val="6AA638F9"/>
    <w:rsid w:val="6AB37DC4"/>
    <w:rsid w:val="6AB46016"/>
    <w:rsid w:val="6ABE129C"/>
    <w:rsid w:val="6AFC5C0F"/>
    <w:rsid w:val="6B0A032C"/>
    <w:rsid w:val="6B114844"/>
    <w:rsid w:val="6B177229"/>
    <w:rsid w:val="6B2A0087"/>
    <w:rsid w:val="6B325E81"/>
    <w:rsid w:val="6B480E55"/>
    <w:rsid w:val="6B497FA4"/>
    <w:rsid w:val="6B575F21"/>
    <w:rsid w:val="6B6C4B43"/>
    <w:rsid w:val="6B737ACD"/>
    <w:rsid w:val="6B7B2C59"/>
    <w:rsid w:val="6B9138F9"/>
    <w:rsid w:val="6BBB1626"/>
    <w:rsid w:val="6BC73B27"/>
    <w:rsid w:val="6BCF25FA"/>
    <w:rsid w:val="6BE91CF0"/>
    <w:rsid w:val="6BE96194"/>
    <w:rsid w:val="6BEC5E83"/>
    <w:rsid w:val="6BFD02C1"/>
    <w:rsid w:val="6C0A01E2"/>
    <w:rsid w:val="6C272818"/>
    <w:rsid w:val="6C3F5DB4"/>
    <w:rsid w:val="6C471AF3"/>
    <w:rsid w:val="6C523D39"/>
    <w:rsid w:val="6C57134F"/>
    <w:rsid w:val="6C9525AA"/>
    <w:rsid w:val="6C9B742D"/>
    <w:rsid w:val="6CA1081C"/>
    <w:rsid w:val="6CA5024B"/>
    <w:rsid w:val="6CBA368C"/>
    <w:rsid w:val="6CCB5899"/>
    <w:rsid w:val="6CD40C54"/>
    <w:rsid w:val="6CE0110A"/>
    <w:rsid w:val="6CE94F03"/>
    <w:rsid w:val="6CF421A5"/>
    <w:rsid w:val="6CF43042"/>
    <w:rsid w:val="6D2F7BD6"/>
    <w:rsid w:val="6D372F2F"/>
    <w:rsid w:val="6D4A2C62"/>
    <w:rsid w:val="6D4B0788"/>
    <w:rsid w:val="6D6A3304"/>
    <w:rsid w:val="6D8471EF"/>
    <w:rsid w:val="6D97577B"/>
    <w:rsid w:val="6DA02882"/>
    <w:rsid w:val="6DB8406F"/>
    <w:rsid w:val="6DC94A59"/>
    <w:rsid w:val="6DD15131"/>
    <w:rsid w:val="6DD15815"/>
    <w:rsid w:val="6DD30EA9"/>
    <w:rsid w:val="6DD469CF"/>
    <w:rsid w:val="6DD662A4"/>
    <w:rsid w:val="6DD90237"/>
    <w:rsid w:val="6DEE183F"/>
    <w:rsid w:val="6E072901"/>
    <w:rsid w:val="6E084C17"/>
    <w:rsid w:val="6E15118A"/>
    <w:rsid w:val="6E1F7C4B"/>
    <w:rsid w:val="6E4B6C92"/>
    <w:rsid w:val="6E8E3022"/>
    <w:rsid w:val="6E8F36CF"/>
    <w:rsid w:val="6EB5235D"/>
    <w:rsid w:val="6EB61077"/>
    <w:rsid w:val="6EB81E4D"/>
    <w:rsid w:val="6EC9405A"/>
    <w:rsid w:val="6ECC76A7"/>
    <w:rsid w:val="6ED22F0F"/>
    <w:rsid w:val="6EDA6267"/>
    <w:rsid w:val="6EE36ECA"/>
    <w:rsid w:val="6EEE3AC1"/>
    <w:rsid w:val="6EEF1D13"/>
    <w:rsid w:val="6F0357BE"/>
    <w:rsid w:val="6F152DFC"/>
    <w:rsid w:val="6F1B2B08"/>
    <w:rsid w:val="6F6618A9"/>
    <w:rsid w:val="6F7044D6"/>
    <w:rsid w:val="6F8A37EA"/>
    <w:rsid w:val="6F9401C4"/>
    <w:rsid w:val="6FA23B6D"/>
    <w:rsid w:val="6FA81EC2"/>
    <w:rsid w:val="6FB73747"/>
    <w:rsid w:val="6FBB7E47"/>
    <w:rsid w:val="6FBC771B"/>
    <w:rsid w:val="6FC0720B"/>
    <w:rsid w:val="6FC91FA7"/>
    <w:rsid w:val="6FE349DA"/>
    <w:rsid w:val="6FFB46E7"/>
    <w:rsid w:val="700A66D9"/>
    <w:rsid w:val="70117A67"/>
    <w:rsid w:val="701912A5"/>
    <w:rsid w:val="701F2876"/>
    <w:rsid w:val="70227EC6"/>
    <w:rsid w:val="70294DB1"/>
    <w:rsid w:val="70313C65"/>
    <w:rsid w:val="7040034C"/>
    <w:rsid w:val="7060279C"/>
    <w:rsid w:val="7060454A"/>
    <w:rsid w:val="70762334"/>
    <w:rsid w:val="707F70C6"/>
    <w:rsid w:val="707F7D3C"/>
    <w:rsid w:val="70A73F27"/>
    <w:rsid w:val="70B3723F"/>
    <w:rsid w:val="70DE37C7"/>
    <w:rsid w:val="70F058CE"/>
    <w:rsid w:val="70F74EAF"/>
    <w:rsid w:val="710B095A"/>
    <w:rsid w:val="71121CE9"/>
    <w:rsid w:val="71135B83"/>
    <w:rsid w:val="711A0B9D"/>
    <w:rsid w:val="71233EF6"/>
    <w:rsid w:val="71252F80"/>
    <w:rsid w:val="712B4B58"/>
    <w:rsid w:val="7137174F"/>
    <w:rsid w:val="714125CE"/>
    <w:rsid w:val="71415581"/>
    <w:rsid w:val="71445E4D"/>
    <w:rsid w:val="71493231"/>
    <w:rsid w:val="71573B9F"/>
    <w:rsid w:val="71632544"/>
    <w:rsid w:val="716A5681"/>
    <w:rsid w:val="7179151D"/>
    <w:rsid w:val="717A163C"/>
    <w:rsid w:val="71844269"/>
    <w:rsid w:val="718524BB"/>
    <w:rsid w:val="719426FE"/>
    <w:rsid w:val="71B72890"/>
    <w:rsid w:val="71B92164"/>
    <w:rsid w:val="71B95393"/>
    <w:rsid w:val="71BB0662"/>
    <w:rsid w:val="71D1488F"/>
    <w:rsid w:val="71ED0060"/>
    <w:rsid w:val="71F00C04"/>
    <w:rsid w:val="72035AD5"/>
    <w:rsid w:val="72085956"/>
    <w:rsid w:val="721E46BD"/>
    <w:rsid w:val="72331F17"/>
    <w:rsid w:val="7258197D"/>
    <w:rsid w:val="727367B7"/>
    <w:rsid w:val="72AC1CC9"/>
    <w:rsid w:val="72BD30A1"/>
    <w:rsid w:val="72C91C18"/>
    <w:rsid w:val="72CA1C6C"/>
    <w:rsid w:val="72D97771"/>
    <w:rsid w:val="72DB435C"/>
    <w:rsid w:val="72E871A5"/>
    <w:rsid w:val="72F42CDD"/>
    <w:rsid w:val="72F62232"/>
    <w:rsid w:val="73076EFF"/>
    <w:rsid w:val="730A73C1"/>
    <w:rsid w:val="730B2E93"/>
    <w:rsid w:val="730E6177"/>
    <w:rsid w:val="731518A2"/>
    <w:rsid w:val="73463ECB"/>
    <w:rsid w:val="73506AF8"/>
    <w:rsid w:val="735550D2"/>
    <w:rsid w:val="73591E51"/>
    <w:rsid w:val="735E6921"/>
    <w:rsid w:val="7364485C"/>
    <w:rsid w:val="73650303"/>
    <w:rsid w:val="736E6F7E"/>
    <w:rsid w:val="737B782C"/>
    <w:rsid w:val="738D5656"/>
    <w:rsid w:val="73955EF8"/>
    <w:rsid w:val="7398370D"/>
    <w:rsid w:val="73B2133F"/>
    <w:rsid w:val="73BA21C4"/>
    <w:rsid w:val="73E7745D"/>
    <w:rsid w:val="73F45623"/>
    <w:rsid w:val="74057DF9"/>
    <w:rsid w:val="740C1085"/>
    <w:rsid w:val="74100036"/>
    <w:rsid w:val="741146DA"/>
    <w:rsid w:val="742064CB"/>
    <w:rsid w:val="743E1047"/>
    <w:rsid w:val="744877CF"/>
    <w:rsid w:val="7463285B"/>
    <w:rsid w:val="7467234B"/>
    <w:rsid w:val="746C5BB4"/>
    <w:rsid w:val="746D0D53"/>
    <w:rsid w:val="746D7236"/>
    <w:rsid w:val="748A21FE"/>
    <w:rsid w:val="74A7141D"/>
    <w:rsid w:val="74A72748"/>
    <w:rsid w:val="74AA7D4B"/>
    <w:rsid w:val="74AC4202"/>
    <w:rsid w:val="74B41921"/>
    <w:rsid w:val="74C0380A"/>
    <w:rsid w:val="74C74B98"/>
    <w:rsid w:val="74CA4688"/>
    <w:rsid w:val="74D0158B"/>
    <w:rsid w:val="74E27F48"/>
    <w:rsid w:val="74EB4D2A"/>
    <w:rsid w:val="750340FC"/>
    <w:rsid w:val="75137DDD"/>
    <w:rsid w:val="7514691D"/>
    <w:rsid w:val="751F6782"/>
    <w:rsid w:val="75243129"/>
    <w:rsid w:val="754E52B9"/>
    <w:rsid w:val="755328D0"/>
    <w:rsid w:val="75706FDE"/>
    <w:rsid w:val="75790588"/>
    <w:rsid w:val="75846F2D"/>
    <w:rsid w:val="759738C6"/>
    <w:rsid w:val="75A21A9C"/>
    <w:rsid w:val="75AC348B"/>
    <w:rsid w:val="75B23A9A"/>
    <w:rsid w:val="75B55338"/>
    <w:rsid w:val="75B86262"/>
    <w:rsid w:val="75D611BC"/>
    <w:rsid w:val="75D70C69"/>
    <w:rsid w:val="75D91027"/>
    <w:rsid w:val="75E83018"/>
    <w:rsid w:val="75EA4FE2"/>
    <w:rsid w:val="75ED4AD2"/>
    <w:rsid w:val="75F52CE2"/>
    <w:rsid w:val="760A5684"/>
    <w:rsid w:val="760B11BA"/>
    <w:rsid w:val="76157B85"/>
    <w:rsid w:val="76171B4F"/>
    <w:rsid w:val="761C7166"/>
    <w:rsid w:val="762304F4"/>
    <w:rsid w:val="76257DC8"/>
    <w:rsid w:val="763224E5"/>
    <w:rsid w:val="76373F9F"/>
    <w:rsid w:val="76433FDA"/>
    <w:rsid w:val="7677439C"/>
    <w:rsid w:val="767D11BF"/>
    <w:rsid w:val="767F4B72"/>
    <w:rsid w:val="7682521B"/>
    <w:rsid w:val="76851934"/>
    <w:rsid w:val="768D3BBF"/>
    <w:rsid w:val="769F7D8D"/>
    <w:rsid w:val="76B70687"/>
    <w:rsid w:val="76EB7370"/>
    <w:rsid w:val="76EC2FDC"/>
    <w:rsid w:val="76EE276C"/>
    <w:rsid w:val="76F123A0"/>
    <w:rsid w:val="77072354"/>
    <w:rsid w:val="77130569"/>
    <w:rsid w:val="77183DD1"/>
    <w:rsid w:val="771D13E7"/>
    <w:rsid w:val="7725204A"/>
    <w:rsid w:val="773504DF"/>
    <w:rsid w:val="773B2FED"/>
    <w:rsid w:val="774F5184"/>
    <w:rsid w:val="7750356B"/>
    <w:rsid w:val="775A6197"/>
    <w:rsid w:val="77707AEA"/>
    <w:rsid w:val="77843214"/>
    <w:rsid w:val="778B2945"/>
    <w:rsid w:val="77925931"/>
    <w:rsid w:val="779276DF"/>
    <w:rsid w:val="77A15B74"/>
    <w:rsid w:val="77DC3CB2"/>
    <w:rsid w:val="77E5163B"/>
    <w:rsid w:val="77F601B8"/>
    <w:rsid w:val="78063C29"/>
    <w:rsid w:val="7810236C"/>
    <w:rsid w:val="781B1C42"/>
    <w:rsid w:val="78210A63"/>
    <w:rsid w:val="782C7B34"/>
    <w:rsid w:val="78486CF0"/>
    <w:rsid w:val="785B21C7"/>
    <w:rsid w:val="786349D3"/>
    <w:rsid w:val="786D5A56"/>
    <w:rsid w:val="78867E3E"/>
    <w:rsid w:val="78A07BDA"/>
    <w:rsid w:val="78A771BA"/>
    <w:rsid w:val="78AA091C"/>
    <w:rsid w:val="78AC657F"/>
    <w:rsid w:val="78B74E96"/>
    <w:rsid w:val="78C22246"/>
    <w:rsid w:val="78CC302F"/>
    <w:rsid w:val="7914122D"/>
    <w:rsid w:val="791D747D"/>
    <w:rsid w:val="79330A4E"/>
    <w:rsid w:val="793E3FE0"/>
    <w:rsid w:val="796055BB"/>
    <w:rsid w:val="79627585"/>
    <w:rsid w:val="796C6D36"/>
    <w:rsid w:val="797846B3"/>
    <w:rsid w:val="797E774E"/>
    <w:rsid w:val="799534B7"/>
    <w:rsid w:val="799D57E6"/>
    <w:rsid w:val="79A731EA"/>
    <w:rsid w:val="79BD656A"/>
    <w:rsid w:val="79DE4E5E"/>
    <w:rsid w:val="79E26419"/>
    <w:rsid w:val="79E61F64"/>
    <w:rsid w:val="79E63D12"/>
    <w:rsid w:val="79E9735F"/>
    <w:rsid w:val="79ED32F3"/>
    <w:rsid w:val="79F04B91"/>
    <w:rsid w:val="79F309DD"/>
    <w:rsid w:val="79F3721C"/>
    <w:rsid w:val="79FA70E8"/>
    <w:rsid w:val="79FE7503"/>
    <w:rsid w:val="7A260087"/>
    <w:rsid w:val="7A3249E0"/>
    <w:rsid w:val="7A456C8B"/>
    <w:rsid w:val="7A554D7B"/>
    <w:rsid w:val="7A644B56"/>
    <w:rsid w:val="7A6B36A3"/>
    <w:rsid w:val="7A707A80"/>
    <w:rsid w:val="7A7C4677"/>
    <w:rsid w:val="7A867C0A"/>
    <w:rsid w:val="7A97500D"/>
    <w:rsid w:val="7AB619B9"/>
    <w:rsid w:val="7AB7745D"/>
    <w:rsid w:val="7ACA3634"/>
    <w:rsid w:val="7ACC0CD4"/>
    <w:rsid w:val="7AD3234E"/>
    <w:rsid w:val="7AD324E9"/>
    <w:rsid w:val="7AD7365B"/>
    <w:rsid w:val="7AD82879"/>
    <w:rsid w:val="7AD95389"/>
    <w:rsid w:val="7AE2272C"/>
    <w:rsid w:val="7AF4345E"/>
    <w:rsid w:val="7B130B37"/>
    <w:rsid w:val="7B181892"/>
    <w:rsid w:val="7B18439F"/>
    <w:rsid w:val="7B2F5820"/>
    <w:rsid w:val="7B364F5B"/>
    <w:rsid w:val="7B3B62E0"/>
    <w:rsid w:val="7B42141C"/>
    <w:rsid w:val="7B4231CA"/>
    <w:rsid w:val="7B7060E3"/>
    <w:rsid w:val="7B7F5A16"/>
    <w:rsid w:val="7B8A691F"/>
    <w:rsid w:val="7BCB1412"/>
    <w:rsid w:val="7BCF4C4C"/>
    <w:rsid w:val="7BD4111E"/>
    <w:rsid w:val="7BDD1145"/>
    <w:rsid w:val="7BF00E78"/>
    <w:rsid w:val="7BF72207"/>
    <w:rsid w:val="7C09018C"/>
    <w:rsid w:val="7C0E57A2"/>
    <w:rsid w:val="7C2E6F8B"/>
    <w:rsid w:val="7C3050D8"/>
    <w:rsid w:val="7C325A9B"/>
    <w:rsid w:val="7C3A0345"/>
    <w:rsid w:val="7C3C5E6C"/>
    <w:rsid w:val="7C43544C"/>
    <w:rsid w:val="7C482A62"/>
    <w:rsid w:val="7C4A6F3C"/>
    <w:rsid w:val="7C537F24"/>
    <w:rsid w:val="7C551902"/>
    <w:rsid w:val="7C5E0F82"/>
    <w:rsid w:val="7C786D7A"/>
    <w:rsid w:val="7C8A307B"/>
    <w:rsid w:val="7C8D2B6B"/>
    <w:rsid w:val="7CAA54CB"/>
    <w:rsid w:val="7CB400F8"/>
    <w:rsid w:val="7CCC5441"/>
    <w:rsid w:val="7CE22E28"/>
    <w:rsid w:val="7CF20C20"/>
    <w:rsid w:val="7CF90201"/>
    <w:rsid w:val="7CFD3C68"/>
    <w:rsid w:val="7D0A5AA1"/>
    <w:rsid w:val="7D1110A6"/>
    <w:rsid w:val="7D176F1E"/>
    <w:rsid w:val="7D3F20B7"/>
    <w:rsid w:val="7D4F10E3"/>
    <w:rsid w:val="7D55131B"/>
    <w:rsid w:val="7D595DC7"/>
    <w:rsid w:val="7D613ECC"/>
    <w:rsid w:val="7D6438CC"/>
    <w:rsid w:val="7D7050F0"/>
    <w:rsid w:val="7D821FA4"/>
    <w:rsid w:val="7D915010"/>
    <w:rsid w:val="7D9C12B8"/>
    <w:rsid w:val="7DA22646"/>
    <w:rsid w:val="7DB905C1"/>
    <w:rsid w:val="7DBD122E"/>
    <w:rsid w:val="7DC46119"/>
    <w:rsid w:val="7DC91981"/>
    <w:rsid w:val="7DCA721C"/>
    <w:rsid w:val="7DD30A52"/>
    <w:rsid w:val="7DE76A3A"/>
    <w:rsid w:val="7DEC7879"/>
    <w:rsid w:val="7DF32EA2"/>
    <w:rsid w:val="7DF3334C"/>
    <w:rsid w:val="7E002EC9"/>
    <w:rsid w:val="7E064983"/>
    <w:rsid w:val="7E124BDC"/>
    <w:rsid w:val="7E2C3CBE"/>
    <w:rsid w:val="7E2D63B4"/>
    <w:rsid w:val="7E3F7E95"/>
    <w:rsid w:val="7E431733"/>
    <w:rsid w:val="7E48543B"/>
    <w:rsid w:val="7E4B683A"/>
    <w:rsid w:val="7E5F22E5"/>
    <w:rsid w:val="7E666CCB"/>
    <w:rsid w:val="7E6B6EDC"/>
    <w:rsid w:val="7E7E0A32"/>
    <w:rsid w:val="7E8A5690"/>
    <w:rsid w:val="7EA00937"/>
    <w:rsid w:val="7EB06C49"/>
    <w:rsid w:val="7EB148B8"/>
    <w:rsid w:val="7EC45DE4"/>
    <w:rsid w:val="7ECB797B"/>
    <w:rsid w:val="7ED14F91"/>
    <w:rsid w:val="7ED92098"/>
    <w:rsid w:val="7EFC08B4"/>
    <w:rsid w:val="7F345520"/>
    <w:rsid w:val="7F363A2B"/>
    <w:rsid w:val="7F5160D2"/>
    <w:rsid w:val="7F606FAC"/>
    <w:rsid w:val="7F666FD8"/>
    <w:rsid w:val="7F7973D7"/>
    <w:rsid w:val="7F7A4F45"/>
    <w:rsid w:val="7F7B6CAB"/>
    <w:rsid w:val="7F9D4E73"/>
    <w:rsid w:val="7FB21BF7"/>
    <w:rsid w:val="7FB65F35"/>
    <w:rsid w:val="7FD50AB1"/>
    <w:rsid w:val="7FE02FB2"/>
    <w:rsid w:val="7FF23F38"/>
    <w:rsid w:val="7FFC4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iPriority="99"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3">
    <w:name w:val="heading 1"/>
    <w:basedOn w:val="1"/>
    <w:next w:val="1"/>
    <w:link w:val="49"/>
    <w:qFormat/>
    <w:uiPriority w:val="0"/>
    <w:pPr>
      <w:keepNext/>
      <w:tabs>
        <w:tab w:val="left" w:pos="200"/>
      </w:tabs>
      <w:jc w:val="center"/>
      <w:outlineLvl w:val="0"/>
    </w:pPr>
    <w:rPr>
      <w:rFonts w:hint="eastAsia" w:ascii="宋体" w:hAnsi="宋体"/>
      <w:b/>
      <w:sz w:val="36"/>
    </w:rPr>
  </w:style>
  <w:style w:type="paragraph" w:styleId="4">
    <w:name w:val="heading 2"/>
    <w:basedOn w:val="1"/>
    <w:next w:val="1"/>
    <w:link w:val="52"/>
    <w:unhideWhenUsed/>
    <w:qFormat/>
    <w:uiPriority w:val="9"/>
    <w:pPr>
      <w:keepNext/>
      <w:keepLines/>
      <w:spacing w:before="260" w:after="260" w:line="416" w:lineRule="auto"/>
      <w:outlineLvl w:val="1"/>
    </w:pPr>
    <w:rPr>
      <w:rFonts w:asciiTheme="majorHAnsi" w:hAnsiTheme="majorHAnsi" w:eastAsiaTheme="majorEastAsia" w:cstheme="majorBidi"/>
      <w:bCs/>
      <w:szCs w:val="32"/>
    </w:rPr>
  </w:style>
  <w:style w:type="paragraph" w:styleId="5">
    <w:name w:val="heading 3"/>
    <w:basedOn w:val="1"/>
    <w:next w:val="1"/>
    <w:link w:val="44"/>
    <w:qFormat/>
    <w:uiPriority w:val="0"/>
    <w:pPr>
      <w:keepNext/>
      <w:keepLines/>
      <w:spacing w:before="260" w:after="260" w:line="416" w:lineRule="auto"/>
      <w:outlineLvl w:val="2"/>
    </w:pPr>
    <w:rPr>
      <w:b/>
      <w:bCs/>
      <w:sz w:val="32"/>
      <w:szCs w:val="32"/>
    </w:rPr>
  </w:style>
  <w:style w:type="paragraph" w:styleId="6">
    <w:name w:val="heading 4"/>
    <w:basedOn w:val="1"/>
    <w:next w:val="1"/>
    <w:link w:val="53"/>
    <w:semiHidden/>
    <w:unhideWhenUsed/>
    <w:qFormat/>
    <w:uiPriority w:val="0"/>
    <w:pPr>
      <w:keepNext/>
      <w:keepLines/>
      <w:spacing w:before="280" w:after="290" w:line="372" w:lineRule="auto"/>
      <w:outlineLvl w:val="3"/>
    </w:pPr>
    <w:rPr>
      <w:rFonts w:ascii="Arial" w:hAnsi="Arial" w:eastAsia="黑体"/>
      <w:b/>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2">
    <w:name w:val="footer"/>
    <w:basedOn w:val="1"/>
    <w:next w:val="1"/>
    <w:link w:val="48"/>
    <w:unhideWhenUsed/>
    <w:qFormat/>
    <w:uiPriority w:val="99"/>
    <w:pPr>
      <w:tabs>
        <w:tab w:val="center" w:pos="4153"/>
        <w:tab w:val="right" w:pos="8306"/>
      </w:tabs>
      <w:snapToGrid w:val="0"/>
      <w:spacing w:line="240" w:lineRule="atLeast"/>
      <w:jc w:val="left"/>
    </w:pPr>
    <w:rPr>
      <w:sz w:val="18"/>
      <w:szCs w:val="18"/>
    </w:rPr>
  </w:style>
  <w:style w:type="paragraph" w:styleId="7">
    <w:name w:val="table of authorities"/>
    <w:basedOn w:val="1"/>
    <w:next w:val="1"/>
    <w:unhideWhenUsed/>
    <w:qFormat/>
    <w:uiPriority w:val="99"/>
    <w:pPr>
      <w:ind w:left="420" w:leftChars="200"/>
    </w:pPr>
  </w:style>
  <w:style w:type="paragraph" w:styleId="8">
    <w:name w:val="Normal Indent"/>
    <w:basedOn w:val="1"/>
    <w:next w:val="1"/>
    <w:link w:val="67"/>
    <w:qFormat/>
    <w:uiPriority w:val="0"/>
    <w:pPr>
      <w:adjustRightInd w:val="0"/>
      <w:snapToGrid w:val="0"/>
      <w:spacing w:line="360" w:lineRule="auto"/>
      <w:ind w:firstLine="420"/>
    </w:pPr>
    <w:rPr>
      <w:rFonts w:asciiTheme="minorHAnsi" w:hAnsiTheme="minorHAnsi" w:eastAsiaTheme="minorEastAsia" w:cstheme="minorBidi"/>
      <w:sz w:val="24"/>
      <w:szCs w:val="22"/>
    </w:rPr>
  </w:style>
  <w:style w:type="paragraph" w:styleId="9">
    <w:name w:val="index 5"/>
    <w:basedOn w:val="1"/>
    <w:next w:val="1"/>
    <w:qFormat/>
    <w:uiPriority w:val="0"/>
    <w:pPr>
      <w:ind w:left="1680"/>
    </w:pPr>
    <w:rPr>
      <w:sz w:val="24"/>
    </w:rPr>
  </w:style>
  <w:style w:type="paragraph" w:styleId="10">
    <w:name w:val="Document Map"/>
    <w:next w:val="1"/>
    <w:unhideWhenUsed/>
    <w:qFormat/>
    <w:uiPriority w:val="99"/>
    <w:pPr>
      <w:widowControl w:val="0"/>
      <w:jc w:val="both"/>
    </w:pPr>
    <w:rPr>
      <w:rFonts w:ascii="宋体" w:hAnsi="Calibri" w:eastAsia="宋体" w:cs="Times New Roman"/>
      <w:kern w:val="2"/>
      <w:sz w:val="18"/>
      <w:szCs w:val="18"/>
      <w:lang w:val="en-US" w:eastAsia="zh-CN" w:bidi="ar-SA"/>
    </w:rPr>
  </w:style>
  <w:style w:type="paragraph" w:styleId="11">
    <w:name w:val="annotation text"/>
    <w:basedOn w:val="1"/>
    <w:link w:val="55"/>
    <w:qFormat/>
    <w:uiPriority w:val="0"/>
    <w:pPr>
      <w:jc w:val="left"/>
    </w:pPr>
  </w:style>
  <w:style w:type="paragraph" w:styleId="12">
    <w:name w:val="Body Text"/>
    <w:basedOn w:val="1"/>
    <w:next w:val="1"/>
    <w:link w:val="46"/>
    <w:qFormat/>
    <w:uiPriority w:val="0"/>
    <w:rPr>
      <w:rFonts w:hint="eastAsia" w:ascii="楷体_GB2312" w:hAnsi="Arial" w:eastAsia="楷体_GB2312"/>
    </w:rPr>
  </w:style>
  <w:style w:type="paragraph" w:styleId="13">
    <w:name w:val="Body Text Indent"/>
    <w:basedOn w:val="1"/>
    <w:next w:val="1"/>
    <w:link w:val="50"/>
    <w:qFormat/>
    <w:uiPriority w:val="0"/>
    <w:pPr>
      <w:spacing w:after="120"/>
      <w:ind w:left="420" w:leftChars="200"/>
    </w:pPr>
  </w:style>
  <w:style w:type="paragraph" w:styleId="14">
    <w:name w:val="Plain Text"/>
    <w:basedOn w:val="1"/>
    <w:next w:val="8"/>
    <w:link w:val="43"/>
    <w:qFormat/>
    <w:uiPriority w:val="0"/>
    <w:rPr>
      <w:rFonts w:hint="eastAsia" w:ascii="宋体" w:hAnsi="Courier New"/>
      <w:kern w:val="0"/>
      <w:sz w:val="20"/>
    </w:rPr>
  </w:style>
  <w:style w:type="paragraph" w:styleId="15">
    <w:name w:val="Date"/>
    <w:basedOn w:val="1"/>
    <w:next w:val="1"/>
    <w:link w:val="51"/>
    <w:qFormat/>
    <w:uiPriority w:val="0"/>
    <w:pPr>
      <w:ind w:left="100" w:leftChars="2500"/>
    </w:pPr>
  </w:style>
  <w:style w:type="paragraph" w:styleId="16">
    <w:name w:val="Body Text Indent 2"/>
    <w:basedOn w:val="1"/>
    <w:link w:val="57"/>
    <w:qFormat/>
    <w:uiPriority w:val="0"/>
    <w:pPr>
      <w:spacing w:after="120" w:line="480" w:lineRule="auto"/>
      <w:ind w:left="420" w:leftChars="200"/>
    </w:pPr>
  </w:style>
  <w:style w:type="paragraph" w:styleId="17">
    <w:name w:val="Balloon Text"/>
    <w:basedOn w:val="1"/>
    <w:link w:val="64"/>
    <w:qFormat/>
    <w:uiPriority w:val="0"/>
    <w:rPr>
      <w:sz w:val="18"/>
      <w:szCs w:val="18"/>
    </w:rPr>
  </w:style>
  <w:style w:type="paragraph" w:styleId="18">
    <w:name w:val="header"/>
    <w:basedOn w:val="1"/>
    <w:link w:val="47"/>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19">
    <w:name w:val="Subtitle"/>
    <w:basedOn w:val="1"/>
    <w:next w:val="1"/>
    <w:link w:val="72"/>
    <w:qFormat/>
    <w:uiPriority w:val="0"/>
    <w:pPr>
      <w:spacing w:before="360" w:after="180" w:line="360" w:lineRule="auto"/>
      <w:jc w:val="left"/>
      <w:outlineLvl w:val="1"/>
    </w:pPr>
    <w:rPr>
      <w:rFonts w:ascii="Cambria" w:hAnsi="Cambria"/>
      <w:b/>
      <w:bCs/>
      <w:kern w:val="28"/>
      <w:sz w:val="24"/>
      <w:szCs w:val="32"/>
    </w:rPr>
  </w:style>
  <w:style w:type="paragraph" w:styleId="20">
    <w:name w:val="footnote text"/>
    <w:basedOn w:val="1"/>
    <w:next w:val="9"/>
    <w:qFormat/>
    <w:uiPriority w:val="0"/>
    <w:pPr>
      <w:snapToGrid w:val="0"/>
      <w:jc w:val="left"/>
    </w:pPr>
    <w:rPr>
      <w:sz w:val="18"/>
    </w:rPr>
  </w:style>
  <w:style w:type="paragraph" w:styleId="21">
    <w:name w:val="Normal (Web)"/>
    <w:basedOn w:val="1"/>
    <w:qFormat/>
    <w:uiPriority w:val="99"/>
    <w:pPr>
      <w:widowControl/>
      <w:spacing w:before="100" w:beforeAutospacing="1" w:after="100" w:afterAutospacing="1"/>
      <w:jc w:val="left"/>
    </w:pPr>
    <w:rPr>
      <w:rFonts w:ascii="Arial Unicode MS" w:hAnsi="Arial Unicode MS" w:eastAsia="Arial Unicode MS" w:cstheme="minorBidi"/>
      <w:sz w:val="24"/>
      <w:szCs w:val="22"/>
    </w:rPr>
  </w:style>
  <w:style w:type="paragraph" w:styleId="22">
    <w:name w:val="Title"/>
    <w:basedOn w:val="1"/>
    <w:next w:val="1"/>
    <w:link w:val="56"/>
    <w:qFormat/>
    <w:uiPriority w:val="0"/>
    <w:pPr>
      <w:adjustRightInd w:val="0"/>
      <w:spacing w:before="240" w:after="60" w:line="288" w:lineRule="auto"/>
      <w:ind w:firstLine="420"/>
      <w:jc w:val="center"/>
      <w:textAlignment w:val="baseline"/>
      <w:outlineLvl w:val="0"/>
    </w:pPr>
    <w:rPr>
      <w:rFonts w:ascii="Arial" w:hAnsi="Arial"/>
      <w:b/>
      <w:sz w:val="32"/>
      <w:szCs w:val="22"/>
    </w:rPr>
  </w:style>
  <w:style w:type="paragraph" w:styleId="23">
    <w:name w:val="Body Text First Indent 2"/>
    <w:basedOn w:val="13"/>
    <w:next w:val="1"/>
    <w:unhideWhenUsed/>
    <w:qFormat/>
    <w:uiPriority w:val="99"/>
    <w:pPr>
      <w:ind w:firstLine="420" w:firstLineChars="200"/>
    </w:p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27">
    <w:name w:val="Strong"/>
    <w:basedOn w:val="26"/>
    <w:qFormat/>
    <w:uiPriority w:val="0"/>
    <w:rPr>
      <w:b/>
      <w:sz w:val="24"/>
      <w:szCs w:val="24"/>
    </w:rPr>
  </w:style>
  <w:style w:type="character" w:styleId="28">
    <w:name w:val="page number"/>
    <w:basedOn w:val="26"/>
    <w:qFormat/>
    <w:uiPriority w:val="0"/>
    <w:rPr>
      <w:rFonts w:ascii="Times New Roman" w:hAnsi="Times New Roman" w:eastAsia="宋体" w:cs="Times New Roman"/>
    </w:rPr>
  </w:style>
  <w:style w:type="character" w:styleId="29">
    <w:name w:val="FollowedHyperlink"/>
    <w:basedOn w:val="26"/>
    <w:qFormat/>
    <w:uiPriority w:val="0"/>
    <w:rPr>
      <w:color w:val="333333"/>
      <w:u w:val="none"/>
    </w:rPr>
  </w:style>
  <w:style w:type="character" w:styleId="30">
    <w:name w:val="Emphasis"/>
    <w:basedOn w:val="26"/>
    <w:qFormat/>
    <w:uiPriority w:val="0"/>
    <w:rPr>
      <w:color w:val="CC0000"/>
      <w:sz w:val="24"/>
      <w:szCs w:val="24"/>
    </w:rPr>
  </w:style>
  <w:style w:type="character" w:styleId="31">
    <w:name w:val="HTML Definition"/>
    <w:basedOn w:val="26"/>
    <w:qFormat/>
    <w:uiPriority w:val="0"/>
  </w:style>
  <w:style w:type="character" w:styleId="32">
    <w:name w:val="HTML Typewriter"/>
    <w:basedOn w:val="26"/>
    <w:qFormat/>
    <w:uiPriority w:val="0"/>
    <w:rPr>
      <w:rFonts w:hint="default" w:ascii="monospace" w:hAnsi="monospace" w:eastAsia="monospace" w:cs="monospace"/>
      <w:sz w:val="20"/>
    </w:rPr>
  </w:style>
  <w:style w:type="character" w:styleId="33">
    <w:name w:val="HTML Acronym"/>
    <w:basedOn w:val="26"/>
    <w:qFormat/>
    <w:uiPriority w:val="0"/>
  </w:style>
  <w:style w:type="character" w:styleId="34">
    <w:name w:val="HTML Variable"/>
    <w:basedOn w:val="26"/>
    <w:qFormat/>
    <w:uiPriority w:val="0"/>
  </w:style>
  <w:style w:type="character" w:styleId="35">
    <w:name w:val="Hyperlink"/>
    <w:basedOn w:val="26"/>
    <w:qFormat/>
    <w:uiPriority w:val="0"/>
    <w:rPr>
      <w:color w:val="333333"/>
      <w:u w:val="none"/>
    </w:rPr>
  </w:style>
  <w:style w:type="character" w:styleId="36">
    <w:name w:val="HTML Code"/>
    <w:basedOn w:val="26"/>
    <w:qFormat/>
    <w:uiPriority w:val="0"/>
    <w:rPr>
      <w:rFonts w:hint="default" w:ascii="monospace" w:hAnsi="monospace" w:eastAsia="monospace" w:cs="monospace"/>
      <w:sz w:val="20"/>
    </w:rPr>
  </w:style>
  <w:style w:type="character" w:styleId="37">
    <w:name w:val="HTML Cite"/>
    <w:basedOn w:val="26"/>
    <w:qFormat/>
    <w:uiPriority w:val="0"/>
    <w:rPr>
      <w:sz w:val="24"/>
      <w:szCs w:val="24"/>
    </w:rPr>
  </w:style>
  <w:style w:type="character" w:styleId="38">
    <w:name w:val="HTML Keyboard"/>
    <w:basedOn w:val="26"/>
    <w:qFormat/>
    <w:uiPriority w:val="0"/>
    <w:rPr>
      <w:rFonts w:hint="default" w:ascii="monospace" w:hAnsi="monospace" w:eastAsia="monospace" w:cs="monospace"/>
      <w:sz w:val="20"/>
    </w:rPr>
  </w:style>
  <w:style w:type="character" w:styleId="39">
    <w:name w:val="HTML Sample"/>
    <w:basedOn w:val="26"/>
    <w:qFormat/>
    <w:uiPriority w:val="0"/>
    <w:rPr>
      <w:rFonts w:ascii="monospace" w:hAnsi="monospace" w:eastAsia="monospace" w:cs="monospace"/>
    </w:rPr>
  </w:style>
  <w:style w:type="paragraph" w:customStyle="1" w:styleId="40">
    <w:name w:val="样式 标题 1 + 宋体 居中 段前: 17 磅 段后: 16.5 磅"/>
    <w:basedOn w:val="3"/>
    <w:qFormat/>
    <w:uiPriority w:val="0"/>
    <w:pPr>
      <w:pageBreakBefore/>
      <w:widowControl/>
      <w:tabs>
        <w:tab w:val="left" w:pos="840"/>
        <w:tab w:val="clear" w:pos="200"/>
      </w:tabs>
      <w:snapToGrid w:val="0"/>
      <w:ind w:left="840" w:hanging="420"/>
    </w:pPr>
    <w:rPr>
      <w:rFonts w:ascii="华文中宋" w:hAnsi="华文中宋" w:eastAsia="华文中宋" w:cs="宋体"/>
      <w:sz w:val="28"/>
    </w:rPr>
  </w:style>
  <w:style w:type="paragraph" w:customStyle="1" w:styleId="41">
    <w:name w:val="Í¼±íÕýÎÄ"/>
    <w:basedOn w:val="1"/>
    <w:next w:val="8"/>
    <w:qFormat/>
    <w:uiPriority w:val="0"/>
    <w:pPr>
      <w:ind w:firstLine="420" w:firstLineChars="200"/>
    </w:pPr>
    <w:rPr>
      <w:sz w:val="24"/>
    </w:rPr>
  </w:style>
  <w:style w:type="paragraph" w:customStyle="1" w:styleId="42">
    <w:name w:val="正文字缩2字"/>
    <w:basedOn w:val="1"/>
    <w:qFormat/>
    <w:uiPriority w:val="0"/>
    <w:pPr>
      <w:spacing w:before="60" w:after="60" w:line="360" w:lineRule="auto"/>
      <w:ind w:left="200" w:leftChars="200" w:firstLine="200" w:firstLineChars="200"/>
    </w:pPr>
    <w:rPr>
      <w:rFonts w:ascii="Calibri" w:hAnsi="Calibri"/>
      <w:sz w:val="21"/>
      <w:szCs w:val="24"/>
    </w:rPr>
  </w:style>
  <w:style w:type="character" w:customStyle="1" w:styleId="43">
    <w:name w:val="纯文本 Char"/>
    <w:basedOn w:val="26"/>
    <w:link w:val="14"/>
    <w:qFormat/>
    <w:uiPriority w:val="0"/>
    <w:rPr>
      <w:rFonts w:hint="eastAsia" w:ascii="宋体" w:hAnsi="Courier New" w:eastAsia="宋体" w:cs="宋体"/>
    </w:rPr>
  </w:style>
  <w:style w:type="character" w:customStyle="1" w:styleId="44">
    <w:name w:val="标题 3 Char"/>
    <w:basedOn w:val="26"/>
    <w:link w:val="5"/>
    <w:qFormat/>
    <w:uiPriority w:val="0"/>
    <w:rPr>
      <w:rFonts w:hint="default" w:ascii="Calibri" w:hAnsi="Calibri" w:cs="Calibri"/>
      <w:b/>
      <w:kern w:val="2"/>
      <w:sz w:val="32"/>
      <w:szCs w:val="32"/>
    </w:rPr>
  </w:style>
  <w:style w:type="paragraph" w:customStyle="1" w:styleId="45">
    <w:name w:val="列出段落1"/>
    <w:basedOn w:val="1"/>
    <w:qFormat/>
    <w:uiPriority w:val="0"/>
    <w:pPr>
      <w:ind w:firstLine="420" w:firstLineChars="200"/>
    </w:pPr>
    <w:rPr>
      <w:rFonts w:ascii="Calibri" w:hAnsi="Calibri"/>
      <w:color w:val="595959"/>
      <w:sz w:val="21"/>
      <w:szCs w:val="24"/>
    </w:rPr>
  </w:style>
  <w:style w:type="character" w:customStyle="1" w:styleId="46">
    <w:name w:val="正文文本 Char"/>
    <w:basedOn w:val="26"/>
    <w:link w:val="12"/>
    <w:qFormat/>
    <w:uiPriority w:val="0"/>
    <w:rPr>
      <w:rFonts w:hint="eastAsia" w:ascii="楷体_GB2312" w:hAnsi="Arial" w:eastAsia="楷体_GB2312" w:cs="楷体_GB2312"/>
      <w:kern w:val="2"/>
      <w:sz w:val="28"/>
    </w:rPr>
  </w:style>
  <w:style w:type="character" w:customStyle="1" w:styleId="47">
    <w:name w:val="页眉 Char"/>
    <w:basedOn w:val="26"/>
    <w:link w:val="18"/>
    <w:qFormat/>
    <w:uiPriority w:val="0"/>
    <w:rPr>
      <w:kern w:val="2"/>
      <w:sz w:val="18"/>
    </w:rPr>
  </w:style>
  <w:style w:type="character" w:customStyle="1" w:styleId="48">
    <w:name w:val="页脚 Char"/>
    <w:basedOn w:val="26"/>
    <w:link w:val="2"/>
    <w:qFormat/>
    <w:uiPriority w:val="0"/>
    <w:rPr>
      <w:kern w:val="2"/>
      <w:sz w:val="18"/>
    </w:rPr>
  </w:style>
  <w:style w:type="character" w:customStyle="1" w:styleId="49">
    <w:name w:val="标题 1 Char"/>
    <w:basedOn w:val="26"/>
    <w:link w:val="3"/>
    <w:qFormat/>
    <w:uiPriority w:val="0"/>
    <w:rPr>
      <w:rFonts w:hint="eastAsia" w:ascii="宋体" w:hAnsi="宋体" w:eastAsia="宋体" w:cs="宋体"/>
      <w:b/>
      <w:kern w:val="2"/>
      <w:sz w:val="36"/>
    </w:rPr>
  </w:style>
  <w:style w:type="character" w:customStyle="1" w:styleId="50">
    <w:name w:val="正文文本缩进 Char"/>
    <w:basedOn w:val="26"/>
    <w:link w:val="13"/>
    <w:qFormat/>
    <w:uiPriority w:val="0"/>
    <w:rPr>
      <w:rFonts w:hint="eastAsia" w:ascii="仿宋_GB2312" w:hAnsi="Arial" w:eastAsia="仿宋_GB2312" w:cs="仿宋_GB2312"/>
      <w:sz w:val="32"/>
      <w:szCs w:val="32"/>
    </w:rPr>
  </w:style>
  <w:style w:type="character" w:customStyle="1" w:styleId="51">
    <w:name w:val="日期 Char"/>
    <w:basedOn w:val="26"/>
    <w:link w:val="15"/>
    <w:qFormat/>
    <w:uiPriority w:val="0"/>
    <w:rPr>
      <w:kern w:val="2"/>
      <w:sz w:val="21"/>
    </w:rPr>
  </w:style>
  <w:style w:type="character" w:customStyle="1" w:styleId="52">
    <w:name w:val="标题 2 Char"/>
    <w:basedOn w:val="26"/>
    <w:link w:val="4"/>
    <w:qFormat/>
    <w:uiPriority w:val="0"/>
    <w:rPr>
      <w:rFonts w:hint="eastAsia" w:ascii="楷体_GB2312" w:eastAsia="楷体_GB2312" w:cs="楷体_GB2312"/>
      <w:b/>
      <w:kern w:val="2"/>
      <w:sz w:val="28"/>
      <w:szCs w:val="28"/>
    </w:rPr>
  </w:style>
  <w:style w:type="character" w:customStyle="1" w:styleId="53">
    <w:name w:val="标题 4 Char"/>
    <w:basedOn w:val="26"/>
    <w:link w:val="6"/>
    <w:qFormat/>
    <w:uiPriority w:val="0"/>
    <w:rPr>
      <w:rFonts w:hint="default" w:ascii="Cambria" w:hAnsi="Cambria" w:eastAsia="Cambria" w:cs="Cambria"/>
      <w:b/>
      <w:kern w:val="2"/>
      <w:sz w:val="28"/>
      <w:szCs w:val="28"/>
      <w:lang w:val="zh-CN"/>
    </w:rPr>
  </w:style>
  <w:style w:type="character" w:customStyle="1" w:styleId="54">
    <w:name w:val="font71"/>
    <w:basedOn w:val="26"/>
    <w:qFormat/>
    <w:uiPriority w:val="0"/>
    <w:rPr>
      <w:rFonts w:hint="eastAsia" w:ascii="宋体" w:hAnsi="宋体" w:eastAsia="宋体" w:cs="宋体"/>
      <w:color w:val="000000"/>
      <w:sz w:val="22"/>
      <w:szCs w:val="22"/>
      <w:u w:val="none"/>
    </w:rPr>
  </w:style>
  <w:style w:type="character" w:customStyle="1" w:styleId="55">
    <w:name w:val="批注文字 Char"/>
    <w:basedOn w:val="26"/>
    <w:link w:val="11"/>
    <w:qFormat/>
    <w:uiPriority w:val="0"/>
    <w:rPr>
      <w:rFonts w:hint="default" w:ascii="Calibri" w:hAnsi="Calibri" w:eastAsia="PMingLiU" w:cs="Calibri"/>
      <w:sz w:val="24"/>
      <w:lang w:eastAsia="zh-TW"/>
    </w:rPr>
  </w:style>
  <w:style w:type="character" w:customStyle="1" w:styleId="56">
    <w:name w:val="标题 Char"/>
    <w:basedOn w:val="26"/>
    <w:link w:val="22"/>
    <w:qFormat/>
    <w:uiPriority w:val="0"/>
    <w:rPr>
      <w:rFonts w:hint="default" w:ascii="Cambria" w:hAnsi="Cambria" w:eastAsia="Cambria" w:cs="Cambria"/>
      <w:b/>
      <w:kern w:val="2"/>
      <w:sz w:val="32"/>
      <w:szCs w:val="32"/>
    </w:rPr>
  </w:style>
  <w:style w:type="character" w:customStyle="1" w:styleId="57">
    <w:name w:val="正文文本缩进 2 Char"/>
    <w:basedOn w:val="26"/>
    <w:link w:val="16"/>
    <w:qFormat/>
    <w:uiPriority w:val="0"/>
    <w:rPr>
      <w:rFonts w:hint="eastAsia" w:ascii="宋体" w:hAnsi="宋体" w:eastAsia="宋体" w:cs="宋体"/>
      <w:kern w:val="2"/>
      <w:sz w:val="24"/>
      <w:szCs w:val="24"/>
    </w:rPr>
  </w:style>
  <w:style w:type="table" w:customStyle="1" w:styleId="58">
    <w:name w:val="网格型1"/>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59">
    <w:name w:val="_Style 1"/>
    <w:basedOn w:val="1"/>
    <w:qFormat/>
    <w:uiPriority w:val="0"/>
    <w:pPr>
      <w:ind w:firstLine="420" w:firstLineChars="200"/>
    </w:pPr>
    <w:rPr>
      <w:kern w:val="0"/>
      <w:sz w:val="20"/>
    </w:rPr>
  </w:style>
  <w:style w:type="paragraph" w:styleId="60">
    <w:name w:val="List Paragraph"/>
    <w:basedOn w:val="1"/>
    <w:qFormat/>
    <w:uiPriority w:val="1"/>
    <w:pPr>
      <w:ind w:left="362" w:firstLine="480"/>
    </w:pPr>
    <w:rPr>
      <w:rFonts w:ascii="宋体" w:hAnsi="宋体" w:cs="宋体"/>
      <w:lang w:val="zh-CN" w:bidi="zh-CN"/>
    </w:rPr>
  </w:style>
  <w:style w:type="paragraph" w:customStyle="1" w:styleId="61">
    <w:name w:val="Table Paragraph"/>
    <w:basedOn w:val="1"/>
    <w:qFormat/>
    <w:uiPriority w:val="1"/>
    <w:rPr>
      <w:rFonts w:ascii="宋体" w:hAnsi="宋体" w:cs="宋体"/>
      <w:lang w:val="zh-CN" w:bidi="zh-CN"/>
    </w:rPr>
  </w:style>
  <w:style w:type="paragraph" w:customStyle="1" w:styleId="62">
    <w:name w:val="样式 宋体 五号 行距: 单倍行距"/>
    <w:basedOn w:val="1"/>
    <w:qFormat/>
    <w:uiPriority w:val="0"/>
    <w:rPr>
      <w:rFonts w:ascii="宋体" w:hAnsi="宋体" w:cs="宋体"/>
      <w:sz w:val="21"/>
    </w:rPr>
  </w:style>
  <w:style w:type="paragraph" w:customStyle="1" w:styleId="63">
    <w:name w:val="纯文本2"/>
    <w:basedOn w:val="1"/>
    <w:qFormat/>
    <w:uiPriority w:val="99"/>
    <w:pPr>
      <w:widowControl/>
      <w:adjustRightInd w:val="0"/>
      <w:jc w:val="left"/>
      <w:textAlignment w:val="baseline"/>
    </w:pPr>
    <w:rPr>
      <w:rFonts w:ascii="宋体" w:hAnsi="Courier New" w:eastAsia="楷体_GB2312"/>
      <w:kern w:val="0"/>
      <w:sz w:val="26"/>
    </w:rPr>
  </w:style>
  <w:style w:type="character" w:customStyle="1" w:styleId="64">
    <w:name w:val="批注框文本 Char"/>
    <w:basedOn w:val="26"/>
    <w:link w:val="17"/>
    <w:qFormat/>
    <w:uiPriority w:val="0"/>
    <w:rPr>
      <w:rFonts w:ascii="Times New Roman" w:hAnsi="Times New Roman"/>
      <w:kern w:val="2"/>
      <w:sz w:val="18"/>
      <w:szCs w:val="18"/>
    </w:rPr>
  </w:style>
  <w:style w:type="paragraph" w:customStyle="1" w:styleId="65">
    <w:name w:val="正文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66">
    <w:name w:val="页码1"/>
    <w:basedOn w:val="26"/>
    <w:qFormat/>
    <w:uiPriority w:val="0"/>
  </w:style>
  <w:style w:type="character" w:customStyle="1" w:styleId="67">
    <w:name w:val="正文缩进 Char"/>
    <w:link w:val="8"/>
    <w:qFormat/>
    <w:uiPriority w:val="0"/>
    <w:rPr>
      <w:rFonts w:asciiTheme="minorHAnsi" w:hAnsiTheme="minorHAnsi" w:eastAsiaTheme="minorEastAsia" w:cstheme="minorBidi"/>
      <w:kern w:val="2"/>
      <w:sz w:val="24"/>
      <w:szCs w:val="22"/>
    </w:rPr>
  </w:style>
  <w:style w:type="character" w:customStyle="1" w:styleId="68">
    <w:name w:val="正文文本 (3)_"/>
    <w:link w:val="69"/>
    <w:qFormat/>
    <w:uiPriority w:val="0"/>
    <w:rPr>
      <w:rFonts w:ascii="宋体" w:hAnsi="宋体" w:cs="宋体"/>
      <w:b/>
      <w:bCs/>
      <w:sz w:val="28"/>
      <w:szCs w:val="28"/>
      <w:shd w:val="clear" w:color="auto" w:fill="FFFFFF"/>
    </w:rPr>
  </w:style>
  <w:style w:type="paragraph" w:customStyle="1" w:styleId="69">
    <w:name w:val="正文文本 (3)"/>
    <w:basedOn w:val="1"/>
    <w:link w:val="68"/>
    <w:qFormat/>
    <w:uiPriority w:val="0"/>
    <w:pPr>
      <w:shd w:val="clear" w:color="auto" w:fill="FFFFFF"/>
      <w:spacing w:before="1320" w:after="2040" w:line="0" w:lineRule="atLeast"/>
      <w:jc w:val="center"/>
    </w:pPr>
    <w:rPr>
      <w:rFonts w:ascii="宋体" w:hAnsi="宋体" w:cs="宋体"/>
      <w:b/>
      <w:bCs/>
      <w:kern w:val="0"/>
      <w:szCs w:val="28"/>
    </w:rPr>
  </w:style>
  <w:style w:type="character" w:customStyle="1" w:styleId="70">
    <w:name w:val="正文文本 (2)_"/>
    <w:link w:val="71"/>
    <w:qFormat/>
    <w:uiPriority w:val="0"/>
    <w:rPr>
      <w:rFonts w:ascii="宋体" w:hAnsi="宋体" w:cs="宋体"/>
      <w:sz w:val="26"/>
      <w:szCs w:val="26"/>
      <w:shd w:val="clear" w:color="auto" w:fill="FFFFFF"/>
    </w:rPr>
  </w:style>
  <w:style w:type="paragraph" w:customStyle="1" w:styleId="71">
    <w:name w:val="正文文本 (2)"/>
    <w:basedOn w:val="1"/>
    <w:link w:val="70"/>
    <w:qFormat/>
    <w:uiPriority w:val="0"/>
    <w:pPr>
      <w:shd w:val="clear" w:color="auto" w:fill="FFFFFF"/>
      <w:spacing w:before="1320" w:after="1320" w:line="0" w:lineRule="atLeast"/>
      <w:jc w:val="center"/>
    </w:pPr>
    <w:rPr>
      <w:rFonts w:ascii="宋体" w:hAnsi="宋体" w:cs="宋体"/>
      <w:kern w:val="0"/>
      <w:sz w:val="26"/>
      <w:szCs w:val="26"/>
    </w:rPr>
  </w:style>
  <w:style w:type="character" w:customStyle="1" w:styleId="72">
    <w:name w:val="副标题 Char"/>
    <w:link w:val="19"/>
    <w:qFormat/>
    <w:uiPriority w:val="0"/>
    <w:rPr>
      <w:rFonts w:ascii="Cambria" w:hAnsi="Cambria"/>
      <w:b/>
      <w:bCs/>
      <w:kern w:val="28"/>
      <w:sz w:val="24"/>
      <w:szCs w:val="32"/>
    </w:rPr>
  </w:style>
  <w:style w:type="character" w:customStyle="1" w:styleId="73">
    <w:name w:val="副标题 Char1"/>
    <w:basedOn w:val="26"/>
    <w:qFormat/>
    <w:uiPriority w:val="0"/>
    <w:rPr>
      <w:rFonts w:asciiTheme="majorHAnsi" w:hAnsiTheme="majorHAnsi" w:cstheme="majorBidi"/>
      <w:b/>
      <w:bCs/>
      <w:kern w:val="28"/>
      <w:sz w:val="32"/>
      <w:szCs w:val="32"/>
    </w:rPr>
  </w:style>
  <w:style w:type="paragraph" w:customStyle="1" w:styleId="74">
    <w:name w:val="纯文本1"/>
    <w:basedOn w:val="1"/>
    <w:link w:val="75"/>
    <w:qFormat/>
    <w:uiPriority w:val="0"/>
    <w:pPr>
      <w:widowControl/>
      <w:adjustRightInd w:val="0"/>
      <w:jc w:val="left"/>
      <w:textAlignment w:val="baseline"/>
    </w:pPr>
    <w:rPr>
      <w:rFonts w:ascii="宋体" w:hAnsi="Courier New" w:eastAsia="楷体_GB2312"/>
      <w:kern w:val="0"/>
      <w:sz w:val="26"/>
    </w:rPr>
  </w:style>
  <w:style w:type="character" w:customStyle="1" w:styleId="75">
    <w:name w:val="Plain Text Char"/>
    <w:link w:val="74"/>
    <w:qFormat/>
    <w:uiPriority w:val="0"/>
    <w:rPr>
      <w:rFonts w:ascii="宋体" w:hAnsi="Courier New" w:eastAsia="楷体_GB2312"/>
      <w:sz w:val="26"/>
    </w:rPr>
  </w:style>
  <w:style w:type="paragraph" w:customStyle="1" w:styleId="76">
    <w:name w:val="纯文本3"/>
    <w:basedOn w:val="1"/>
    <w:qFormat/>
    <w:uiPriority w:val="0"/>
    <w:pPr>
      <w:adjustRightInd w:val="0"/>
      <w:textAlignment w:val="baseline"/>
    </w:pPr>
    <w:rPr>
      <w:rFonts w:ascii="宋体" w:hAnsi="Courier New" w:eastAsia="楷体_GB2312"/>
    </w:rPr>
  </w:style>
  <w:style w:type="table" w:customStyle="1" w:styleId="77">
    <w:name w:val="Table Normal"/>
    <w:unhideWhenUsed/>
    <w:qFormat/>
    <w:uiPriority w:val="0"/>
    <w:tblPr>
      <w:tblCellMar>
        <w:top w:w="0" w:type="dxa"/>
        <w:left w:w="0" w:type="dxa"/>
        <w:bottom w:w="0" w:type="dxa"/>
        <w:right w:w="0" w:type="dxa"/>
      </w:tblCellMar>
    </w:tblPr>
  </w:style>
  <w:style w:type="paragraph" w:customStyle="1" w:styleId="78">
    <w:name w:val="纯文本31"/>
    <w:basedOn w:val="1"/>
    <w:qFormat/>
    <w:uiPriority w:val="0"/>
    <w:pPr>
      <w:adjustRightInd w:val="0"/>
      <w:textAlignment w:val="baseline"/>
    </w:pPr>
    <w:rPr>
      <w:rFonts w:ascii="宋体" w:hAnsi="Courier New" w:eastAsia="楷体_GB2312"/>
    </w:rPr>
  </w:style>
  <w:style w:type="character" w:customStyle="1" w:styleId="79">
    <w:name w:val="font01"/>
    <w:basedOn w:val="26"/>
    <w:qFormat/>
    <w:uiPriority w:val="0"/>
    <w:rPr>
      <w:rFonts w:hint="eastAsia" w:ascii="宋体" w:hAnsi="宋体" w:eastAsia="宋体" w:cs="宋体"/>
      <w:color w:val="000000"/>
      <w:sz w:val="22"/>
      <w:szCs w:val="22"/>
      <w:u w:val="none"/>
    </w:rPr>
  </w:style>
  <w:style w:type="paragraph" w:customStyle="1" w:styleId="80">
    <w:name w:val="Plain Text"/>
    <w:basedOn w:val="1"/>
    <w:qFormat/>
    <w:uiPriority w:val="0"/>
    <w:pPr>
      <w:adjustRightInd w:val="0"/>
      <w:textAlignment w:val="baseline"/>
    </w:pPr>
    <w:rPr>
      <w:rFonts w:ascii="宋体" w:hAnsi="Courier New" w:eastAsia="楷体_GB2312" w:cs="Times New Roman"/>
      <w:sz w:val="28"/>
      <w:szCs w:val="20"/>
    </w:rPr>
  </w:style>
  <w:style w:type="character" w:customStyle="1" w:styleId="81">
    <w:name w:val="font11"/>
    <w:basedOn w:val="26"/>
    <w:qFormat/>
    <w:uiPriority w:val="0"/>
    <w:rPr>
      <w:rFonts w:hint="eastAsia" w:ascii="宋体" w:hAnsi="宋体" w:eastAsia="宋体" w:cs="宋体"/>
      <w:color w:val="000000"/>
      <w:sz w:val="22"/>
      <w:szCs w:val="22"/>
      <w:u w:val="none"/>
    </w:rPr>
  </w:style>
  <w:style w:type="character" w:customStyle="1" w:styleId="82">
    <w:name w:val="font31"/>
    <w:basedOn w:val="26"/>
    <w:qFormat/>
    <w:uiPriority w:val="0"/>
    <w:rPr>
      <w:rFonts w:hint="eastAsia" w:ascii="宋体" w:hAnsi="宋体" w:eastAsia="宋体" w:cs="宋体"/>
      <w:b/>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52</Pages>
  <Words>28602</Words>
  <Characters>30600</Characters>
  <Lines>269</Lines>
  <Paragraphs>75</Paragraphs>
  <TotalTime>17</TotalTime>
  <ScaleCrop>false</ScaleCrop>
  <LinksUpToDate>false</LinksUpToDate>
  <CharactersWithSpaces>32272</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2022-09-06T10:06:00Z</dcterms:created>
  <dc:creator>Administrator</dc:creator>
  <cp:lastModifiedBy>米粒儿~</cp:lastModifiedBy>
  <cp:lastPrinted>2023-02-17T02:46:00Z</cp:lastPrinted>
  <dcterms:modified xsi:type="dcterms:W3CDTF">2023-02-22T06:49:20Z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D9D195C2CE3D4F2C9642ED3972E42E7B</vt:lpwstr>
  </property>
  <property fmtid="{D5CDD505-2E9C-101B-9397-08002B2CF9AE}" pid="4" name="commondata">
    <vt:lpwstr>eyJoZGlkIjoiODdhZDQ1MWE2Y2Q4M2NlYjY0ODliNzBjNDY4OGEzY2QifQ==</vt:lpwstr>
  </property>
</Properties>
</file>